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6.xml" ContentType="application/vnd.openxmlformats-officedocument.themeOverrid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A2F" w:rsidRDefault="003B0A2F" w:rsidP="003B0A2F">
      <w:pPr>
        <w:rPr>
          <w:caps/>
        </w:rPr>
      </w:pPr>
    </w:p>
    <w:sdt>
      <w:sdtPr>
        <w:rPr>
          <w:caps/>
        </w:rPr>
        <w:id w:val="30091833"/>
        <w:lock w:val="contentLocked"/>
        <w:placeholder>
          <w:docPart w:val="A81F602006EA4C16A9F3206BB0D96450"/>
        </w:placeholder>
        <w:group/>
      </w:sdtPr>
      <w:sdtEndPr/>
      <w:sdtContent>
        <w:p w:rsidR="00A50007" w:rsidRPr="0008176F" w:rsidRDefault="0008176F" w:rsidP="0008176F">
          <w:pPr>
            <w:pStyle w:val="NoSpacing"/>
            <w:jc w:val="center"/>
            <w:rPr>
              <w:caps/>
            </w:rPr>
          </w:pPr>
          <w:r w:rsidRPr="0008176F">
            <w:rPr>
              <w:caps/>
            </w:rPr>
            <w:t>University of Oklahoma</w:t>
          </w:r>
        </w:p>
        <w:p w:rsidR="0008176F" w:rsidRPr="0008176F" w:rsidRDefault="0008176F" w:rsidP="0008176F">
          <w:pPr>
            <w:pStyle w:val="NoSpacing"/>
            <w:jc w:val="center"/>
            <w:rPr>
              <w:caps/>
            </w:rPr>
          </w:pPr>
        </w:p>
        <w:p w:rsidR="0008176F" w:rsidRPr="0008176F" w:rsidRDefault="0008176F" w:rsidP="0008176F">
          <w:pPr>
            <w:pStyle w:val="NoSpacing"/>
            <w:jc w:val="center"/>
            <w:rPr>
              <w:caps/>
            </w:rPr>
          </w:pPr>
          <w:r w:rsidRPr="0008176F">
            <w:rPr>
              <w:caps/>
            </w:rPr>
            <w:t>Graduate College</w:t>
          </w:r>
        </w:p>
      </w:sdtContent>
    </w:sdt>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sdt>
      <w:sdtPr>
        <w:rPr>
          <w:caps/>
        </w:rPr>
        <w:alias w:val="Click to enter dissertation title"/>
        <w:tag w:val="Click to enter dissertation title"/>
        <w:id w:val="30091832"/>
        <w:lock w:val="sdtLocked"/>
        <w:placeholder>
          <w:docPart w:val="A81F602006EA4C16A9F3206BB0D96450"/>
        </w:placeholder>
      </w:sdtPr>
      <w:sdtEndPr/>
      <w:sdtContent>
        <w:p w:rsidR="0008176F" w:rsidRPr="0008176F" w:rsidRDefault="006C6B86" w:rsidP="0008176F">
          <w:pPr>
            <w:pStyle w:val="NoSpacing"/>
            <w:spacing w:line="480" w:lineRule="auto"/>
            <w:jc w:val="center"/>
            <w:rPr>
              <w:caps/>
            </w:rPr>
          </w:pPr>
          <w:r>
            <w:rPr>
              <w:caps/>
            </w:rPr>
            <w:t>Surfactant-only eor for high salinity brine</w:t>
          </w:r>
        </w:p>
      </w:sdtContent>
    </w:sdt>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08176F" w:rsidP="0008176F">
      <w:pPr>
        <w:pStyle w:val="NoSpacing"/>
        <w:jc w:val="center"/>
        <w:rPr>
          <w:caps/>
        </w:rPr>
      </w:pPr>
    </w:p>
    <w:p w:rsidR="0008176F" w:rsidRPr="0008176F" w:rsidRDefault="001C58A2" w:rsidP="0008176F">
      <w:pPr>
        <w:pStyle w:val="NoSpacing"/>
        <w:jc w:val="center"/>
        <w:rPr>
          <w:caps/>
        </w:rPr>
      </w:pPr>
      <w:sdt>
        <w:sdtPr>
          <w:rPr>
            <w:caps/>
          </w:rPr>
          <w:id w:val="11707817"/>
          <w:lock w:val="contentLocked"/>
          <w:placeholder>
            <w:docPart w:val="A81F602006EA4C16A9F3206BB0D96450"/>
          </w:placeholder>
          <w:group/>
        </w:sdtPr>
        <w:sdtEndPr/>
        <w:sdtContent>
          <w:r w:rsidR="0008176F" w:rsidRPr="0008176F">
            <w:rPr>
              <w:caps/>
            </w:rPr>
            <w:t>A</w:t>
          </w:r>
        </w:sdtContent>
      </w:sdt>
      <w:r w:rsidR="0008176F" w:rsidRPr="0008176F">
        <w:rPr>
          <w:caps/>
        </w:rPr>
        <w:t xml:space="preserve"> </w:t>
      </w:r>
      <w:sdt>
        <w:sdtPr>
          <w:rPr>
            <w:caps/>
          </w:rPr>
          <w:alias w:val="D.M.A. candidates use &quot;document,&quot; all others use &quot;dissertation&quot;"/>
          <w:tag w:val="D.M.A. candidates use &quot;document,&quot; all others use &quot;dissertation&quot;"/>
          <w:id w:val="11707811"/>
          <w:placeholder>
            <w:docPart w:val="759BC30D3C1F4056B5956C77E5F08E9F"/>
          </w:placeholder>
          <w:dropDownList>
            <w:listItem w:displayText="[Dissertation/Document]" w:value="[Dissertation/Document]"/>
            <w:listItem w:displayText="Dissertation" w:value="Dissertation"/>
            <w:listItem w:displayText="Document" w:value="Document"/>
          </w:dropDownList>
        </w:sdtPr>
        <w:sdtEndPr/>
        <w:sdtContent>
          <w:r w:rsidR="00DC0A8C">
            <w:rPr>
              <w:caps/>
            </w:rPr>
            <w:t>Dissertation</w:t>
          </w:r>
        </w:sdtContent>
      </w:sdt>
    </w:p>
    <w:p w:rsidR="0008176F" w:rsidRPr="0008176F" w:rsidRDefault="0008176F" w:rsidP="0008176F">
      <w:pPr>
        <w:pStyle w:val="NoSpacing"/>
        <w:jc w:val="center"/>
        <w:rPr>
          <w:caps/>
        </w:rPr>
      </w:pPr>
    </w:p>
    <w:sdt>
      <w:sdtPr>
        <w:rPr>
          <w:caps/>
        </w:rPr>
        <w:id w:val="11707818"/>
        <w:lock w:val="contentLocked"/>
        <w:placeholder>
          <w:docPart w:val="A81F602006EA4C16A9F3206BB0D96450"/>
        </w:placeholder>
        <w:group/>
      </w:sdtPr>
      <w:sdtEndPr>
        <w:rPr>
          <w:caps w:val="0"/>
        </w:rPr>
      </w:sdtEndPr>
      <w:sdtContent>
        <w:p w:rsidR="0008176F" w:rsidRPr="0008176F" w:rsidRDefault="0008176F" w:rsidP="0008176F">
          <w:pPr>
            <w:pStyle w:val="NoSpacing"/>
            <w:jc w:val="center"/>
            <w:rPr>
              <w:caps/>
            </w:rPr>
          </w:pPr>
          <w:r w:rsidRPr="0008176F">
            <w:rPr>
              <w:caps/>
            </w:rPr>
            <w:t>submitted to the Graduate Faculty</w:t>
          </w:r>
        </w:p>
        <w:p w:rsidR="0008176F" w:rsidRDefault="0008176F" w:rsidP="0008176F">
          <w:pPr>
            <w:pStyle w:val="NoSpacing"/>
            <w:jc w:val="center"/>
          </w:pPr>
        </w:p>
        <w:p w:rsidR="0008176F" w:rsidRDefault="0008176F" w:rsidP="0008176F">
          <w:pPr>
            <w:pStyle w:val="NoSpacing"/>
            <w:jc w:val="center"/>
          </w:pPr>
          <w:r>
            <w:t>in partial fulfillment of the requirements for the</w:t>
          </w:r>
        </w:p>
        <w:p w:rsidR="0008176F" w:rsidRDefault="0008176F" w:rsidP="0008176F">
          <w:pPr>
            <w:pStyle w:val="NoSpacing"/>
            <w:jc w:val="center"/>
          </w:pPr>
        </w:p>
        <w:p w:rsidR="0008176F" w:rsidRDefault="0008176F" w:rsidP="0008176F">
          <w:pPr>
            <w:pStyle w:val="NoSpacing"/>
            <w:jc w:val="center"/>
          </w:pPr>
          <w:r>
            <w:t>Degree of</w:t>
          </w:r>
        </w:p>
      </w:sdtContent>
    </w:sdt>
    <w:p w:rsidR="0008176F" w:rsidRDefault="0008176F" w:rsidP="0008176F">
      <w:pPr>
        <w:pStyle w:val="NoSpacing"/>
        <w:jc w:val="center"/>
      </w:pPr>
    </w:p>
    <w:sdt>
      <w:sdtPr>
        <w:rPr>
          <w:caps/>
        </w:rPr>
        <w:alias w:val="Select the exact name of your degree"/>
        <w:tag w:val="Exact name of your degree in ALL CAPS"/>
        <w:id w:val="8173860"/>
        <w:placeholder>
          <w:docPart w:val="F1B82404F8FA4860B21733FA70F7B5FC"/>
        </w:placeholder>
        <w:dropDownList>
          <w:listItem w:displayText="[DOCTOR OF...]" w:value="[DOCTOR OF...]"/>
          <w:listItem w:displayText="Doctor of Philosophy" w:value="Doctor of Philosophy"/>
          <w:listItem w:displayText="Doctor of Education" w:value="Doctor of Education"/>
          <w:listItem w:displayText="Doctor of Musical Arts" w:value="Doctor of Musical Arts"/>
        </w:dropDownList>
      </w:sdtPr>
      <w:sdtEndPr/>
      <w:sdtContent>
        <w:p w:rsidR="00746E16" w:rsidRDefault="00DC0A8C" w:rsidP="00746E16">
          <w:pPr>
            <w:pStyle w:val="NoSpacing"/>
            <w:spacing w:line="480" w:lineRule="auto"/>
            <w:jc w:val="center"/>
            <w:rPr>
              <w:caps/>
            </w:rPr>
          </w:pPr>
          <w:r>
            <w:rPr>
              <w:caps/>
            </w:rPr>
            <w:t>Doctor of Philosophy</w:t>
          </w:r>
        </w:p>
      </w:sdtContent>
    </w:sdt>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p>
    <w:p w:rsidR="00730F0A" w:rsidRDefault="00730F0A" w:rsidP="0008176F">
      <w:pPr>
        <w:pStyle w:val="NoSpacing"/>
        <w:jc w:val="center"/>
      </w:pPr>
      <w:r>
        <w:t>By</w:t>
      </w:r>
    </w:p>
    <w:p w:rsidR="00730F0A" w:rsidRDefault="00730F0A" w:rsidP="0008176F">
      <w:pPr>
        <w:pStyle w:val="NoSpacing"/>
        <w:jc w:val="center"/>
      </w:pPr>
    </w:p>
    <w:sdt>
      <w:sdtPr>
        <w:rPr>
          <w:caps/>
        </w:rPr>
        <w:alias w:val="Click to enter your name (must match University records)"/>
        <w:tag w:val="Click to enter your name (must match University records)"/>
        <w:id w:val="24310776"/>
        <w:lock w:val="sdtLocked"/>
        <w:placeholder>
          <w:docPart w:val="C1945CF0ED4049C18F4A68F0D792BBEB"/>
        </w:placeholder>
      </w:sdtPr>
      <w:sdtEndPr/>
      <w:sdtContent>
        <w:p w:rsidR="00746E16" w:rsidRDefault="00DC0A8C" w:rsidP="00746E16">
          <w:pPr>
            <w:pStyle w:val="NoSpacing"/>
            <w:jc w:val="center"/>
            <w:rPr>
              <w:caps/>
            </w:rPr>
          </w:pPr>
          <w:r>
            <w:rPr>
              <w:caps/>
            </w:rPr>
            <w:t>MAHESH BUDHATHOKI</w:t>
          </w:r>
        </w:p>
      </w:sdtContent>
    </w:sdt>
    <w:sdt>
      <w:sdtPr>
        <w:id w:val="30091838"/>
        <w:lock w:val="contentLocked"/>
        <w:placeholder>
          <w:docPart w:val="A81F602006EA4C16A9F3206BB0D96450"/>
        </w:placeholder>
        <w:group/>
      </w:sdtPr>
      <w:sdtEndPr/>
      <w:sdtContent>
        <w:p w:rsidR="00730F0A" w:rsidRDefault="00746E16" w:rsidP="00746E16">
          <w:pPr>
            <w:pStyle w:val="NoSpacing"/>
            <w:jc w:val="center"/>
          </w:pPr>
          <w:r>
            <w:t xml:space="preserve"> </w:t>
          </w:r>
          <w:r w:rsidR="00730F0A">
            <w:t>Norman, Oklahoma</w:t>
          </w:r>
        </w:p>
      </w:sdtContent>
    </w:sdt>
    <w:sdt>
      <w:sdtPr>
        <w:alias w:val="Click to enter the year you are depositing the thesis"/>
        <w:tag w:val="Click to enter the year you are depositing the thesis"/>
        <w:id w:val="30091842"/>
        <w:placeholder>
          <w:docPart w:val="A81F602006EA4C16A9F3206BB0D96450"/>
        </w:placeholder>
      </w:sdtPr>
      <w:sdtEndPr/>
      <w:sdtContent>
        <w:p w:rsidR="00730F0A" w:rsidRDefault="00DC0A8C" w:rsidP="00730F0A">
          <w:pPr>
            <w:pStyle w:val="NoSpacing"/>
            <w:jc w:val="center"/>
          </w:pPr>
          <w:r>
            <w:t>2015</w:t>
          </w:r>
        </w:p>
      </w:sdtContent>
    </w:sdt>
    <w:p w:rsidR="00730F0A" w:rsidRDefault="00730F0A" w:rsidP="00730F0A">
      <w:pPr>
        <w:pStyle w:val="NoSpacing"/>
        <w:jc w:val="center"/>
      </w:pPr>
    </w:p>
    <w:p w:rsidR="00F93475" w:rsidRDefault="00F93475" w:rsidP="00730F0A">
      <w:pPr>
        <w:pStyle w:val="NoSpacing"/>
        <w:jc w:val="center"/>
      </w:pPr>
    </w:p>
    <w:p w:rsidR="00F93475" w:rsidRDefault="00F93475" w:rsidP="00730F0A">
      <w:pPr>
        <w:pStyle w:val="NoSpacing"/>
        <w:jc w:val="center"/>
      </w:pPr>
    </w:p>
    <w:p w:rsidR="00730F0A" w:rsidRDefault="00730F0A" w:rsidP="00730F0A">
      <w:pPr>
        <w:pStyle w:val="NoSpacing"/>
        <w:jc w:val="center"/>
      </w:pPr>
    </w:p>
    <w:p w:rsidR="00730F0A" w:rsidRDefault="00730F0A" w:rsidP="00730F0A">
      <w:pPr>
        <w:pStyle w:val="NoSpacing"/>
        <w:jc w:val="center"/>
      </w:pPr>
    </w:p>
    <w:sdt>
      <w:sdtPr>
        <w:rPr>
          <w:caps/>
        </w:rPr>
        <w:alias w:val="Click to enter dissertation title"/>
        <w:tag w:val="Click to enter dissertation title"/>
        <w:id w:val="30091843"/>
        <w:lock w:val="sdtLocked"/>
        <w:placeholder>
          <w:docPart w:val="A81F602006EA4C16A9F3206BB0D96450"/>
        </w:placeholder>
      </w:sdtPr>
      <w:sdtEndPr/>
      <w:sdtContent>
        <w:p w:rsidR="00730F0A" w:rsidRPr="00730F0A" w:rsidRDefault="006C6B86" w:rsidP="00730F0A">
          <w:pPr>
            <w:pStyle w:val="NoSpacing"/>
            <w:jc w:val="center"/>
            <w:rPr>
              <w:caps/>
            </w:rPr>
          </w:pPr>
          <w:r>
            <w:rPr>
              <w:caps/>
            </w:rPr>
            <w:t>surfactant-only eor for high salinity brine</w:t>
          </w:r>
        </w:p>
      </w:sdtContent>
    </w:sdt>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1C58A2" w:rsidP="00730F0A">
      <w:pPr>
        <w:pStyle w:val="NoSpacing"/>
        <w:jc w:val="center"/>
        <w:rPr>
          <w:caps/>
        </w:rPr>
      </w:pPr>
      <w:sdt>
        <w:sdtPr>
          <w:rPr>
            <w:caps/>
          </w:rPr>
          <w:id w:val="11707828"/>
          <w:lock w:val="contentLocked"/>
          <w:placeholder>
            <w:docPart w:val="A81F602006EA4C16A9F3206BB0D96450"/>
          </w:placeholder>
          <w:group/>
        </w:sdtPr>
        <w:sdtEndPr/>
        <w:sdtContent>
          <w:r w:rsidR="00730F0A" w:rsidRPr="00730F0A">
            <w:rPr>
              <w:caps/>
            </w:rPr>
            <w:t>A</w:t>
          </w:r>
        </w:sdtContent>
      </w:sdt>
      <w:r w:rsidR="00730F0A" w:rsidRPr="00730F0A">
        <w:rPr>
          <w:caps/>
        </w:rPr>
        <w:t xml:space="preserve"> </w:t>
      </w:r>
      <w:sdt>
        <w:sdtPr>
          <w:rPr>
            <w:caps/>
          </w:rPr>
          <w:alias w:val="D.M.A. candidates use &quot;document,&quot; all others use &quot;dissertation&quot;"/>
          <w:tag w:val="D.M.A. candidates use &quot;document,&quot; all others use &quot;dissertation&quot;"/>
          <w:id w:val="11707821"/>
          <w:placeholder>
            <w:docPart w:val="759BC30D3C1F4056B5956C77E5F08E9F"/>
          </w:placeholder>
          <w:dropDownList>
            <w:listItem w:displayText="[Dissertation/Document]" w:value="[Dissertation/Document]"/>
            <w:listItem w:displayText="Dissertation" w:value="Dissertation"/>
            <w:listItem w:displayText="Document" w:value="Document"/>
          </w:dropDownList>
        </w:sdtPr>
        <w:sdtEndPr/>
        <w:sdtContent>
          <w:r w:rsidR="0052566C">
            <w:rPr>
              <w:caps/>
            </w:rPr>
            <w:t>Dissertation</w:t>
          </w:r>
        </w:sdtContent>
      </w:sdt>
      <w:sdt>
        <w:sdtPr>
          <w:rPr>
            <w:caps/>
          </w:rPr>
          <w:id w:val="11707829"/>
          <w:lock w:val="contentLocked"/>
          <w:placeholder>
            <w:docPart w:val="A81F602006EA4C16A9F3206BB0D96450"/>
          </w:placeholder>
          <w:group/>
        </w:sdtPr>
        <w:sdtEndPr/>
        <w:sdtContent>
          <w:r w:rsidR="00730F0A" w:rsidRPr="00730F0A">
            <w:rPr>
              <w:caps/>
            </w:rPr>
            <w:t xml:space="preserve"> approved for the</w:t>
          </w:r>
        </w:sdtContent>
      </w:sdt>
    </w:p>
    <w:sdt>
      <w:sdtPr>
        <w:rPr>
          <w:caps/>
        </w:rPr>
        <w:alias w:val="Select the exact name of your academic unit"/>
        <w:tag w:val="Exact name of your academic unit in ALL CAPS"/>
        <w:id w:val="8173889"/>
        <w:placeholder>
          <w:docPart w:val="D03C234346724BF78727F2B57D844BFF"/>
        </w:placeholder>
        <w:dropDownList>
          <w:listItem w:value="[EXACT NAME OF YOUR ACADEMIC UNIT IN ALL CAPS]"/>
          <w:listItem w:displayText="School of Aerospace and Mechanical Engineering" w:value="School of Aerospace and Mechanical Engineering"/>
          <w:listItem w:displayText="Department of Anthropology" w:value="Department of Anthropology"/>
          <w:listItem w:displayText="School of Art and Art History" w:value="School of Art and Art History"/>
          <w:listItem w:displayText="Department of Bioengineering" w:value="Department of Bioengineering"/>
          <w:listItem w:displayText="Department of Biology" w:value="Department of Biology"/>
          <w:listItem w:displayText="Michael F. Price College of Business" w:value="Michael F. Price College of Business"/>
          <w:listItem w:displayText="Department of Chemistry and Biochemistry" w:value="Department of Chemistry and Biochemistry"/>
          <w:listItem w:displayText="School of Chemical, Biological and Materials Engineering" w:value="School of Chemical, Biological and Materials Engineering"/>
          <w:listItem w:displayText="School of Civil Engineering and Environmental Science" w:value="School of Civil Engineering and Environmental Science"/>
          <w:listItem w:displayText="Department of Communication" w:value="Department of Communication"/>
          <w:listItem w:displayText="School of Computer Science" w:value="School of Computer Science"/>
          <w:listItem w:displayText="Department of Economics" w:value="Department of Economics"/>
          <w:listItem w:displayText="Department of Educational Leadership and Policy Studies" w:value="Department of Educational Leadership and Policy Studies"/>
          <w:listItem w:displayText="Department of Educational Psychology" w:value="Department of Educational Psychology"/>
          <w:listItem w:displayText="School of Electrical and Computer Engineering" w:value="School of Electrical and Computer Engineering"/>
          <w:listItem w:displayText="Department of Engineering" w:value="Department of Engineering"/>
          <w:listItem w:displayText="Department of Engineering Physics" w:value="Department of Engineering Physics"/>
          <w:listItem w:displayText="Department of English" w:value="Department of English"/>
          <w:listItem w:displayText="Department of Geography and Environmental Sustainability" w:value="Department of Geography and Environmental Sustainability"/>
          <w:listItem w:displayText="ConocoPhillips School of Geology and Geophysics" w:value="ConocoPhillips School of Geology and Geophysics"/>
          <w:listItem w:displayText="Graduate College" w:value="Graduate College"/>
          <w:listItem w:displayText="Department of Health and Exercise Science" w:value="Department of Health and Exercise Science"/>
          <w:listItem w:displayText="Department of History" w:value="Department of History"/>
          <w:listItem w:displayText="Department of History of Science" w:value="Department of History of Science"/>
          <w:listItem w:displayText="School of Industrial and Systems Engineering" w:value="School of Industrial and Systems Engineering"/>
          <w:listItem w:displayText="Department of Instructional Leadership and Academic Curriculum" w:value="Department of Instructional Leadership and Academic Curriculum"/>
          <w:listItem w:displayText="Gaylord College of Journalism and Mass Communication" w:value="Gaylord College of Journalism and Mass Communication"/>
          <w:listItem w:displayText="Department of Mathematics" w:value="Department of Mathematics"/>
          <w:listItem w:displayText="School of Meteorology" w:value="School of Meteorology"/>
          <w:listItem w:displayText="Department of Microbiology and Plant Biology" w:value="Department of Microbiology and Plant Biology"/>
          <w:listItem w:displayText="Department of Modern Languages, Literatures, and Linguistics" w:value="Department of Modern Languages, Literatures, and Linguistics"/>
          <w:listItem w:displayText="School of Music" w:value="School of Music"/>
          <w:listItem w:displayText="Mewbourne School of Petroleum and Geological Engineering" w:value="Mewbourne School of Petroleum and Geological Engineering"/>
          <w:listItem w:displayText="Department of Philosophy" w:value="Department of Philosophy"/>
          <w:listItem w:displayText="Homer L. Dodge Department of Physics and Astronomy" w:value="Homer L. Dodge Department of Physics and Astronomy"/>
          <w:listItem w:displayText="Department of Political Science" w:value="Department of Political Science"/>
          <w:listItem w:displayText="Department of Psychology" w:value="Department of Psychology"/>
          <w:listItem w:displayText="Department of Sociology" w:value="Department of Sociology"/>
        </w:dropDownList>
      </w:sdtPr>
      <w:sdtEndPr/>
      <w:sdtContent>
        <w:p w:rsidR="00746E16" w:rsidRDefault="00EC7B28" w:rsidP="00746E16">
          <w:pPr>
            <w:pStyle w:val="NoSpacing"/>
            <w:jc w:val="center"/>
            <w:rPr>
              <w:caps/>
            </w:rPr>
          </w:pPr>
          <w:r>
            <w:rPr>
              <w:caps/>
            </w:rPr>
            <w:t>School of Chemical, Biological and Materials Engineering</w:t>
          </w:r>
        </w:p>
      </w:sdtContent>
    </w:sdt>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p w:rsidR="00730F0A" w:rsidRPr="00730F0A" w:rsidRDefault="00730F0A" w:rsidP="00730F0A">
      <w:pPr>
        <w:pStyle w:val="NoSpacing"/>
        <w:jc w:val="center"/>
        <w:rPr>
          <w:caps/>
        </w:rPr>
      </w:pPr>
    </w:p>
    <w:sdt>
      <w:sdtPr>
        <w:rPr>
          <w:caps/>
          <w:color w:val="808080"/>
        </w:rPr>
        <w:id w:val="30091876"/>
        <w:lock w:val="contentLocked"/>
        <w:placeholder>
          <w:docPart w:val="A81F602006EA4C16A9F3206BB0D96450"/>
        </w:placeholder>
        <w:group/>
      </w:sdtPr>
      <w:sdtEndPr/>
      <w:sdtContent>
        <w:p w:rsidR="00730F0A" w:rsidRPr="00730F0A" w:rsidRDefault="00730F0A" w:rsidP="00730F0A">
          <w:pPr>
            <w:pStyle w:val="NoSpacing"/>
            <w:jc w:val="center"/>
            <w:rPr>
              <w:caps/>
            </w:rPr>
          </w:pPr>
          <w:r w:rsidRPr="00730F0A">
            <w:rPr>
              <w:caps/>
            </w:rPr>
            <w:t>By</w:t>
          </w:r>
        </w:p>
      </w:sdtContent>
    </w:sdt>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Pr="006B4721" w:rsidRDefault="00730F0A" w:rsidP="00730F0A">
      <w:pPr>
        <w:pStyle w:val="NoSpacing"/>
        <w:jc w:val="right"/>
      </w:pPr>
      <w:r>
        <w:tab/>
      </w:r>
      <w:r>
        <w:tab/>
      </w:r>
      <w:r>
        <w:tab/>
      </w:r>
      <w:r>
        <w:tab/>
      </w:r>
      <w:r w:rsidR="006B4721">
        <w:t>______________________________</w:t>
      </w:r>
    </w:p>
    <w:p w:rsidR="00730F0A" w:rsidRDefault="001C58A2" w:rsidP="00730F0A">
      <w:pPr>
        <w:pStyle w:val="NoSpacing"/>
        <w:jc w:val="right"/>
      </w:pPr>
      <w:sdt>
        <w:sdtPr>
          <w:id w:val="2462164"/>
          <w:lock w:val="contentLocked"/>
          <w:placeholder>
            <w:docPart w:val="A81F602006EA4C16A9F3206BB0D96450"/>
          </w:placeholder>
          <w:group/>
        </w:sdtPr>
        <w:sdtEndPr/>
        <w:sdtContent>
          <w:sdt>
            <w:sdtPr>
              <w:id w:val="11707793"/>
              <w:lock w:val="contentLocked"/>
              <w:placeholder>
                <w:docPart w:val="A81F602006EA4C16A9F3206BB0D96450"/>
              </w:placeholder>
              <w:group/>
            </w:sdtPr>
            <w:sdtEndPr/>
            <w:sdtContent>
              <w:r w:rsidR="00FF0F0F">
                <w:t>Dr.</w:t>
              </w:r>
            </w:sdtContent>
          </w:sdt>
        </w:sdtContent>
      </w:sdt>
      <w:r w:rsidR="00FF0F0F">
        <w:t xml:space="preserve"> </w:t>
      </w:r>
      <w:sdt>
        <w:sdtPr>
          <w:alias w:val="Click to enter committee chair name"/>
          <w:tag w:val="committee chair"/>
          <w:id w:val="30091849"/>
          <w:lock w:val="sdtLocked"/>
          <w:placeholder>
            <w:docPart w:val="A81F602006EA4C16A9F3206BB0D96450"/>
          </w:placeholder>
        </w:sdtPr>
        <w:sdtEndPr/>
        <w:sdtContent>
          <w:r w:rsidR="00EC7B28">
            <w:t>Jeffrey H. Harwell</w:t>
          </w:r>
        </w:sdtContent>
      </w:sdt>
      <w:r w:rsidR="00730F0A">
        <w:t>, Chair</w:t>
      </w:r>
    </w:p>
    <w:p w:rsidR="00730F0A" w:rsidRDefault="00730F0A" w:rsidP="00730F0A">
      <w:pPr>
        <w:pStyle w:val="NoSpacing"/>
        <w:jc w:val="right"/>
      </w:pPr>
    </w:p>
    <w:p w:rsidR="00730F0A" w:rsidRDefault="00730F0A" w:rsidP="00730F0A">
      <w:pPr>
        <w:pStyle w:val="NoSpacing"/>
        <w:jc w:val="right"/>
      </w:pPr>
    </w:p>
    <w:p w:rsidR="00730F0A" w:rsidRPr="006B4721" w:rsidRDefault="006B4721" w:rsidP="00730F0A">
      <w:pPr>
        <w:pStyle w:val="NoSpacing"/>
        <w:jc w:val="right"/>
      </w:pPr>
      <w:r>
        <w:t>______________________________</w:t>
      </w:r>
    </w:p>
    <w:p w:rsidR="00730F0A" w:rsidRDefault="001C58A2" w:rsidP="00730F0A">
      <w:pPr>
        <w:pStyle w:val="NoSpacing"/>
        <w:jc w:val="right"/>
      </w:pPr>
      <w:sdt>
        <w:sdtPr>
          <w:alias w:val="Select the appropriate prefix"/>
          <w:tag w:val="Prefix"/>
          <w:id w:val="8173872"/>
          <w:placeholder>
            <w:docPart w:val="FF296B929162474DB1A26C89C367C4FC"/>
          </w:placeholder>
          <w:dropDownList>
            <w:listItem w:displayText="[Prefix]" w:value="[Prefix]"/>
            <w:listItem w:displayText="Dr." w:value="Dr."/>
            <w:listItem w:displayText="Mr." w:value="Mr."/>
            <w:listItem w:displayText="Mrs." w:value="Mrs."/>
            <w:listItem w:displayText="Ms." w:value="Ms."/>
          </w:dropDownList>
        </w:sdtPr>
        <w:sdtEndPr/>
        <w:sdtContent>
          <w:r w:rsidR="00EC7B28">
            <w:t>Dr.</w:t>
          </w:r>
        </w:sdtContent>
      </w:sdt>
      <w:r w:rsidR="00730F0A">
        <w:t xml:space="preserve"> </w:t>
      </w:r>
      <w:sdt>
        <w:sdtPr>
          <w:alias w:val="Click to enter 2nd member name"/>
          <w:tag w:val="2nd member"/>
          <w:id w:val="30091850"/>
          <w:lock w:val="sdtLocked"/>
          <w:placeholder>
            <w:docPart w:val="4E747200787E4E0C91EFDA8465C0B418"/>
          </w:placeholder>
        </w:sdtPr>
        <w:sdtEndPr/>
        <w:sdtContent>
          <w:r w:rsidR="00EC7B28">
            <w:t>Bor-Jier (Ben) Shiau</w:t>
          </w:r>
        </w:sdtContent>
      </w:sdt>
    </w:p>
    <w:p w:rsidR="00730F0A" w:rsidRDefault="00730F0A" w:rsidP="00730F0A">
      <w:pPr>
        <w:pStyle w:val="NoSpacing"/>
        <w:jc w:val="right"/>
      </w:pPr>
    </w:p>
    <w:p w:rsidR="00730F0A" w:rsidRDefault="00730F0A" w:rsidP="00730F0A">
      <w:pPr>
        <w:pStyle w:val="NoSpacing"/>
        <w:jc w:val="right"/>
      </w:pPr>
    </w:p>
    <w:p w:rsidR="00730F0A" w:rsidRPr="006B4721" w:rsidRDefault="006B4721" w:rsidP="00730F0A">
      <w:pPr>
        <w:pStyle w:val="NoSpacing"/>
        <w:jc w:val="right"/>
      </w:pPr>
      <w:r>
        <w:t>______________________________</w:t>
      </w:r>
    </w:p>
    <w:p w:rsidR="00730F0A" w:rsidRDefault="001C58A2" w:rsidP="00730F0A">
      <w:pPr>
        <w:pStyle w:val="NoSpacing"/>
        <w:jc w:val="right"/>
      </w:pPr>
      <w:sdt>
        <w:sdtPr>
          <w:alias w:val="Select the appropriate prefix"/>
          <w:tag w:val="Prefix"/>
          <w:id w:val="30091851"/>
          <w:placeholder>
            <w:docPart w:val="B0B85ABE7B3F434EA51BA9771FBB6931"/>
          </w:placeholder>
          <w:dropDownList>
            <w:listItem w:displayText="[Prefix]" w:value="[Prefix]"/>
            <w:listItem w:displayText="Dr." w:value="Dr."/>
            <w:listItem w:displayText="Mr." w:value="Mr."/>
            <w:listItem w:displayText="Mrs." w:value="Mrs."/>
            <w:listItem w:displayText="Ms." w:value="Ms."/>
          </w:dropDownList>
        </w:sdtPr>
        <w:sdtEndPr/>
        <w:sdtContent>
          <w:r w:rsidR="00EC7B28">
            <w:t>Dr.</w:t>
          </w:r>
        </w:sdtContent>
      </w:sdt>
      <w:r w:rsidR="00746E16">
        <w:t xml:space="preserve"> </w:t>
      </w:r>
      <w:sdt>
        <w:sdtPr>
          <w:alias w:val="Click to enter 3rd member name"/>
          <w:tag w:val="3rd member"/>
          <w:id w:val="30091852"/>
          <w:lock w:val="sdtLocked"/>
          <w:placeholder>
            <w:docPart w:val="91E92CC32A8647FC976FCB879BC11161"/>
          </w:placeholder>
        </w:sdtPr>
        <w:sdtEndPr/>
        <w:sdtContent>
          <w:r w:rsidR="00EC7B28">
            <w:t>Ahmad Jamili</w:t>
          </w:r>
        </w:sdtContent>
      </w:sdt>
    </w:p>
    <w:p w:rsidR="00730F0A" w:rsidRDefault="00730F0A" w:rsidP="00730F0A">
      <w:pPr>
        <w:pStyle w:val="NoSpacing"/>
        <w:jc w:val="right"/>
      </w:pPr>
    </w:p>
    <w:p w:rsidR="00730F0A" w:rsidRDefault="00730F0A" w:rsidP="00730F0A">
      <w:pPr>
        <w:pStyle w:val="NoSpacing"/>
        <w:jc w:val="right"/>
      </w:pPr>
    </w:p>
    <w:p w:rsidR="00730F0A" w:rsidRPr="006B4721" w:rsidRDefault="006B4721" w:rsidP="00730F0A">
      <w:pPr>
        <w:pStyle w:val="NoSpacing"/>
        <w:jc w:val="right"/>
      </w:pPr>
      <w:r>
        <w:t>______________________________</w:t>
      </w:r>
    </w:p>
    <w:p w:rsidR="00FF0F0F" w:rsidRDefault="001C58A2" w:rsidP="00FF0F0F">
      <w:pPr>
        <w:pStyle w:val="NoSpacing"/>
        <w:jc w:val="right"/>
      </w:pPr>
      <w:sdt>
        <w:sdtPr>
          <w:alias w:val="Select the appropriate prefix"/>
          <w:tag w:val="Prefix"/>
          <w:id w:val="30091854"/>
          <w:placeholder>
            <w:docPart w:val="3CBB864A9504463080A39DB16F6A8615"/>
          </w:placeholder>
          <w:dropDownList>
            <w:listItem w:displayText="[Prefix]" w:value="[Prefix]"/>
            <w:listItem w:displayText="Dr." w:value="Dr."/>
            <w:listItem w:displayText="Mr." w:value="Mr."/>
            <w:listItem w:displayText="Mrs." w:value="Mrs."/>
            <w:listItem w:displayText="Ms." w:value="Ms."/>
          </w:dropDownList>
        </w:sdtPr>
        <w:sdtEndPr/>
        <w:sdtContent>
          <w:r w:rsidR="00EC7B28">
            <w:t>Dr.</w:t>
          </w:r>
        </w:sdtContent>
      </w:sdt>
      <w:r w:rsidR="00730F0A">
        <w:t xml:space="preserve"> </w:t>
      </w:r>
      <w:sdt>
        <w:sdtPr>
          <w:alias w:val="Click to enter 4th member name"/>
          <w:tag w:val="4th member"/>
          <w:id w:val="30091855"/>
          <w:lock w:val="sdtLocked"/>
          <w:placeholder>
            <w:docPart w:val="CDE79C69F22A480D9D131BF115AF9F60"/>
          </w:placeholder>
        </w:sdtPr>
        <w:sdtEndPr/>
        <w:sdtContent>
          <w:r w:rsidR="00EC7B28">
            <w:t>Edgar A. O’ Rear III</w:t>
          </w:r>
        </w:sdtContent>
      </w:sdt>
    </w:p>
    <w:p w:rsidR="00FF0F0F" w:rsidRDefault="00FF0F0F" w:rsidP="00FF0F0F">
      <w:pPr>
        <w:pStyle w:val="NoSpacing"/>
        <w:jc w:val="right"/>
      </w:pPr>
    </w:p>
    <w:p w:rsidR="00FF0F0F" w:rsidRDefault="00FF0F0F" w:rsidP="00FF0F0F">
      <w:pPr>
        <w:pStyle w:val="NoSpacing"/>
        <w:jc w:val="right"/>
      </w:pPr>
    </w:p>
    <w:p w:rsidR="00FF0F0F" w:rsidRPr="006B4721" w:rsidRDefault="006B4721" w:rsidP="00FF0F0F">
      <w:pPr>
        <w:pStyle w:val="NoSpacing"/>
        <w:jc w:val="right"/>
      </w:pPr>
      <w:r>
        <w:t>______________________________</w:t>
      </w:r>
    </w:p>
    <w:p w:rsidR="00FF0F0F" w:rsidRDefault="001C58A2" w:rsidP="00FF0F0F">
      <w:pPr>
        <w:pStyle w:val="NoSpacing"/>
        <w:jc w:val="right"/>
      </w:pPr>
      <w:sdt>
        <w:sdtPr>
          <w:alias w:val="Select the appropriate prefix"/>
          <w:tag w:val="Prefix"/>
          <w:id w:val="11707803"/>
          <w:placeholder>
            <w:docPart w:val="6A6DE978A9E340799322029104930F95"/>
          </w:placeholder>
          <w:dropDownList>
            <w:listItem w:displayText="[Prefix]" w:value="[Prefix]"/>
            <w:listItem w:displayText="Dr." w:value="Dr."/>
            <w:listItem w:displayText="Mr." w:value="Mr."/>
            <w:listItem w:displayText="Mrs." w:value="Mrs."/>
            <w:listItem w:displayText="Ms." w:value="Ms."/>
          </w:dropDownList>
        </w:sdtPr>
        <w:sdtEndPr/>
        <w:sdtContent>
          <w:r w:rsidR="00EC7B28">
            <w:t>Dr.</w:t>
          </w:r>
        </w:sdtContent>
      </w:sdt>
      <w:r w:rsidR="00FF0F0F">
        <w:t xml:space="preserve"> </w:t>
      </w:r>
      <w:sdt>
        <w:sdtPr>
          <w:alias w:val="Click to enter 5th member name"/>
          <w:tag w:val="5th member"/>
          <w:id w:val="11707804"/>
          <w:lock w:val="sdtLocked"/>
          <w:placeholder>
            <w:docPart w:val="7EC8D7C93170496D8C44606F111D3434"/>
          </w:placeholder>
        </w:sdtPr>
        <w:sdtEndPr/>
        <w:sdtContent>
          <w:r w:rsidR="00EC7B28">
            <w:t>Lance L. Lobban</w:t>
          </w:r>
        </w:sdtContent>
      </w:sdt>
    </w:p>
    <w:p w:rsidR="00730F0A" w:rsidRDefault="00730F0A" w:rsidP="00730F0A">
      <w:pPr>
        <w:pStyle w:val="NoSpacing"/>
        <w:jc w:val="right"/>
      </w:pPr>
    </w:p>
    <w:p w:rsidR="00730F0A" w:rsidRPr="006B4721" w:rsidRDefault="00730F0A" w:rsidP="00EC7B28">
      <w:pPr>
        <w:pStyle w:val="NoSpacing"/>
      </w:pPr>
    </w:p>
    <w:p w:rsidR="00730F0A" w:rsidRDefault="00730F0A" w:rsidP="00730F0A">
      <w:pPr>
        <w:pStyle w:val="NoSpacing"/>
        <w:jc w:val="right"/>
      </w:pPr>
    </w:p>
    <w:p w:rsidR="00730F0A" w:rsidRDefault="00730F0A" w:rsidP="00730F0A">
      <w:pPr>
        <w:pStyle w:val="NoSpacing"/>
        <w:jc w:val="center"/>
      </w:pPr>
      <w:r>
        <w:br w:type="page"/>
      </w: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730F0A" w:rsidP="00730F0A">
      <w:pPr>
        <w:pStyle w:val="NoSpacing"/>
        <w:jc w:val="center"/>
      </w:pPr>
    </w:p>
    <w:p w:rsidR="00730F0A" w:rsidRDefault="001C58A2" w:rsidP="00730F0A">
      <w:pPr>
        <w:pStyle w:val="NoSpacing"/>
        <w:jc w:val="center"/>
      </w:pPr>
      <w:sdt>
        <w:sdtPr>
          <w:id w:val="30091877"/>
          <w:lock w:val="contentLocked"/>
          <w:placeholder>
            <w:docPart w:val="A81F602006EA4C16A9F3206BB0D96450"/>
          </w:placeholder>
          <w:group/>
        </w:sdtPr>
        <w:sdtEndPr/>
        <w:sdtContent>
          <w:r w:rsidR="00730F0A">
            <w:t>© Copyright by</w:t>
          </w:r>
        </w:sdtContent>
      </w:sdt>
      <w:r w:rsidR="00730F0A">
        <w:t xml:space="preserve"> </w:t>
      </w:r>
      <w:sdt>
        <w:sdtPr>
          <w:alias w:val="Click here to enter your name (must match University records)"/>
          <w:tag w:val="Click here to enter your name (must match University records)"/>
          <w:id w:val="2590303"/>
          <w:lock w:val="sdtLocked"/>
          <w:placeholder>
            <w:docPart w:val="A81F602006EA4C16A9F3206BB0D96450"/>
          </w:placeholder>
        </w:sdtPr>
        <w:sdtEndPr>
          <w:rPr>
            <w:caps/>
          </w:rPr>
        </w:sdtEndPr>
        <w:sdtContent>
          <w:r w:rsidR="00EC7B28">
            <w:rPr>
              <w:caps/>
            </w:rPr>
            <w:t>mahesh budhathoki</w:t>
          </w:r>
        </w:sdtContent>
      </w:sdt>
      <w:r w:rsidR="00730F0A">
        <w:t xml:space="preserve"> </w:t>
      </w:r>
      <w:sdt>
        <w:sdtPr>
          <w:alias w:val="Click to enter the year you are depositing thesis"/>
          <w:tag w:val="Click to enter the year you are depositing thesis"/>
          <w:id w:val="2590304"/>
          <w:lock w:val="sdtLocked"/>
          <w:placeholder>
            <w:docPart w:val="A81F602006EA4C16A9F3206BB0D96450"/>
          </w:placeholder>
        </w:sdtPr>
        <w:sdtEndPr/>
        <w:sdtContent>
          <w:r w:rsidR="00F85A47">
            <w:t>2015</w:t>
          </w:r>
        </w:sdtContent>
      </w:sdt>
    </w:p>
    <w:p w:rsidR="00730F0A" w:rsidRDefault="00730F0A" w:rsidP="00730F0A">
      <w:pPr>
        <w:pStyle w:val="NoSpacing"/>
        <w:jc w:val="center"/>
      </w:pPr>
      <w:r>
        <w:t>All Rights Reserved.</w:t>
      </w:r>
    </w:p>
    <w:p w:rsidR="00533F79" w:rsidRDefault="006F10CE" w:rsidP="00533F79">
      <w:pPr>
        <w:jc w:val="both"/>
      </w:pPr>
      <w:r>
        <w:br w:type="page"/>
      </w:r>
      <w:r w:rsidR="00554EEC">
        <w:lastRenderedPageBreak/>
        <w:t xml:space="preserve">I dedicate my dissertation work to my family and friends who supported me throughout the process. </w:t>
      </w:r>
      <w:r w:rsidR="00E7030B">
        <w:t xml:space="preserve">My grandparents </w:t>
      </w:r>
      <w:r w:rsidR="003B6B41">
        <w:t>who shared their experience and wisdom</w:t>
      </w:r>
      <w:r w:rsidR="00ED4911">
        <w:t xml:space="preserve"> with me</w:t>
      </w:r>
      <w:r w:rsidR="003B6B41">
        <w:t xml:space="preserve"> in a loving and caring way. My parent</w:t>
      </w:r>
      <w:r w:rsidR="00DE58F2">
        <w:t>s</w:t>
      </w:r>
      <w:r w:rsidR="003B6B41">
        <w:t xml:space="preserve"> whose </w:t>
      </w:r>
      <w:r w:rsidR="00266CE6">
        <w:t xml:space="preserve">love and </w:t>
      </w:r>
      <w:r w:rsidR="003B6B41">
        <w:t>words of encouragement</w:t>
      </w:r>
      <w:r w:rsidR="00266CE6">
        <w:t xml:space="preserve"> </w:t>
      </w:r>
      <w:r w:rsidR="003B6B41">
        <w:t xml:space="preserve">always </w:t>
      </w:r>
      <w:r w:rsidR="00DE58F2">
        <w:t>motivate</w:t>
      </w:r>
      <w:r w:rsidR="003B6B41">
        <w:t>d me</w:t>
      </w:r>
      <w:r w:rsidR="00266CE6">
        <w:t xml:space="preserve"> and helped me get this far</w:t>
      </w:r>
      <w:r w:rsidR="00ED4911">
        <w:t>. My brother who always inspired me through his goo</w:t>
      </w:r>
      <w:r w:rsidR="00266CE6">
        <w:t>d work ethic, humility and peaceful nature. My committee members</w:t>
      </w:r>
      <w:r w:rsidR="00220798">
        <w:t xml:space="preserve"> who gave me their time and expertise and helped me develop my technology skills. My friends who</w:t>
      </w:r>
      <w:r w:rsidR="000A597D">
        <w:t xml:space="preserve"> helped me and made me laugh in these years</w:t>
      </w:r>
      <w:r w:rsidR="00533F79">
        <w:t>. My girlfriend who always supported me, cared for me and was there for me in every pitfalls</w:t>
      </w:r>
      <w:r w:rsidR="005B4474">
        <w:t>. Thank you</w:t>
      </w:r>
      <w:r w:rsidR="00533F79">
        <w:t xml:space="preserve"> for being my best cheerleader. </w:t>
      </w:r>
    </w:p>
    <w:p w:rsidR="008E1C26" w:rsidRDefault="006F10CE" w:rsidP="008E1C26">
      <w:pPr>
        <w:sectPr w:rsidR="008E1C26" w:rsidSect="003A060D">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2304" w:header="720" w:footer="720" w:gutter="0"/>
          <w:cols w:space="720"/>
          <w:docGrid w:linePitch="360"/>
        </w:sectPr>
      </w:pPr>
      <w:r>
        <w:t xml:space="preserve"> </w:t>
      </w:r>
    </w:p>
    <w:p w:rsidR="008E1C26" w:rsidRDefault="00775701" w:rsidP="004511BE">
      <w:pPr>
        <w:pStyle w:val="Heading1"/>
      </w:pPr>
      <w:bookmarkStart w:id="0" w:name="_Toc310579464"/>
      <w:bookmarkStart w:id="1" w:name="_Toc426374002"/>
      <w:r>
        <w:lastRenderedPageBreak/>
        <w:t>Acknowledgements</w:t>
      </w:r>
      <w:bookmarkEnd w:id="0"/>
      <w:bookmarkEnd w:id="1"/>
    </w:p>
    <w:p w:rsidR="003450B1" w:rsidRDefault="0001230D" w:rsidP="0001230D">
      <w:pPr>
        <w:jc w:val="both"/>
      </w:pPr>
      <w:r>
        <w:t xml:space="preserve">The author would </w:t>
      </w:r>
      <w:r w:rsidR="005B4474" w:rsidRPr="005B4474">
        <w:t xml:space="preserve">like to </w:t>
      </w:r>
      <w:r>
        <w:t xml:space="preserve">give special </w:t>
      </w:r>
      <w:r w:rsidRPr="005B4474">
        <w:t>thanks</w:t>
      </w:r>
      <w:r w:rsidR="005B4474" w:rsidRPr="005B4474">
        <w:t xml:space="preserve"> </w:t>
      </w:r>
      <w:r>
        <w:t xml:space="preserve">to </w:t>
      </w:r>
      <w:r w:rsidR="005B4474" w:rsidRPr="005B4474">
        <w:t>Oklahoma Economic De</w:t>
      </w:r>
      <w:r w:rsidR="005B4474" w:rsidRPr="005B4474">
        <w:rPr>
          <w:rFonts w:hint="eastAsia"/>
        </w:rPr>
        <w:t>velop</w:t>
      </w:r>
      <w:r w:rsidR="005B4474" w:rsidRPr="005B4474">
        <w:t>ment Generating Excellence (Grant number: EDGE09-013-FP) and Research Partnership to Secure Energy for America (RPSEA project number: 11123-24) for financially supporting this research</w:t>
      </w:r>
      <w:r>
        <w:t xml:space="preserve">. </w:t>
      </w:r>
      <w:r w:rsidRPr="0001230D">
        <w:t xml:space="preserve">The authors would </w:t>
      </w:r>
      <w:r>
        <w:t xml:space="preserve">also </w:t>
      </w:r>
      <w:r w:rsidRPr="0001230D">
        <w:t xml:space="preserve">like to </w:t>
      </w:r>
      <w:r>
        <w:t xml:space="preserve">thank </w:t>
      </w:r>
      <w:r w:rsidRPr="0001230D">
        <w:t>Sasol</w:t>
      </w:r>
      <w:r>
        <w:t xml:space="preserve"> North America, Lake Charles, LA </w:t>
      </w:r>
      <w:r w:rsidRPr="0001230D">
        <w:t>for providing extended surfactants and Mid-Con Energy Inc.</w:t>
      </w:r>
      <w:r>
        <w:t xml:space="preserve">, Tulsa, Oklahoma </w:t>
      </w:r>
      <w:r w:rsidRPr="0001230D">
        <w:t>for providing reservoir brine and crude oil</w:t>
      </w:r>
      <w:r>
        <w:t>. Finally, the author would like to thank Bruce</w:t>
      </w:r>
      <w:r w:rsidR="00A549DC">
        <w:t xml:space="preserve"> L.</w:t>
      </w:r>
      <w:r>
        <w:t xml:space="preserve"> Roberts, Tzu-ping Hsu, Prapas Lohateeraparp,</w:t>
      </w:r>
      <w:r w:rsidR="00A549DC">
        <w:t xml:space="preserve"> Javen Weston, Michael Bendrick,</w:t>
      </w:r>
      <w:r>
        <w:t xml:space="preserve"> Ajay Raj, Wei Wan, Sangho Bang, Shengbo Wang, </w:t>
      </w:r>
      <w:r w:rsidR="00DC626C">
        <w:t xml:space="preserve">Danielle Baker, </w:t>
      </w:r>
      <w:r>
        <w:t>Miguel Gonzalez Borja, Felipe An</w:t>
      </w:r>
      <w:r w:rsidR="00D915E9">
        <w:t>a</w:t>
      </w:r>
      <w:r>
        <w:t>ya Saltarin, and ma</w:t>
      </w:r>
      <w:r w:rsidR="00A549DC">
        <w:t>n</w:t>
      </w:r>
      <w:r>
        <w:t xml:space="preserve">y others who helped him throughout this research.  </w:t>
      </w:r>
      <w:r w:rsidR="005B4474" w:rsidRPr="005B4474">
        <w:t xml:space="preserve"> </w:t>
      </w:r>
    </w:p>
    <w:p w:rsidR="00775701" w:rsidRDefault="00775701" w:rsidP="004511BE">
      <w:pPr>
        <w:pStyle w:val="Title"/>
      </w:pPr>
      <w:r>
        <w:br w:type="page"/>
      </w:r>
      <w:r>
        <w:lastRenderedPageBreak/>
        <w:t xml:space="preserve">Table of </w:t>
      </w:r>
      <w:r w:rsidRPr="00775701">
        <w:t>Contents</w:t>
      </w:r>
    </w:p>
    <w:p w:rsidR="004A7222" w:rsidRPr="0078679A" w:rsidRDefault="004A7222" w:rsidP="004A7222">
      <w:pPr>
        <w:pStyle w:val="NoSpacing"/>
      </w:pPr>
    </w:p>
    <w:p w:rsidR="00060BAD" w:rsidRDefault="00F7122D">
      <w:pPr>
        <w:pStyle w:val="TOC1"/>
        <w:rPr>
          <w:rFonts w:eastAsiaTheme="minorEastAsia" w:cstheme="minorBidi"/>
          <w:noProof/>
          <w:sz w:val="22"/>
          <w:szCs w:val="22"/>
        </w:rPr>
      </w:pPr>
      <w:r>
        <w:fldChar w:fldCharType="begin"/>
      </w:r>
      <w:r w:rsidR="000F56FF">
        <w:instrText xml:space="preserve"> TOC \o "3-3" \h \z \t "Heading 1,1,Heading 2,2,Chapter,1" </w:instrText>
      </w:r>
      <w:r>
        <w:fldChar w:fldCharType="separate"/>
      </w:r>
      <w:hyperlink w:anchor="_Toc426374002" w:history="1">
        <w:r w:rsidR="00060BAD" w:rsidRPr="004370BA">
          <w:rPr>
            <w:rStyle w:val="Hyperlink"/>
            <w:noProof/>
            <w:lang w:bidi="en-US"/>
          </w:rPr>
          <w:t>Acknowledgements</w:t>
        </w:r>
        <w:r w:rsidR="00060BAD">
          <w:rPr>
            <w:noProof/>
            <w:webHidden/>
          </w:rPr>
          <w:tab/>
        </w:r>
        <w:r w:rsidR="00060BAD">
          <w:rPr>
            <w:noProof/>
            <w:webHidden/>
          </w:rPr>
          <w:fldChar w:fldCharType="begin"/>
        </w:r>
        <w:r w:rsidR="00060BAD">
          <w:rPr>
            <w:noProof/>
            <w:webHidden/>
          </w:rPr>
          <w:instrText xml:space="preserve"> PAGEREF _Toc426374002 \h </w:instrText>
        </w:r>
        <w:r w:rsidR="00060BAD">
          <w:rPr>
            <w:noProof/>
            <w:webHidden/>
          </w:rPr>
        </w:r>
        <w:r w:rsidR="00060BAD">
          <w:rPr>
            <w:noProof/>
            <w:webHidden/>
          </w:rPr>
          <w:fldChar w:fldCharType="separate"/>
        </w:r>
        <w:r w:rsidR="003F7947">
          <w:rPr>
            <w:noProof/>
            <w:webHidden/>
          </w:rPr>
          <w:t>iv</w:t>
        </w:r>
        <w:r w:rsidR="00060BAD">
          <w:rPr>
            <w:noProof/>
            <w:webHidden/>
          </w:rPr>
          <w:fldChar w:fldCharType="end"/>
        </w:r>
      </w:hyperlink>
    </w:p>
    <w:p w:rsidR="00060BAD" w:rsidRDefault="001C58A2">
      <w:pPr>
        <w:pStyle w:val="TOC1"/>
        <w:rPr>
          <w:rFonts w:eastAsiaTheme="minorEastAsia" w:cstheme="minorBidi"/>
          <w:noProof/>
          <w:sz w:val="22"/>
          <w:szCs w:val="22"/>
        </w:rPr>
      </w:pPr>
      <w:hyperlink w:anchor="_Toc426374003" w:history="1">
        <w:r w:rsidR="00060BAD" w:rsidRPr="004370BA">
          <w:rPr>
            <w:rStyle w:val="Hyperlink"/>
            <w:noProof/>
            <w:lang w:bidi="en-US"/>
          </w:rPr>
          <w:t>List of Tables</w:t>
        </w:r>
        <w:r w:rsidR="00060BAD">
          <w:rPr>
            <w:noProof/>
            <w:webHidden/>
          </w:rPr>
          <w:tab/>
        </w:r>
        <w:r w:rsidR="00060BAD">
          <w:rPr>
            <w:noProof/>
            <w:webHidden/>
          </w:rPr>
          <w:fldChar w:fldCharType="begin"/>
        </w:r>
        <w:r w:rsidR="00060BAD">
          <w:rPr>
            <w:noProof/>
            <w:webHidden/>
          </w:rPr>
          <w:instrText xml:space="preserve"> PAGEREF _Toc426374003 \h </w:instrText>
        </w:r>
        <w:r w:rsidR="00060BAD">
          <w:rPr>
            <w:noProof/>
            <w:webHidden/>
          </w:rPr>
        </w:r>
        <w:r w:rsidR="00060BAD">
          <w:rPr>
            <w:noProof/>
            <w:webHidden/>
          </w:rPr>
          <w:fldChar w:fldCharType="separate"/>
        </w:r>
        <w:r w:rsidR="003F7947">
          <w:rPr>
            <w:noProof/>
            <w:webHidden/>
          </w:rPr>
          <w:t>viii</w:t>
        </w:r>
        <w:r w:rsidR="00060BAD">
          <w:rPr>
            <w:noProof/>
            <w:webHidden/>
          </w:rPr>
          <w:fldChar w:fldCharType="end"/>
        </w:r>
      </w:hyperlink>
    </w:p>
    <w:p w:rsidR="00060BAD" w:rsidRDefault="001C58A2">
      <w:pPr>
        <w:pStyle w:val="TOC1"/>
        <w:rPr>
          <w:rFonts w:eastAsiaTheme="minorEastAsia" w:cstheme="minorBidi"/>
          <w:noProof/>
          <w:sz w:val="22"/>
          <w:szCs w:val="22"/>
        </w:rPr>
      </w:pPr>
      <w:hyperlink w:anchor="_Toc426374004" w:history="1">
        <w:r w:rsidR="00060BAD" w:rsidRPr="004370BA">
          <w:rPr>
            <w:rStyle w:val="Hyperlink"/>
            <w:noProof/>
            <w:lang w:bidi="en-US"/>
          </w:rPr>
          <w:t>List of Figures</w:t>
        </w:r>
        <w:r w:rsidR="00060BAD">
          <w:rPr>
            <w:noProof/>
            <w:webHidden/>
          </w:rPr>
          <w:tab/>
        </w:r>
        <w:r w:rsidR="00060BAD">
          <w:rPr>
            <w:noProof/>
            <w:webHidden/>
          </w:rPr>
          <w:fldChar w:fldCharType="begin"/>
        </w:r>
        <w:r w:rsidR="00060BAD">
          <w:rPr>
            <w:noProof/>
            <w:webHidden/>
          </w:rPr>
          <w:instrText xml:space="preserve"> PAGEREF _Toc426374004 \h </w:instrText>
        </w:r>
        <w:r w:rsidR="00060BAD">
          <w:rPr>
            <w:noProof/>
            <w:webHidden/>
          </w:rPr>
        </w:r>
        <w:r w:rsidR="00060BAD">
          <w:rPr>
            <w:noProof/>
            <w:webHidden/>
          </w:rPr>
          <w:fldChar w:fldCharType="separate"/>
        </w:r>
        <w:r w:rsidR="003F7947">
          <w:rPr>
            <w:noProof/>
            <w:webHidden/>
          </w:rPr>
          <w:t>x</w:t>
        </w:r>
        <w:r w:rsidR="00060BAD">
          <w:rPr>
            <w:noProof/>
            <w:webHidden/>
          </w:rPr>
          <w:fldChar w:fldCharType="end"/>
        </w:r>
      </w:hyperlink>
    </w:p>
    <w:p w:rsidR="00060BAD" w:rsidRDefault="001C58A2">
      <w:pPr>
        <w:pStyle w:val="TOC1"/>
        <w:rPr>
          <w:rFonts w:eastAsiaTheme="minorEastAsia" w:cstheme="minorBidi"/>
          <w:noProof/>
          <w:sz w:val="22"/>
          <w:szCs w:val="22"/>
        </w:rPr>
      </w:pPr>
      <w:hyperlink w:anchor="_Toc426374005" w:history="1">
        <w:r w:rsidR="00060BAD" w:rsidRPr="004370BA">
          <w:rPr>
            <w:rStyle w:val="Hyperlink"/>
            <w:noProof/>
            <w:lang w:bidi="en-US"/>
          </w:rPr>
          <w:t>Abstract</w:t>
        </w:r>
        <w:r w:rsidR="00060BAD">
          <w:rPr>
            <w:noProof/>
            <w:webHidden/>
          </w:rPr>
          <w:tab/>
        </w:r>
        <w:r w:rsidR="00060BAD">
          <w:rPr>
            <w:noProof/>
            <w:webHidden/>
          </w:rPr>
          <w:fldChar w:fldCharType="begin"/>
        </w:r>
        <w:r w:rsidR="00060BAD">
          <w:rPr>
            <w:noProof/>
            <w:webHidden/>
          </w:rPr>
          <w:instrText xml:space="preserve"> PAGEREF _Toc426374005 \h </w:instrText>
        </w:r>
        <w:r w:rsidR="00060BAD">
          <w:rPr>
            <w:noProof/>
            <w:webHidden/>
          </w:rPr>
        </w:r>
        <w:r w:rsidR="00060BAD">
          <w:rPr>
            <w:noProof/>
            <w:webHidden/>
          </w:rPr>
          <w:fldChar w:fldCharType="separate"/>
        </w:r>
        <w:r w:rsidR="003F7947">
          <w:rPr>
            <w:noProof/>
            <w:webHidden/>
          </w:rPr>
          <w:t>xiii</w:t>
        </w:r>
        <w:r w:rsidR="00060BAD">
          <w:rPr>
            <w:noProof/>
            <w:webHidden/>
          </w:rPr>
          <w:fldChar w:fldCharType="end"/>
        </w:r>
      </w:hyperlink>
    </w:p>
    <w:p w:rsidR="00060BAD" w:rsidRDefault="001C58A2">
      <w:pPr>
        <w:pStyle w:val="TOC1"/>
        <w:rPr>
          <w:rFonts w:eastAsiaTheme="minorEastAsia" w:cstheme="minorBidi"/>
          <w:noProof/>
          <w:sz w:val="22"/>
          <w:szCs w:val="22"/>
        </w:rPr>
      </w:pPr>
      <w:hyperlink w:anchor="_Toc426374006" w:history="1">
        <w:r w:rsidR="00060BAD" w:rsidRPr="004370BA">
          <w:rPr>
            <w:rStyle w:val="Hyperlink"/>
            <w:noProof/>
            <w:lang w:bidi="en-US"/>
          </w:rPr>
          <w:t>CHAPTER 1: Introduction</w:t>
        </w:r>
        <w:r w:rsidR="00060BAD">
          <w:rPr>
            <w:noProof/>
            <w:webHidden/>
          </w:rPr>
          <w:tab/>
        </w:r>
        <w:r w:rsidR="00060BAD">
          <w:rPr>
            <w:noProof/>
            <w:webHidden/>
          </w:rPr>
          <w:fldChar w:fldCharType="begin"/>
        </w:r>
        <w:r w:rsidR="00060BAD">
          <w:rPr>
            <w:noProof/>
            <w:webHidden/>
          </w:rPr>
          <w:instrText xml:space="preserve"> PAGEREF _Toc426374006 \h </w:instrText>
        </w:r>
        <w:r w:rsidR="00060BAD">
          <w:rPr>
            <w:noProof/>
            <w:webHidden/>
          </w:rPr>
        </w:r>
        <w:r w:rsidR="00060BAD">
          <w:rPr>
            <w:noProof/>
            <w:webHidden/>
          </w:rPr>
          <w:fldChar w:fldCharType="separate"/>
        </w:r>
        <w:r w:rsidR="003F7947">
          <w:rPr>
            <w:noProof/>
            <w:webHidden/>
          </w:rPr>
          <w:t>1</w:t>
        </w:r>
        <w:r w:rsidR="00060BAD">
          <w:rPr>
            <w:noProof/>
            <w:webHidden/>
          </w:rPr>
          <w:fldChar w:fldCharType="end"/>
        </w:r>
      </w:hyperlink>
    </w:p>
    <w:p w:rsidR="00060BAD" w:rsidRDefault="001C58A2">
      <w:pPr>
        <w:pStyle w:val="TOC1"/>
        <w:rPr>
          <w:rFonts w:eastAsiaTheme="minorEastAsia" w:cstheme="minorBidi"/>
          <w:noProof/>
          <w:sz w:val="22"/>
          <w:szCs w:val="22"/>
        </w:rPr>
      </w:pPr>
      <w:hyperlink w:anchor="_Toc426374007" w:history="1">
        <w:r w:rsidR="00060BAD" w:rsidRPr="004370BA">
          <w:rPr>
            <w:rStyle w:val="Hyperlink"/>
            <w:noProof/>
            <w:lang w:bidi="en-US"/>
          </w:rPr>
          <w:t>CHAPTER 2: Design of an Optimal Middle Phase Microemulsion for Ultra High Saline Brine using Hydrophilic Lipophilic Deviation (HLD) Method</w:t>
        </w:r>
        <w:r w:rsidR="00060BAD">
          <w:rPr>
            <w:noProof/>
            <w:webHidden/>
          </w:rPr>
          <w:tab/>
        </w:r>
        <w:r w:rsidR="00060BAD">
          <w:rPr>
            <w:noProof/>
            <w:webHidden/>
          </w:rPr>
          <w:fldChar w:fldCharType="begin"/>
        </w:r>
        <w:r w:rsidR="00060BAD">
          <w:rPr>
            <w:noProof/>
            <w:webHidden/>
          </w:rPr>
          <w:instrText xml:space="preserve"> PAGEREF _Toc426374007 \h </w:instrText>
        </w:r>
        <w:r w:rsidR="00060BAD">
          <w:rPr>
            <w:noProof/>
            <w:webHidden/>
          </w:rPr>
        </w:r>
        <w:r w:rsidR="00060BAD">
          <w:rPr>
            <w:noProof/>
            <w:webHidden/>
          </w:rPr>
          <w:fldChar w:fldCharType="separate"/>
        </w:r>
        <w:r w:rsidR="003F7947">
          <w:rPr>
            <w:noProof/>
            <w:webHidden/>
          </w:rPr>
          <w:t>5</w:t>
        </w:r>
        <w:r w:rsidR="00060BAD">
          <w:rPr>
            <w:noProof/>
            <w:webHidden/>
          </w:rPr>
          <w:fldChar w:fldCharType="end"/>
        </w:r>
      </w:hyperlink>
    </w:p>
    <w:p w:rsidR="00060BAD" w:rsidRDefault="001C58A2">
      <w:pPr>
        <w:pStyle w:val="TOC2"/>
        <w:tabs>
          <w:tab w:val="right" w:leader="dot" w:pos="8486"/>
        </w:tabs>
        <w:rPr>
          <w:rFonts w:eastAsiaTheme="minorEastAsia" w:cstheme="minorBidi"/>
          <w:noProof/>
          <w:sz w:val="22"/>
          <w:szCs w:val="22"/>
        </w:rPr>
      </w:pPr>
      <w:hyperlink w:anchor="_Toc426374008" w:history="1">
        <w:r w:rsidR="00060BAD" w:rsidRPr="004370BA">
          <w:rPr>
            <w:rStyle w:val="Hyperlink"/>
            <w:noProof/>
            <w:lang w:bidi="en-US"/>
          </w:rPr>
          <w:t>Introduction</w:t>
        </w:r>
        <w:r w:rsidR="00060BAD">
          <w:rPr>
            <w:noProof/>
            <w:webHidden/>
          </w:rPr>
          <w:tab/>
        </w:r>
        <w:r w:rsidR="00060BAD">
          <w:rPr>
            <w:noProof/>
            <w:webHidden/>
          </w:rPr>
          <w:fldChar w:fldCharType="begin"/>
        </w:r>
        <w:r w:rsidR="00060BAD">
          <w:rPr>
            <w:noProof/>
            <w:webHidden/>
          </w:rPr>
          <w:instrText xml:space="preserve"> PAGEREF _Toc426374008 \h </w:instrText>
        </w:r>
        <w:r w:rsidR="00060BAD">
          <w:rPr>
            <w:noProof/>
            <w:webHidden/>
          </w:rPr>
        </w:r>
        <w:r w:rsidR="00060BAD">
          <w:rPr>
            <w:noProof/>
            <w:webHidden/>
          </w:rPr>
          <w:fldChar w:fldCharType="separate"/>
        </w:r>
        <w:r w:rsidR="003F7947">
          <w:rPr>
            <w:noProof/>
            <w:webHidden/>
          </w:rPr>
          <w:t>5</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09" w:history="1">
        <w:r w:rsidR="00060BAD" w:rsidRPr="004370BA">
          <w:rPr>
            <w:rStyle w:val="Hyperlink"/>
            <w:noProof/>
            <w:lang w:bidi="en-US"/>
          </w:rPr>
          <w:t>Hydrophilic Lipophilic Deviation (HLD) Concept</w:t>
        </w:r>
        <w:r w:rsidR="00060BAD">
          <w:rPr>
            <w:noProof/>
            <w:webHidden/>
          </w:rPr>
          <w:tab/>
        </w:r>
        <w:r w:rsidR="00060BAD">
          <w:rPr>
            <w:noProof/>
            <w:webHidden/>
          </w:rPr>
          <w:fldChar w:fldCharType="begin"/>
        </w:r>
        <w:r w:rsidR="00060BAD">
          <w:rPr>
            <w:noProof/>
            <w:webHidden/>
          </w:rPr>
          <w:instrText xml:space="preserve"> PAGEREF _Toc426374009 \h </w:instrText>
        </w:r>
        <w:r w:rsidR="00060BAD">
          <w:rPr>
            <w:noProof/>
            <w:webHidden/>
          </w:rPr>
        </w:r>
        <w:r w:rsidR="00060BAD">
          <w:rPr>
            <w:noProof/>
            <w:webHidden/>
          </w:rPr>
          <w:fldChar w:fldCharType="separate"/>
        </w:r>
        <w:r w:rsidR="003F7947">
          <w:rPr>
            <w:noProof/>
            <w:webHidden/>
          </w:rPr>
          <w:t>8</w:t>
        </w:r>
        <w:r w:rsidR="00060BAD">
          <w:rPr>
            <w:noProof/>
            <w:webHidden/>
          </w:rPr>
          <w:fldChar w:fldCharType="end"/>
        </w:r>
      </w:hyperlink>
    </w:p>
    <w:p w:rsidR="00060BAD" w:rsidRDefault="001C58A2">
      <w:pPr>
        <w:pStyle w:val="TOC2"/>
        <w:tabs>
          <w:tab w:val="right" w:leader="dot" w:pos="8486"/>
        </w:tabs>
        <w:rPr>
          <w:rFonts w:eastAsiaTheme="minorEastAsia" w:cstheme="minorBidi"/>
          <w:noProof/>
          <w:sz w:val="22"/>
          <w:szCs w:val="22"/>
        </w:rPr>
      </w:pPr>
      <w:hyperlink w:anchor="_Toc426374010" w:history="1">
        <w:r w:rsidR="00060BAD" w:rsidRPr="004370BA">
          <w:rPr>
            <w:rStyle w:val="Hyperlink"/>
            <w:noProof/>
            <w:lang w:bidi="en-US"/>
          </w:rPr>
          <w:t>Experimental</w:t>
        </w:r>
        <w:r w:rsidR="00060BAD">
          <w:rPr>
            <w:noProof/>
            <w:webHidden/>
          </w:rPr>
          <w:tab/>
        </w:r>
        <w:r w:rsidR="00060BAD">
          <w:rPr>
            <w:noProof/>
            <w:webHidden/>
          </w:rPr>
          <w:fldChar w:fldCharType="begin"/>
        </w:r>
        <w:r w:rsidR="00060BAD">
          <w:rPr>
            <w:noProof/>
            <w:webHidden/>
          </w:rPr>
          <w:instrText xml:space="preserve"> PAGEREF _Toc426374010 \h </w:instrText>
        </w:r>
        <w:r w:rsidR="00060BAD">
          <w:rPr>
            <w:noProof/>
            <w:webHidden/>
          </w:rPr>
        </w:r>
        <w:r w:rsidR="00060BAD">
          <w:rPr>
            <w:noProof/>
            <w:webHidden/>
          </w:rPr>
          <w:fldChar w:fldCharType="separate"/>
        </w:r>
        <w:r w:rsidR="003F7947">
          <w:rPr>
            <w:noProof/>
            <w:webHidden/>
          </w:rPr>
          <w:t>11</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11" w:history="1">
        <w:r w:rsidR="00060BAD" w:rsidRPr="004370BA">
          <w:rPr>
            <w:rStyle w:val="Hyperlink"/>
            <w:noProof/>
            <w:lang w:bidi="en-US"/>
          </w:rPr>
          <w:t>Materials</w:t>
        </w:r>
        <w:r w:rsidR="00060BAD">
          <w:rPr>
            <w:noProof/>
            <w:webHidden/>
          </w:rPr>
          <w:tab/>
        </w:r>
        <w:r w:rsidR="00060BAD">
          <w:rPr>
            <w:noProof/>
            <w:webHidden/>
          </w:rPr>
          <w:fldChar w:fldCharType="begin"/>
        </w:r>
        <w:r w:rsidR="00060BAD">
          <w:rPr>
            <w:noProof/>
            <w:webHidden/>
          </w:rPr>
          <w:instrText xml:space="preserve"> PAGEREF _Toc426374011 \h </w:instrText>
        </w:r>
        <w:r w:rsidR="00060BAD">
          <w:rPr>
            <w:noProof/>
            <w:webHidden/>
          </w:rPr>
        </w:r>
        <w:r w:rsidR="00060BAD">
          <w:rPr>
            <w:noProof/>
            <w:webHidden/>
          </w:rPr>
          <w:fldChar w:fldCharType="separate"/>
        </w:r>
        <w:r w:rsidR="003F7947">
          <w:rPr>
            <w:noProof/>
            <w:webHidden/>
          </w:rPr>
          <w:t>11</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12" w:history="1">
        <w:r w:rsidR="00060BAD" w:rsidRPr="004370BA">
          <w:rPr>
            <w:rStyle w:val="Hyperlink"/>
            <w:noProof/>
            <w:lang w:bidi="en-US"/>
          </w:rPr>
          <w:t>Microemulsion Phase Study</w:t>
        </w:r>
        <w:r w:rsidR="00060BAD">
          <w:rPr>
            <w:noProof/>
            <w:webHidden/>
          </w:rPr>
          <w:tab/>
        </w:r>
        <w:r w:rsidR="00060BAD">
          <w:rPr>
            <w:noProof/>
            <w:webHidden/>
          </w:rPr>
          <w:fldChar w:fldCharType="begin"/>
        </w:r>
        <w:r w:rsidR="00060BAD">
          <w:rPr>
            <w:noProof/>
            <w:webHidden/>
          </w:rPr>
          <w:instrText xml:space="preserve"> PAGEREF _Toc426374012 \h </w:instrText>
        </w:r>
        <w:r w:rsidR="00060BAD">
          <w:rPr>
            <w:noProof/>
            <w:webHidden/>
          </w:rPr>
        </w:r>
        <w:r w:rsidR="00060BAD">
          <w:rPr>
            <w:noProof/>
            <w:webHidden/>
          </w:rPr>
          <w:fldChar w:fldCharType="separate"/>
        </w:r>
        <w:r w:rsidR="003F7947">
          <w:rPr>
            <w:noProof/>
            <w:webHidden/>
          </w:rPr>
          <w:t>13</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13" w:history="1">
        <w:r w:rsidR="00060BAD" w:rsidRPr="004370BA">
          <w:rPr>
            <w:rStyle w:val="Hyperlink"/>
            <w:noProof/>
            <w:lang w:bidi="en-US"/>
          </w:rPr>
          <w:t>Stability Study of Surfactant Solution</w:t>
        </w:r>
        <w:r w:rsidR="00060BAD">
          <w:rPr>
            <w:noProof/>
            <w:webHidden/>
          </w:rPr>
          <w:tab/>
        </w:r>
        <w:r w:rsidR="00060BAD">
          <w:rPr>
            <w:noProof/>
            <w:webHidden/>
          </w:rPr>
          <w:fldChar w:fldCharType="begin"/>
        </w:r>
        <w:r w:rsidR="00060BAD">
          <w:rPr>
            <w:noProof/>
            <w:webHidden/>
          </w:rPr>
          <w:instrText xml:space="preserve"> PAGEREF _Toc426374013 \h </w:instrText>
        </w:r>
        <w:r w:rsidR="00060BAD">
          <w:rPr>
            <w:noProof/>
            <w:webHidden/>
          </w:rPr>
        </w:r>
        <w:r w:rsidR="00060BAD">
          <w:rPr>
            <w:noProof/>
            <w:webHidden/>
          </w:rPr>
          <w:fldChar w:fldCharType="separate"/>
        </w:r>
        <w:r w:rsidR="003F7947">
          <w:rPr>
            <w:noProof/>
            <w:webHidden/>
          </w:rPr>
          <w:t>14</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14" w:history="1">
        <w:r w:rsidR="00060BAD" w:rsidRPr="004370BA">
          <w:rPr>
            <w:rStyle w:val="Hyperlink"/>
            <w:noProof/>
            <w:lang w:bidi="en-US"/>
          </w:rPr>
          <w:t>Equilibrium IFT Measurement</w:t>
        </w:r>
        <w:r w:rsidR="00060BAD">
          <w:rPr>
            <w:noProof/>
            <w:webHidden/>
          </w:rPr>
          <w:tab/>
        </w:r>
        <w:r w:rsidR="00060BAD">
          <w:rPr>
            <w:noProof/>
            <w:webHidden/>
          </w:rPr>
          <w:fldChar w:fldCharType="begin"/>
        </w:r>
        <w:r w:rsidR="00060BAD">
          <w:rPr>
            <w:noProof/>
            <w:webHidden/>
          </w:rPr>
          <w:instrText xml:space="preserve"> PAGEREF _Toc426374014 \h </w:instrText>
        </w:r>
        <w:r w:rsidR="00060BAD">
          <w:rPr>
            <w:noProof/>
            <w:webHidden/>
          </w:rPr>
        </w:r>
        <w:r w:rsidR="00060BAD">
          <w:rPr>
            <w:noProof/>
            <w:webHidden/>
          </w:rPr>
          <w:fldChar w:fldCharType="separate"/>
        </w:r>
        <w:r w:rsidR="003F7947">
          <w:rPr>
            <w:noProof/>
            <w:webHidden/>
          </w:rPr>
          <w:t>14</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15" w:history="1">
        <w:r w:rsidR="00060BAD" w:rsidRPr="004370BA">
          <w:rPr>
            <w:rStyle w:val="Hyperlink"/>
            <w:noProof/>
            <w:lang w:bidi="en-US"/>
          </w:rPr>
          <w:t>One-Dimensional Sand-Pack Test</w:t>
        </w:r>
        <w:r w:rsidR="00060BAD">
          <w:rPr>
            <w:noProof/>
            <w:webHidden/>
          </w:rPr>
          <w:tab/>
        </w:r>
        <w:r w:rsidR="00060BAD">
          <w:rPr>
            <w:noProof/>
            <w:webHidden/>
          </w:rPr>
          <w:fldChar w:fldCharType="begin"/>
        </w:r>
        <w:r w:rsidR="00060BAD">
          <w:rPr>
            <w:noProof/>
            <w:webHidden/>
          </w:rPr>
          <w:instrText xml:space="preserve"> PAGEREF _Toc426374015 \h </w:instrText>
        </w:r>
        <w:r w:rsidR="00060BAD">
          <w:rPr>
            <w:noProof/>
            <w:webHidden/>
          </w:rPr>
        </w:r>
        <w:r w:rsidR="00060BAD">
          <w:rPr>
            <w:noProof/>
            <w:webHidden/>
          </w:rPr>
          <w:fldChar w:fldCharType="separate"/>
        </w:r>
        <w:r w:rsidR="003F7947">
          <w:rPr>
            <w:noProof/>
            <w:webHidden/>
          </w:rPr>
          <w:t>14</w:t>
        </w:r>
        <w:r w:rsidR="00060BAD">
          <w:rPr>
            <w:noProof/>
            <w:webHidden/>
          </w:rPr>
          <w:fldChar w:fldCharType="end"/>
        </w:r>
      </w:hyperlink>
    </w:p>
    <w:p w:rsidR="00060BAD" w:rsidRDefault="001C58A2">
      <w:pPr>
        <w:pStyle w:val="TOC2"/>
        <w:tabs>
          <w:tab w:val="right" w:leader="dot" w:pos="8486"/>
        </w:tabs>
        <w:rPr>
          <w:rFonts w:eastAsiaTheme="minorEastAsia" w:cstheme="minorBidi"/>
          <w:noProof/>
          <w:sz w:val="22"/>
          <w:szCs w:val="22"/>
        </w:rPr>
      </w:pPr>
      <w:hyperlink w:anchor="_Toc426374016" w:history="1">
        <w:r w:rsidR="00060BAD" w:rsidRPr="004370BA">
          <w:rPr>
            <w:rStyle w:val="Hyperlink"/>
            <w:noProof/>
            <w:lang w:bidi="en-US"/>
          </w:rPr>
          <w:t>Results and Discussion</w:t>
        </w:r>
        <w:r w:rsidR="00060BAD">
          <w:rPr>
            <w:noProof/>
            <w:webHidden/>
          </w:rPr>
          <w:tab/>
        </w:r>
        <w:r w:rsidR="00060BAD">
          <w:rPr>
            <w:noProof/>
            <w:webHidden/>
          </w:rPr>
          <w:fldChar w:fldCharType="begin"/>
        </w:r>
        <w:r w:rsidR="00060BAD">
          <w:rPr>
            <w:noProof/>
            <w:webHidden/>
          </w:rPr>
          <w:instrText xml:space="preserve"> PAGEREF _Toc426374016 \h </w:instrText>
        </w:r>
        <w:r w:rsidR="00060BAD">
          <w:rPr>
            <w:noProof/>
            <w:webHidden/>
          </w:rPr>
        </w:r>
        <w:r w:rsidR="00060BAD">
          <w:rPr>
            <w:noProof/>
            <w:webHidden/>
          </w:rPr>
          <w:fldChar w:fldCharType="separate"/>
        </w:r>
        <w:r w:rsidR="003F7947">
          <w:rPr>
            <w:noProof/>
            <w:webHidden/>
          </w:rPr>
          <w:t>15</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17" w:history="1">
        <w:r w:rsidR="00060BAD" w:rsidRPr="004370BA">
          <w:rPr>
            <w:rStyle w:val="Hyperlink"/>
            <w:noProof/>
            <w:lang w:bidi="en-US"/>
          </w:rPr>
          <w:t>Determination of K and Cc-values</w:t>
        </w:r>
        <w:r w:rsidR="00060BAD">
          <w:rPr>
            <w:noProof/>
            <w:webHidden/>
          </w:rPr>
          <w:tab/>
        </w:r>
        <w:r w:rsidR="00060BAD">
          <w:rPr>
            <w:noProof/>
            <w:webHidden/>
          </w:rPr>
          <w:fldChar w:fldCharType="begin"/>
        </w:r>
        <w:r w:rsidR="00060BAD">
          <w:rPr>
            <w:noProof/>
            <w:webHidden/>
          </w:rPr>
          <w:instrText xml:space="preserve"> PAGEREF _Toc426374017 \h </w:instrText>
        </w:r>
        <w:r w:rsidR="00060BAD">
          <w:rPr>
            <w:noProof/>
            <w:webHidden/>
          </w:rPr>
        </w:r>
        <w:r w:rsidR="00060BAD">
          <w:rPr>
            <w:noProof/>
            <w:webHidden/>
          </w:rPr>
          <w:fldChar w:fldCharType="separate"/>
        </w:r>
        <w:r w:rsidR="003F7947">
          <w:rPr>
            <w:noProof/>
            <w:webHidden/>
          </w:rPr>
          <w:t>15</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18" w:history="1">
        <w:r w:rsidR="00060BAD" w:rsidRPr="004370BA">
          <w:rPr>
            <w:rStyle w:val="Hyperlink"/>
            <w:noProof/>
            <w:lang w:bidi="en-US"/>
          </w:rPr>
          <w:t>Temperature Dependence of Extended and Conventional Anionic Surfactants</w:t>
        </w:r>
        <w:r w:rsidR="00060BAD">
          <w:rPr>
            <w:noProof/>
            <w:webHidden/>
          </w:rPr>
          <w:tab/>
        </w:r>
        <w:r w:rsidR="00060BAD">
          <w:rPr>
            <w:noProof/>
            <w:webHidden/>
          </w:rPr>
          <w:fldChar w:fldCharType="begin"/>
        </w:r>
        <w:r w:rsidR="00060BAD">
          <w:rPr>
            <w:noProof/>
            <w:webHidden/>
          </w:rPr>
          <w:instrText xml:space="preserve"> PAGEREF _Toc426374018 \h </w:instrText>
        </w:r>
        <w:r w:rsidR="00060BAD">
          <w:rPr>
            <w:noProof/>
            <w:webHidden/>
          </w:rPr>
        </w:r>
        <w:r w:rsidR="00060BAD">
          <w:rPr>
            <w:noProof/>
            <w:webHidden/>
          </w:rPr>
          <w:fldChar w:fldCharType="separate"/>
        </w:r>
        <w:r w:rsidR="003F7947">
          <w:rPr>
            <w:noProof/>
            <w:webHidden/>
          </w:rPr>
          <w:t>22</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19" w:history="1">
        <w:r w:rsidR="00060BAD" w:rsidRPr="004370BA">
          <w:rPr>
            <w:rStyle w:val="Hyperlink"/>
            <w:noProof/>
            <w:lang w:bidi="en-US"/>
          </w:rPr>
          <w:t>Prediction of Surfactant/Co-Surfactant Ratio</w:t>
        </w:r>
        <w:r w:rsidR="00060BAD">
          <w:rPr>
            <w:noProof/>
            <w:webHidden/>
          </w:rPr>
          <w:tab/>
        </w:r>
        <w:r w:rsidR="00060BAD">
          <w:rPr>
            <w:noProof/>
            <w:webHidden/>
          </w:rPr>
          <w:fldChar w:fldCharType="begin"/>
        </w:r>
        <w:r w:rsidR="00060BAD">
          <w:rPr>
            <w:noProof/>
            <w:webHidden/>
          </w:rPr>
          <w:instrText xml:space="preserve"> PAGEREF _Toc426374019 \h </w:instrText>
        </w:r>
        <w:r w:rsidR="00060BAD">
          <w:rPr>
            <w:noProof/>
            <w:webHidden/>
          </w:rPr>
        </w:r>
        <w:r w:rsidR="00060BAD">
          <w:rPr>
            <w:noProof/>
            <w:webHidden/>
          </w:rPr>
          <w:fldChar w:fldCharType="separate"/>
        </w:r>
        <w:r w:rsidR="003F7947">
          <w:rPr>
            <w:noProof/>
            <w:webHidden/>
          </w:rPr>
          <w:t>23</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20" w:history="1">
        <w:r w:rsidR="00060BAD" w:rsidRPr="004370BA">
          <w:rPr>
            <w:rStyle w:val="Hyperlink"/>
            <w:noProof/>
            <w:lang w:bidi="en-US"/>
          </w:rPr>
          <w:t>Phase Behavior Study and Surfactant Stability Test</w:t>
        </w:r>
        <w:r w:rsidR="00060BAD">
          <w:rPr>
            <w:noProof/>
            <w:webHidden/>
          </w:rPr>
          <w:tab/>
        </w:r>
        <w:r w:rsidR="00060BAD">
          <w:rPr>
            <w:noProof/>
            <w:webHidden/>
          </w:rPr>
          <w:fldChar w:fldCharType="begin"/>
        </w:r>
        <w:r w:rsidR="00060BAD">
          <w:rPr>
            <w:noProof/>
            <w:webHidden/>
          </w:rPr>
          <w:instrText xml:space="preserve"> PAGEREF _Toc426374020 \h </w:instrText>
        </w:r>
        <w:r w:rsidR="00060BAD">
          <w:rPr>
            <w:noProof/>
            <w:webHidden/>
          </w:rPr>
        </w:r>
        <w:r w:rsidR="00060BAD">
          <w:rPr>
            <w:noProof/>
            <w:webHidden/>
          </w:rPr>
          <w:fldChar w:fldCharType="separate"/>
        </w:r>
        <w:r w:rsidR="003F7947">
          <w:rPr>
            <w:noProof/>
            <w:webHidden/>
          </w:rPr>
          <w:t>25</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21" w:history="1">
        <w:r w:rsidR="00060BAD" w:rsidRPr="004370BA">
          <w:rPr>
            <w:rStyle w:val="Hyperlink"/>
            <w:noProof/>
            <w:lang w:bidi="en-US"/>
          </w:rPr>
          <w:t>IFT Measurements and Optimal Point</w:t>
        </w:r>
        <w:r w:rsidR="00060BAD">
          <w:rPr>
            <w:noProof/>
            <w:webHidden/>
          </w:rPr>
          <w:tab/>
        </w:r>
        <w:r w:rsidR="00060BAD">
          <w:rPr>
            <w:noProof/>
            <w:webHidden/>
          </w:rPr>
          <w:fldChar w:fldCharType="begin"/>
        </w:r>
        <w:r w:rsidR="00060BAD">
          <w:rPr>
            <w:noProof/>
            <w:webHidden/>
          </w:rPr>
          <w:instrText xml:space="preserve"> PAGEREF _Toc426374021 \h </w:instrText>
        </w:r>
        <w:r w:rsidR="00060BAD">
          <w:rPr>
            <w:noProof/>
            <w:webHidden/>
          </w:rPr>
        </w:r>
        <w:r w:rsidR="00060BAD">
          <w:rPr>
            <w:noProof/>
            <w:webHidden/>
          </w:rPr>
          <w:fldChar w:fldCharType="separate"/>
        </w:r>
        <w:r w:rsidR="003F7947">
          <w:rPr>
            <w:noProof/>
            <w:webHidden/>
          </w:rPr>
          <w:t>26</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22" w:history="1">
        <w:r w:rsidR="00060BAD" w:rsidRPr="004370BA">
          <w:rPr>
            <w:rStyle w:val="Hyperlink"/>
            <w:noProof/>
            <w:lang w:bidi="en-US"/>
          </w:rPr>
          <w:t>Accuracy of the HLD Equation</w:t>
        </w:r>
        <w:r w:rsidR="00060BAD">
          <w:rPr>
            <w:noProof/>
            <w:webHidden/>
          </w:rPr>
          <w:tab/>
        </w:r>
        <w:r w:rsidR="00060BAD">
          <w:rPr>
            <w:noProof/>
            <w:webHidden/>
          </w:rPr>
          <w:fldChar w:fldCharType="begin"/>
        </w:r>
        <w:r w:rsidR="00060BAD">
          <w:rPr>
            <w:noProof/>
            <w:webHidden/>
          </w:rPr>
          <w:instrText xml:space="preserve"> PAGEREF _Toc426374022 \h </w:instrText>
        </w:r>
        <w:r w:rsidR="00060BAD">
          <w:rPr>
            <w:noProof/>
            <w:webHidden/>
          </w:rPr>
        </w:r>
        <w:r w:rsidR="00060BAD">
          <w:rPr>
            <w:noProof/>
            <w:webHidden/>
          </w:rPr>
          <w:fldChar w:fldCharType="separate"/>
        </w:r>
        <w:r w:rsidR="003F7947">
          <w:rPr>
            <w:noProof/>
            <w:webHidden/>
          </w:rPr>
          <w:t>28</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23" w:history="1">
        <w:r w:rsidR="00060BAD" w:rsidRPr="004370BA">
          <w:rPr>
            <w:rStyle w:val="Hyperlink"/>
            <w:noProof/>
            <w:lang w:bidi="en-US"/>
          </w:rPr>
          <w:t>Sand Packed Experiment</w:t>
        </w:r>
        <w:r w:rsidR="00060BAD">
          <w:rPr>
            <w:noProof/>
            <w:webHidden/>
          </w:rPr>
          <w:tab/>
        </w:r>
        <w:r w:rsidR="00060BAD">
          <w:rPr>
            <w:noProof/>
            <w:webHidden/>
          </w:rPr>
          <w:fldChar w:fldCharType="begin"/>
        </w:r>
        <w:r w:rsidR="00060BAD">
          <w:rPr>
            <w:noProof/>
            <w:webHidden/>
          </w:rPr>
          <w:instrText xml:space="preserve"> PAGEREF _Toc426374023 \h </w:instrText>
        </w:r>
        <w:r w:rsidR="00060BAD">
          <w:rPr>
            <w:noProof/>
            <w:webHidden/>
          </w:rPr>
        </w:r>
        <w:r w:rsidR="00060BAD">
          <w:rPr>
            <w:noProof/>
            <w:webHidden/>
          </w:rPr>
          <w:fldChar w:fldCharType="separate"/>
        </w:r>
        <w:r w:rsidR="003F7947">
          <w:rPr>
            <w:noProof/>
            <w:webHidden/>
          </w:rPr>
          <w:t>29</w:t>
        </w:r>
        <w:r w:rsidR="00060BAD">
          <w:rPr>
            <w:noProof/>
            <w:webHidden/>
          </w:rPr>
          <w:fldChar w:fldCharType="end"/>
        </w:r>
      </w:hyperlink>
    </w:p>
    <w:p w:rsidR="00060BAD" w:rsidRDefault="001C58A2">
      <w:pPr>
        <w:pStyle w:val="TOC2"/>
        <w:tabs>
          <w:tab w:val="right" w:leader="dot" w:pos="8486"/>
        </w:tabs>
        <w:rPr>
          <w:rFonts w:eastAsiaTheme="minorEastAsia" w:cstheme="minorBidi"/>
          <w:noProof/>
          <w:sz w:val="22"/>
          <w:szCs w:val="22"/>
        </w:rPr>
      </w:pPr>
      <w:hyperlink w:anchor="_Toc426374024" w:history="1">
        <w:r w:rsidR="00060BAD" w:rsidRPr="004370BA">
          <w:rPr>
            <w:rStyle w:val="Hyperlink"/>
            <w:noProof/>
            <w:lang w:bidi="en-US"/>
          </w:rPr>
          <w:t>Conclusion</w:t>
        </w:r>
        <w:r w:rsidR="00060BAD">
          <w:rPr>
            <w:noProof/>
            <w:webHidden/>
          </w:rPr>
          <w:tab/>
        </w:r>
        <w:r w:rsidR="00060BAD">
          <w:rPr>
            <w:noProof/>
            <w:webHidden/>
          </w:rPr>
          <w:fldChar w:fldCharType="begin"/>
        </w:r>
        <w:r w:rsidR="00060BAD">
          <w:rPr>
            <w:noProof/>
            <w:webHidden/>
          </w:rPr>
          <w:instrText xml:space="preserve"> PAGEREF _Toc426374024 \h </w:instrText>
        </w:r>
        <w:r w:rsidR="00060BAD">
          <w:rPr>
            <w:noProof/>
            <w:webHidden/>
          </w:rPr>
        </w:r>
        <w:r w:rsidR="00060BAD">
          <w:rPr>
            <w:noProof/>
            <w:webHidden/>
          </w:rPr>
          <w:fldChar w:fldCharType="separate"/>
        </w:r>
        <w:r w:rsidR="003F7947">
          <w:rPr>
            <w:noProof/>
            <w:webHidden/>
          </w:rPr>
          <w:t>30</w:t>
        </w:r>
        <w:r w:rsidR="00060BAD">
          <w:rPr>
            <w:noProof/>
            <w:webHidden/>
          </w:rPr>
          <w:fldChar w:fldCharType="end"/>
        </w:r>
      </w:hyperlink>
    </w:p>
    <w:p w:rsidR="00060BAD" w:rsidRDefault="001C58A2">
      <w:pPr>
        <w:pStyle w:val="TOC1"/>
        <w:rPr>
          <w:rFonts w:eastAsiaTheme="minorEastAsia" w:cstheme="minorBidi"/>
          <w:noProof/>
          <w:sz w:val="22"/>
          <w:szCs w:val="22"/>
        </w:rPr>
      </w:pPr>
      <w:hyperlink w:anchor="_Toc426374025" w:history="1">
        <w:r w:rsidR="00060BAD" w:rsidRPr="004370BA">
          <w:rPr>
            <w:rStyle w:val="Hyperlink"/>
            <w:noProof/>
            <w:lang w:bidi="en-US"/>
          </w:rPr>
          <w:t>CHAPTER 3: Single Well Field Feasibility of Surfactant-Only Flooding in Extreme Saline Brine Reservoir</w:t>
        </w:r>
        <w:r w:rsidR="00060BAD">
          <w:rPr>
            <w:noProof/>
            <w:webHidden/>
          </w:rPr>
          <w:tab/>
        </w:r>
        <w:r w:rsidR="00060BAD">
          <w:rPr>
            <w:noProof/>
            <w:webHidden/>
          </w:rPr>
          <w:fldChar w:fldCharType="begin"/>
        </w:r>
        <w:r w:rsidR="00060BAD">
          <w:rPr>
            <w:noProof/>
            <w:webHidden/>
          </w:rPr>
          <w:instrText xml:space="preserve"> PAGEREF _Toc426374025 \h </w:instrText>
        </w:r>
        <w:r w:rsidR="00060BAD">
          <w:rPr>
            <w:noProof/>
            <w:webHidden/>
          </w:rPr>
        </w:r>
        <w:r w:rsidR="00060BAD">
          <w:rPr>
            <w:noProof/>
            <w:webHidden/>
          </w:rPr>
          <w:fldChar w:fldCharType="separate"/>
        </w:r>
        <w:r w:rsidR="003F7947">
          <w:rPr>
            <w:noProof/>
            <w:webHidden/>
          </w:rPr>
          <w:t>31</w:t>
        </w:r>
        <w:r w:rsidR="00060BAD">
          <w:rPr>
            <w:noProof/>
            <w:webHidden/>
          </w:rPr>
          <w:fldChar w:fldCharType="end"/>
        </w:r>
      </w:hyperlink>
    </w:p>
    <w:p w:rsidR="00060BAD" w:rsidRDefault="001C58A2">
      <w:pPr>
        <w:pStyle w:val="TOC2"/>
        <w:tabs>
          <w:tab w:val="right" w:leader="dot" w:pos="8486"/>
        </w:tabs>
        <w:rPr>
          <w:rFonts w:eastAsiaTheme="minorEastAsia" w:cstheme="minorBidi"/>
          <w:noProof/>
          <w:sz w:val="22"/>
          <w:szCs w:val="22"/>
        </w:rPr>
      </w:pPr>
      <w:hyperlink w:anchor="_Toc426374026" w:history="1">
        <w:r w:rsidR="00060BAD" w:rsidRPr="004370BA">
          <w:rPr>
            <w:rStyle w:val="Hyperlink"/>
            <w:noProof/>
            <w:lang w:bidi="en-US"/>
          </w:rPr>
          <w:t>Introduction</w:t>
        </w:r>
        <w:r w:rsidR="00060BAD">
          <w:rPr>
            <w:noProof/>
            <w:webHidden/>
          </w:rPr>
          <w:tab/>
        </w:r>
        <w:r w:rsidR="00060BAD">
          <w:rPr>
            <w:noProof/>
            <w:webHidden/>
          </w:rPr>
          <w:fldChar w:fldCharType="begin"/>
        </w:r>
        <w:r w:rsidR="00060BAD">
          <w:rPr>
            <w:noProof/>
            <w:webHidden/>
          </w:rPr>
          <w:instrText xml:space="preserve"> PAGEREF _Toc426374026 \h </w:instrText>
        </w:r>
        <w:r w:rsidR="00060BAD">
          <w:rPr>
            <w:noProof/>
            <w:webHidden/>
          </w:rPr>
        </w:r>
        <w:r w:rsidR="00060BAD">
          <w:rPr>
            <w:noProof/>
            <w:webHidden/>
          </w:rPr>
          <w:fldChar w:fldCharType="separate"/>
        </w:r>
        <w:r w:rsidR="003F7947">
          <w:rPr>
            <w:noProof/>
            <w:webHidden/>
          </w:rPr>
          <w:t>31</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27" w:history="1">
        <w:r w:rsidR="00060BAD" w:rsidRPr="004370BA">
          <w:rPr>
            <w:rStyle w:val="Hyperlink"/>
            <w:noProof/>
            <w:lang w:bidi="en-US"/>
          </w:rPr>
          <w:t>Background: Single Well Tracer Test (SWCTT)</w:t>
        </w:r>
        <w:r w:rsidR="00060BAD">
          <w:rPr>
            <w:noProof/>
            <w:webHidden/>
          </w:rPr>
          <w:tab/>
        </w:r>
        <w:r w:rsidR="00060BAD">
          <w:rPr>
            <w:noProof/>
            <w:webHidden/>
          </w:rPr>
          <w:fldChar w:fldCharType="begin"/>
        </w:r>
        <w:r w:rsidR="00060BAD">
          <w:rPr>
            <w:noProof/>
            <w:webHidden/>
          </w:rPr>
          <w:instrText xml:space="preserve"> PAGEREF _Toc426374027 \h </w:instrText>
        </w:r>
        <w:r w:rsidR="00060BAD">
          <w:rPr>
            <w:noProof/>
            <w:webHidden/>
          </w:rPr>
        </w:r>
        <w:r w:rsidR="00060BAD">
          <w:rPr>
            <w:noProof/>
            <w:webHidden/>
          </w:rPr>
          <w:fldChar w:fldCharType="separate"/>
        </w:r>
        <w:r w:rsidR="003F7947">
          <w:rPr>
            <w:noProof/>
            <w:webHidden/>
          </w:rPr>
          <w:t>33</w:t>
        </w:r>
        <w:r w:rsidR="00060BAD">
          <w:rPr>
            <w:noProof/>
            <w:webHidden/>
          </w:rPr>
          <w:fldChar w:fldCharType="end"/>
        </w:r>
      </w:hyperlink>
    </w:p>
    <w:p w:rsidR="00060BAD" w:rsidRDefault="001C58A2">
      <w:pPr>
        <w:pStyle w:val="TOC2"/>
        <w:tabs>
          <w:tab w:val="right" w:leader="dot" w:pos="8486"/>
        </w:tabs>
        <w:rPr>
          <w:rFonts w:eastAsiaTheme="minorEastAsia" w:cstheme="minorBidi"/>
          <w:noProof/>
          <w:sz w:val="22"/>
          <w:szCs w:val="22"/>
        </w:rPr>
      </w:pPr>
      <w:hyperlink w:anchor="_Toc426374028" w:history="1">
        <w:r w:rsidR="00060BAD" w:rsidRPr="004370BA">
          <w:rPr>
            <w:rStyle w:val="Hyperlink"/>
            <w:noProof/>
            <w:lang w:bidi="en-US"/>
          </w:rPr>
          <w:t>Experimental</w:t>
        </w:r>
        <w:r w:rsidR="00060BAD">
          <w:rPr>
            <w:noProof/>
            <w:webHidden/>
          </w:rPr>
          <w:tab/>
        </w:r>
        <w:r w:rsidR="00060BAD">
          <w:rPr>
            <w:noProof/>
            <w:webHidden/>
          </w:rPr>
          <w:fldChar w:fldCharType="begin"/>
        </w:r>
        <w:r w:rsidR="00060BAD">
          <w:rPr>
            <w:noProof/>
            <w:webHidden/>
          </w:rPr>
          <w:instrText xml:space="preserve"> PAGEREF _Toc426374028 \h </w:instrText>
        </w:r>
        <w:r w:rsidR="00060BAD">
          <w:rPr>
            <w:noProof/>
            <w:webHidden/>
          </w:rPr>
        </w:r>
        <w:r w:rsidR="00060BAD">
          <w:rPr>
            <w:noProof/>
            <w:webHidden/>
          </w:rPr>
          <w:fldChar w:fldCharType="separate"/>
        </w:r>
        <w:r w:rsidR="003F7947">
          <w:rPr>
            <w:noProof/>
            <w:webHidden/>
          </w:rPr>
          <w:t>35</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29" w:history="1">
        <w:r w:rsidR="00060BAD" w:rsidRPr="004370BA">
          <w:rPr>
            <w:rStyle w:val="Hyperlink"/>
            <w:noProof/>
            <w:lang w:bidi="en-US"/>
          </w:rPr>
          <w:t>Materials</w:t>
        </w:r>
        <w:r w:rsidR="00060BAD">
          <w:rPr>
            <w:noProof/>
            <w:webHidden/>
          </w:rPr>
          <w:tab/>
        </w:r>
        <w:r w:rsidR="00060BAD">
          <w:rPr>
            <w:noProof/>
            <w:webHidden/>
          </w:rPr>
          <w:fldChar w:fldCharType="begin"/>
        </w:r>
        <w:r w:rsidR="00060BAD">
          <w:rPr>
            <w:noProof/>
            <w:webHidden/>
          </w:rPr>
          <w:instrText xml:space="preserve"> PAGEREF _Toc426374029 \h </w:instrText>
        </w:r>
        <w:r w:rsidR="00060BAD">
          <w:rPr>
            <w:noProof/>
            <w:webHidden/>
          </w:rPr>
        </w:r>
        <w:r w:rsidR="00060BAD">
          <w:rPr>
            <w:noProof/>
            <w:webHidden/>
          </w:rPr>
          <w:fldChar w:fldCharType="separate"/>
        </w:r>
        <w:r w:rsidR="003F7947">
          <w:rPr>
            <w:noProof/>
            <w:webHidden/>
          </w:rPr>
          <w:t>35</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30" w:history="1">
        <w:r w:rsidR="00060BAD" w:rsidRPr="004370BA">
          <w:rPr>
            <w:rStyle w:val="Hyperlink"/>
            <w:noProof/>
            <w:lang w:bidi="en-US"/>
          </w:rPr>
          <w:t>Reservoir Information</w:t>
        </w:r>
        <w:r w:rsidR="00060BAD">
          <w:rPr>
            <w:noProof/>
            <w:webHidden/>
          </w:rPr>
          <w:tab/>
        </w:r>
        <w:r w:rsidR="00060BAD">
          <w:rPr>
            <w:noProof/>
            <w:webHidden/>
          </w:rPr>
          <w:fldChar w:fldCharType="begin"/>
        </w:r>
        <w:r w:rsidR="00060BAD">
          <w:rPr>
            <w:noProof/>
            <w:webHidden/>
          </w:rPr>
          <w:instrText xml:space="preserve"> PAGEREF _Toc426374030 \h </w:instrText>
        </w:r>
        <w:r w:rsidR="00060BAD">
          <w:rPr>
            <w:noProof/>
            <w:webHidden/>
          </w:rPr>
        </w:r>
        <w:r w:rsidR="00060BAD">
          <w:rPr>
            <w:noProof/>
            <w:webHidden/>
          </w:rPr>
          <w:fldChar w:fldCharType="separate"/>
        </w:r>
        <w:r w:rsidR="003F7947">
          <w:rPr>
            <w:noProof/>
            <w:webHidden/>
          </w:rPr>
          <w:t>36</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31" w:history="1">
        <w:r w:rsidR="00060BAD" w:rsidRPr="004370BA">
          <w:rPr>
            <w:rStyle w:val="Hyperlink"/>
            <w:noProof/>
            <w:lang w:bidi="en-US"/>
          </w:rPr>
          <w:t>Sand Pack Study</w:t>
        </w:r>
        <w:r w:rsidR="00060BAD">
          <w:rPr>
            <w:noProof/>
            <w:webHidden/>
          </w:rPr>
          <w:tab/>
        </w:r>
        <w:r w:rsidR="00060BAD">
          <w:rPr>
            <w:noProof/>
            <w:webHidden/>
          </w:rPr>
          <w:fldChar w:fldCharType="begin"/>
        </w:r>
        <w:r w:rsidR="00060BAD">
          <w:rPr>
            <w:noProof/>
            <w:webHidden/>
          </w:rPr>
          <w:instrText xml:space="preserve"> PAGEREF _Toc426374031 \h </w:instrText>
        </w:r>
        <w:r w:rsidR="00060BAD">
          <w:rPr>
            <w:noProof/>
            <w:webHidden/>
          </w:rPr>
        </w:r>
        <w:r w:rsidR="00060BAD">
          <w:rPr>
            <w:noProof/>
            <w:webHidden/>
          </w:rPr>
          <w:fldChar w:fldCharType="separate"/>
        </w:r>
        <w:r w:rsidR="003F7947">
          <w:rPr>
            <w:noProof/>
            <w:webHidden/>
          </w:rPr>
          <w:t>36</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32" w:history="1">
        <w:r w:rsidR="00060BAD" w:rsidRPr="004370BA">
          <w:rPr>
            <w:rStyle w:val="Hyperlink"/>
            <w:rFonts w:eastAsia="Calibri"/>
            <w:noProof/>
            <w:lang w:bidi="en-US"/>
          </w:rPr>
          <w:t>Partitioning Coefficient and Hydrolysis Rate Constant</w:t>
        </w:r>
        <w:r w:rsidR="00060BAD">
          <w:rPr>
            <w:noProof/>
            <w:webHidden/>
          </w:rPr>
          <w:tab/>
        </w:r>
        <w:r w:rsidR="00060BAD">
          <w:rPr>
            <w:noProof/>
            <w:webHidden/>
          </w:rPr>
          <w:fldChar w:fldCharType="begin"/>
        </w:r>
        <w:r w:rsidR="00060BAD">
          <w:rPr>
            <w:noProof/>
            <w:webHidden/>
          </w:rPr>
          <w:instrText xml:space="preserve"> PAGEREF _Toc426374032 \h </w:instrText>
        </w:r>
        <w:r w:rsidR="00060BAD">
          <w:rPr>
            <w:noProof/>
            <w:webHidden/>
          </w:rPr>
        </w:r>
        <w:r w:rsidR="00060BAD">
          <w:rPr>
            <w:noProof/>
            <w:webHidden/>
          </w:rPr>
          <w:fldChar w:fldCharType="separate"/>
        </w:r>
        <w:r w:rsidR="003F7947">
          <w:rPr>
            <w:noProof/>
            <w:webHidden/>
          </w:rPr>
          <w:t>37</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33" w:history="1">
        <w:r w:rsidR="00060BAD" w:rsidRPr="004370BA">
          <w:rPr>
            <w:rStyle w:val="Hyperlink"/>
            <w:noProof/>
            <w:lang w:bidi="en-US"/>
          </w:rPr>
          <w:t>SWCTT Field Operation</w:t>
        </w:r>
        <w:r w:rsidR="00060BAD">
          <w:rPr>
            <w:noProof/>
            <w:webHidden/>
          </w:rPr>
          <w:tab/>
        </w:r>
        <w:r w:rsidR="00060BAD">
          <w:rPr>
            <w:noProof/>
            <w:webHidden/>
          </w:rPr>
          <w:fldChar w:fldCharType="begin"/>
        </w:r>
        <w:r w:rsidR="00060BAD">
          <w:rPr>
            <w:noProof/>
            <w:webHidden/>
          </w:rPr>
          <w:instrText xml:space="preserve"> PAGEREF _Toc426374033 \h </w:instrText>
        </w:r>
        <w:r w:rsidR="00060BAD">
          <w:rPr>
            <w:noProof/>
            <w:webHidden/>
          </w:rPr>
        </w:r>
        <w:r w:rsidR="00060BAD">
          <w:rPr>
            <w:noProof/>
            <w:webHidden/>
          </w:rPr>
          <w:fldChar w:fldCharType="separate"/>
        </w:r>
        <w:r w:rsidR="003F7947">
          <w:rPr>
            <w:noProof/>
            <w:webHidden/>
          </w:rPr>
          <w:t>38</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34" w:history="1">
        <w:r w:rsidR="00060BAD" w:rsidRPr="004370BA">
          <w:rPr>
            <w:rStyle w:val="Hyperlink"/>
            <w:noProof/>
            <w:lang w:bidi="en-US"/>
          </w:rPr>
          <w:t>SWCTTs Data Interpretation Method</w:t>
        </w:r>
        <w:r w:rsidR="00060BAD">
          <w:rPr>
            <w:noProof/>
            <w:webHidden/>
          </w:rPr>
          <w:tab/>
        </w:r>
        <w:r w:rsidR="00060BAD">
          <w:rPr>
            <w:noProof/>
            <w:webHidden/>
          </w:rPr>
          <w:fldChar w:fldCharType="begin"/>
        </w:r>
        <w:r w:rsidR="00060BAD">
          <w:rPr>
            <w:noProof/>
            <w:webHidden/>
          </w:rPr>
          <w:instrText xml:space="preserve"> PAGEREF _Toc426374034 \h </w:instrText>
        </w:r>
        <w:r w:rsidR="00060BAD">
          <w:rPr>
            <w:noProof/>
            <w:webHidden/>
          </w:rPr>
        </w:r>
        <w:r w:rsidR="00060BAD">
          <w:rPr>
            <w:noProof/>
            <w:webHidden/>
          </w:rPr>
          <w:fldChar w:fldCharType="separate"/>
        </w:r>
        <w:r w:rsidR="003F7947">
          <w:rPr>
            <w:noProof/>
            <w:webHidden/>
          </w:rPr>
          <w:t>39</w:t>
        </w:r>
        <w:r w:rsidR="00060BAD">
          <w:rPr>
            <w:noProof/>
            <w:webHidden/>
          </w:rPr>
          <w:fldChar w:fldCharType="end"/>
        </w:r>
      </w:hyperlink>
    </w:p>
    <w:p w:rsidR="00060BAD" w:rsidRDefault="001C58A2">
      <w:pPr>
        <w:pStyle w:val="TOC2"/>
        <w:tabs>
          <w:tab w:val="right" w:leader="dot" w:pos="8486"/>
        </w:tabs>
        <w:rPr>
          <w:rFonts w:eastAsiaTheme="minorEastAsia" w:cstheme="minorBidi"/>
          <w:noProof/>
          <w:sz w:val="22"/>
          <w:szCs w:val="22"/>
        </w:rPr>
      </w:pPr>
      <w:hyperlink w:anchor="_Toc426374035" w:history="1">
        <w:r w:rsidR="00060BAD" w:rsidRPr="004370BA">
          <w:rPr>
            <w:rStyle w:val="Hyperlink"/>
            <w:noProof/>
            <w:lang w:bidi="en-US"/>
          </w:rPr>
          <w:t>Results and discussions</w:t>
        </w:r>
        <w:r w:rsidR="00060BAD">
          <w:rPr>
            <w:noProof/>
            <w:webHidden/>
          </w:rPr>
          <w:tab/>
        </w:r>
        <w:r w:rsidR="00060BAD">
          <w:rPr>
            <w:noProof/>
            <w:webHidden/>
          </w:rPr>
          <w:fldChar w:fldCharType="begin"/>
        </w:r>
        <w:r w:rsidR="00060BAD">
          <w:rPr>
            <w:noProof/>
            <w:webHidden/>
          </w:rPr>
          <w:instrText xml:space="preserve"> PAGEREF _Toc426374035 \h </w:instrText>
        </w:r>
        <w:r w:rsidR="00060BAD">
          <w:rPr>
            <w:noProof/>
            <w:webHidden/>
          </w:rPr>
        </w:r>
        <w:r w:rsidR="00060BAD">
          <w:rPr>
            <w:noProof/>
            <w:webHidden/>
          </w:rPr>
          <w:fldChar w:fldCharType="separate"/>
        </w:r>
        <w:r w:rsidR="003F7947">
          <w:rPr>
            <w:noProof/>
            <w:webHidden/>
          </w:rPr>
          <w:t>41</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36" w:history="1">
        <w:r w:rsidR="00060BAD" w:rsidRPr="004370BA">
          <w:rPr>
            <w:rStyle w:val="Hyperlink"/>
            <w:noProof/>
            <w:lang w:bidi="en-US"/>
          </w:rPr>
          <w:t>Surfactant Formulations</w:t>
        </w:r>
        <w:r w:rsidR="00060BAD">
          <w:rPr>
            <w:noProof/>
            <w:webHidden/>
          </w:rPr>
          <w:tab/>
        </w:r>
        <w:r w:rsidR="00060BAD">
          <w:rPr>
            <w:noProof/>
            <w:webHidden/>
          </w:rPr>
          <w:fldChar w:fldCharType="begin"/>
        </w:r>
        <w:r w:rsidR="00060BAD">
          <w:rPr>
            <w:noProof/>
            <w:webHidden/>
          </w:rPr>
          <w:instrText xml:space="preserve"> PAGEREF _Toc426374036 \h </w:instrText>
        </w:r>
        <w:r w:rsidR="00060BAD">
          <w:rPr>
            <w:noProof/>
            <w:webHidden/>
          </w:rPr>
        </w:r>
        <w:r w:rsidR="00060BAD">
          <w:rPr>
            <w:noProof/>
            <w:webHidden/>
          </w:rPr>
          <w:fldChar w:fldCharType="separate"/>
        </w:r>
        <w:r w:rsidR="003F7947">
          <w:rPr>
            <w:noProof/>
            <w:webHidden/>
          </w:rPr>
          <w:t>41</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37" w:history="1">
        <w:r w:rsidR="00060BAD" w:rsidRPr="004370BA">
          <w:rPr>
            <w:rStyle w:val="Hyperlink"/>
            <w:noProof/>
            <w:lang w:bidi="en-US"/>
          </w:rPr>
          <w:t>Sand Pack Experiments</w:t>
        </w:r>
        <w:r w:rsidR="00060BAD">
          <w:rPr>
            <w:noProof/>
            <w:webHidden/>
          </w:rPr>
          <w:tab/>
        </w:r>
        <w:r w:rsidR="00060BAD">
          <w:rPr>
            <w:noProof/>
            <w:webHidden/>
          </w:rPr>
          <w:fldChar w:fldCharType="begin"/>
        </w:r>
        <w:r w:rsidR="00060BAD">
          <w:rPr>
            <w:noProof/>
            <w:webHidden/>
          </w:rPr>
          <w:instrText xml:space="preserve"> PAGEREF _Toc426374037 \h </w:instrText>
        </w:r>
        <w:r w:rsidR="00060BAD">
          <w:rPr>
            <w:noProof/>
            <w:webHidden/>
          </w:rPr>
        </w:r>
        <w:r w:rsidR="00060BAD">
          <w:rPr>
            <w:noProof/>
            <w:webHidden/>
          </w:rPr>
          <w:fldChar w:fldCharType="separate"/>
        </w:r>
        <w:r w:rsidR="003F7947">
          <w:rPr>
            <w:noProof/>
            <w:webHidden/>
          </w:rPr>
          <w:t>42</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38" w:history="1">
        <w:r w:rsidR="00060BAD" w:rsidRPr="004370BA">
          <w:rPr>
            <w:rStyle w:val="Hyperlink"/>
            <w:noProof/>
            <w:lang w:bidi="en-US"/>
          </w:rPr>
          <w:t>Equilibrium Partitioning Tracer Coefficient, K</w:t>
        </w:r>
        <w:r w:rsidR="00060BAD">
          <w:rPr>
            <w:noProof/>
            <w:webHidden/>
          </w:rPr>
          <w:tab/>
        </w:r>
        <w:r w:rsidR="00060BAD">
          <w:rPr>
            <w:noProof/>
            <w:webHidden/>
          </w:rPr>
          <w:fldChar w:fldCharType="begin"/>
        </w:r>
        <w:r w:rsidR="00060BAD">
          <w:rPr>
            <w:noProof/>
            <w:webHidden/>
          </w:rPr>
          <w:instrText xml:space="preserve"> PAGEREF _Toc426374038 \h </w:instrText>
        </w:r>
        <w:r w:rsidR="00060BAD">
          <w:rPr>
            <w:noProof/>
            <w:webHidden/>
          </w:rPr>
        </w:r>
        <w:r w:rsidR="00060BAD">
          <w:rPr>
            <w:noProof/>
            <w:webHidden/>
          </w:rPr>
          <w:fldChar w:fldCharType="separate"/>
        </w:r>
        <w:r w:rsidR="003F7947">
          <w:rPr>
            <w:noProof/>
            <w:webHidden/>
          </w:rPr>
          <w:t>46</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39" w:history="1">
        <w:r w:rsidR="00060BAD" w:rsidRPr="004370BA">
          <w:rPr>
            <w:rStyle w:val="Hyperlink"/>
            <w:noProof/>
            <w:lang w:bidi="en-US"/>
          </w:rPr>
          <w:t>Field Test Results Interpretation</w:t>
        </w:r>
        <w:r w:rsidR="00060BAD">
          <w:rPr>
            <w:noProof/>
            <w:webHidden/>
          </w:rPr>
          <w:tab/>
        </w:r>
        <w:r w:rsidR="00060BAD">
          <w:rPr>
            <w:noProof/>
            <w:webHidden/>
          </w:rPr>
          <w:fldChar w:fldCharType="begin"/>
        </w:r>
        <w:r w:rsidR="00060BAD">
          <w:rPr>
            <w:noProof/>
            <w:webHidden/>
          </w:rPr>
          <w:instrText xml:space="preserve"> PAGEREF _Toc426374039 \h </w:instrText>
        </w:r>
        <w:r w:rsidR="00060BAD">
          <w:rPr>
            <w:noProof/>
            <w:webHidden/>
          </w:rPr>
        </w:r>
        <w:r w:rsidR="00060BAD">
          <w:rPr>
            <w:noProof/>
            <w:webHidden/>
          </w:rPr>
          <w:fldChar w:fldCharType="separate"/>
        </w:r>
        <w:r w:rsidR="003F7947">
          <w:rPr>
            <w:noProof/>
            <w:webHidden/>
          </w:rPr>
          <w:t>47</w:t>
        </w:r>
        <w:r w:rsidR="00060BAD">
          <w:rPr>
            <w:noProof/>
            <w:webHidden/>
          </w:rPr>
          <w:fldChar w:fldCharType="end"/>
        </w:r>
      </w:hyperlink>
    </w:p>
    <w:p w:rsidR="00060BAD" w:rsidRDefault="001C58A2">
      <w:pPr>
        <w:pStyle w:val="TOC2"/>
        <w:tabs>
          <w:tab w:val="right" w:leader="dot" w:pos="8486"/>
        </w:tabs>
        <w:rPr>
          <w:rFonts w:eastAsiaTheme="minorEastAsia" w:cstheme="minorBidi"/>
          <w:noProof/>
          <w:sz w:val="22"/>
          <w:szCs w:val="22"/>
        </w:rPr>
      </w:pPr>
      <w:hyperlink w:anchor="_Toc426374040" w:history="1">
        <w:r w:rsidR="00060BAD" w:rsidRPr="004370BA">
          <w:rPr>
            <w:rStyle w:val="Hyperlink"/>
            <w:noProof/>
            <w:lang w:bidi="en-US"/>
          </w:rPr>
          <w:t>Conclusion</w:t>
        </w:r>
        <w:r w:rsidR="00060BAD">
          <w:rPr>
            <w:noProof/>
            <w:webHidden/>
          </w:rPr>
          <w:tab/>
        </w:r>
        <w:r w:rsidR="00060BAD">
          <w:rPr>
            <w:noProof/>
            <w:webHidden/>
          </w:rPr>
          <w:fldChar w:fldCharType="begin"/>
        </w:r>
        <w:r w:rsidR="00060BAD">
          <w:rPr>
            <w:noProof/>
            <w:webHidden/>
          </w:rPr>
          <w:instrText xml:space="preserve"> PAGEREF _Toc426374040 \h </w:instrText>
        </w:r>
        <w:r w:rsidR="00060BAD">
          <w:rPr>
            <w:noProof/>
            <w:webHidden/>
          </w:rPr>
        </w:r>
        <w:r w:rsidR="00060BAD">
          <w:rPr>
            <w:noProof/>
            <w:webHidden/>
          </w:rPr>
          <w:fldChar w:fldCharType="separate"/>
        </w:r>
        <w:r w:rsidR="003F7947">
          <w:rPr>
            <w:noProof/>
            <w:webHidden/>
          </w:rPr>
          <w:t>49</w:t>
        </w:r>
        <w:r w:rsidR="00060BAD">
          <w:rPr>
            <w:noProof/>
            <w:webHidden/>
          </w:rPr>
          <w:fldChar w:fldCharType="end"/>
        </w:r>
      </w:hyperlink>
    </w:p>
    <w:p w:rsidR="00060BAD" w:rsidRDefault="001C58A2">
      <w:pPr>
        <w:pStyle w:val="TOC1"/>
        <w:rPr>
          <w:rFonts w:eastAsiaTheme="minorEastAsia" w:cstheme="minorBidi"/>
          <w:noProof/>
          <w:sz w:val="22"/>
          <w:szCs w:val="22"/>
        </w:rPr>
      </w:pPr>
      <w:hyperlink w:anchor="_Toc426374041" w:history="1">
        <w:r w:rsidR="00060BAD" w:rsidRPr="004370BA">
          <w:rPr>
            <w:rStyle w:val="Hyperlink"/>
            <w:noProof/>
            <w:lang w:bidi="en-US"/>
          </w:rPr>
          <w:t>CHAPTER 4: Improved Oil Recovery by Reducing Surfactant Adsorption with Polyelectrolyte in High Saline Brine</w:t>
        </w:r>
        <w:r w:rsidR="00060BAD">
          <w:rPr>
            <w:noProof/>
            <w:webHidden/>
          </w:rPr>
          <w:tab/>
        </w:r>
        <w:r w:rsidR="00060BAD">
          <w:rPr>
            <w:noProof/>
            <w:webHidden/>
          </w:rPr>
          <w:fldChar w:fldCharType="begin"/>
        </w:r>
        <w:r w:rsidR="00060BAD">
          <w:rPr>
            <w:noProof/>
            <w:webHidden/>
          </w:rPr>
          <w:instrText xml:space="preserve"> PAGEREF _Toc426374041 \h </w:instrText>
        </w:r>
        <w:r w:rsidR="00060BAD">
          <w:rPr>
            <w:noProof/>
            <w:webHidden/>
          </w:rPr>
        </w:r>
        <w:r w:rsidR="00060BAD">
          <w:rPr>
            <w:noProof/>
            <w:webHidden/>
          </w:rPr>
          <w:fldChar w:fldCharType="separate"/>
        </w:r>
        <w:r w:rsidR="003F7947">
          <w:rPr>
            <w:noProof/>
            <w:webHidden/>
          </w:rPr>
          <w:t>51</w:t>
        </w:r>
        <w:r w:rsidR="00060BAD">
          <w:rPr>
            <w:noProof/>
            <w:webHidden/>
          </w:rPr>
          <w:fldChar w:fldCharType="end"/>
        </w:r>
      </w:hyperlink>
    </w:p>
    <w:p w:rsidR="00060BAD" w:rsidRDefault="001C58A2">
      <w:pPr>
        <w:pStyle w:val="TOC2"/>
        <w:tabs>
          <w:tab w:val="right" w:leader="dot" w:pos="8486"/>
        </w:tabs>
        <w:rPr>
          <w:rFonts w:eastAsiaTheme="minorEastAsia" w:cstheme="minorBidi"/>
          <w:noProof/>
          <w:sz w:val="22"/>
          <w:szCs w:val="22"/>
        </w:rPr>
      </w:pPr>
      <w:hyperlink w:anchor="_Toc426374042" w:history="1">
        <w:r w:rsidR="00060BAD" w:rsidRPr="004370BA">
          <w:rPr>
            <w:rStyle w:val="Hyperlink"/>
            <w:noProof/>
            <w:lang w:bidi="en-US"/>
          </w:rPr>
          <w:t>Introduction</w:t>
        </w:r>
        <w:r w:rsidR="00060BAD">
          <w:rPr>
            <w:noProof/>
            <w:webHidden/>
          </w:rPr>
          <w:tab/>
        </w:r>
        <w:r w:rsidR="00060BAD">
          <w:rPr>
            <w:noProof/>
            <w:webHidden/>
          </w:rPr>
          <w:fldChar w:fldCharType="begin"/>
        </w:r>
        <w:r w:rsidR="00060BAD">
          <w:rPr>
            <w:noProof/>
            <w:webHidden/>
          </w:rPr>
          <w:instrText xml:space="preserve"> PAGEREF _Toc426374042 \h </w:instrText>
        </w:r>
        <w:r w:rsidR="00060BAD">
          <w:rPr>
            <w:noProof/>
            <w:webHidden/>
          </w:rPr>
        </w:r>
        <w:r w:rsidR="00060BAD">
          <w:rPr>
            <w:noProof/>
            <w:webHidden/>
          </w:rPr>
          <w:fldChar w:fldCharType="separate"/>
        </w:r>
        <w:r w:rsidR="003F7947">
          <w:rPr>
            <w:noProof/>
            <w:webHidden/>
          </w:rPr>
          <w:t>51</w:t>
        </w:r>
        <w:r w:rsidR="00060BAD">
          <w:rPr>
            <w:noProof/>
            <w:webHidden/>
          </w:rPr>
          <w:fldChar w:fldCharType="end"/>
        </w:r>
      </w:hyperlink>
    </w:p>
    <w:p w:rsidR="00060BAD" w:rsidRDefault="001C58A2">
      <w:pPr>
        <w:pStyle w:val="TOC2"/>
        <w:tabs>
          <w:tab w:val="right" w:leader="dot" w:pos="8486"/>
        </w:tabs>
        <w:rPr>
          <w:rFonts w:eastAsiaTheme="minorEastAsia" w:cstheme="minorBidi"/>
          <w:noProof/>
          <w:sz w:val="22"/>
          <w:szCs w:val="22"/>
        </w:rPr>
      </w:pPr>
      <w:hyperlink w:anchor="_Toc426374043" w:history="1">
        <w:r w:rsidR="00060BAD" w:rsidRPr="004370BA">
          <w:rPr>
            <w:rStyle w:val="Hyperlink"/>
            <w:noProof/>
            <w:lang w:bidi="en-US"/>
          </w:rPr>
          <w:t>Experimental</w:t>
        </w:r>
        <w:r w:rsidR="00060BAD">
          <w:rPr>
            <w:noProof/>
            <w:webHidden/>
          </w:rPr>
          <w:tab/>
        </w:r>
        <w:r w:rsidR="00060BAD">
          <w:rPr>
            <w:noProof/>
            <w:webHidden/>
          </w:rPr>
          <w:fldChar w:fldCharType="begin"/>
        </w:r>
        <w:r w:rsidR="00060BAD">
          <w:rPr>
            <w:noProof/>
            <w:webHidden/>
          </w:rPr>
          <w:instrText xml:space="preserve"> PAGEREF _Toc426374043 \h </w:instrText>
        </w:r>
        <w:r w:rsidR="00060BAD">
          <w:rPr>
            <w:noProof/>
            <w:webHidden/>
          </w:rPr>
        </w:r>
        <w:r w:rsidR="00060BAD">
          <w:rPr>
            <w:noProof/>
            <w:webHidden/>
          </w:rPr>
          <w:fldChar w:fldCharType="separate"/>
        </w:r>
        <w:r w:rsidR="003F7947">
          <w:rPr>
            <w:noProof/>
            <w:webHidden/>
          </w:rPr>
          <w:t>54</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44" w:history="1">
        <w:r w:rsidR="00060BAD" w:rsidRPr="004370BA">
          <w:rPr>
            <w:rStyle w:val="Hyperlink"/>
            <w:noProof/>
            <w:lang w:bidi="en-US"/>
          </w:rPr>
          <w:t>Materials</w:t>
        </w:r>
        <w:r w:rsidR="00060BAD">
          <w:rPr>
            <w:noProof/>
            <w:webHidden/>
          </w:rPr>
          <w:tab/>
        </w:r>
        <w:r w:rsidR="00060BAD">
          <w:rPr>
            <w:noProof/>
            <w:webHidden/>
          </w:rPr>
          <w:fldChar w:fldCharType="begin"/>
        </w:r>
        <w:r w:rsidR="00060BAD">
          <w:rPr>
            <w:noProof/>
            <w:webHidden/>
          </w:rPr>
          <w:instrText xml:space="preserve"> PAGEREF _Toc426374044 \h </w:instrText>
        </w:r>
        <w:r w:rsidR="00060BAD">
          <w:rPr>
            <w:noProof/>
            <w:webHidden/>
          </w:rPr>
        </w:r>
        <w:r w:rsidR="00060BAD">
          <w:rPr>
            <w:noProof/>
            <w:webHidden/>
          </w:rPr>
          <w:fldChar w:fldCharType="separate"/>
        </w:r>
        <w:r w:rsidR="003F7947">
          <w:rPr>
            <w:noProof/>
            <w:webHidden/>
          </w:rPr>
          <w:t>54</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45" w:history="1">
        <w:r w:rsidR="00060BAD" w:rsidRPr="004370BA">
          <w:rPr>
            <w:rStyle w:val="Hyperlink"/>
            <w:noProof/>
            <w:lang w:bidi="en-US"/>
          </w:rPr>
          <w:t>Equilibrium Adsorption Study</w:t>
        </w:r>
        <w:r w:rsidR="00060BAD">
          <w:rPr>
            <w:noProof/>
            <w:webHidden/>
          </w:rPr>
          <w:tab/>
        </w:r>
        <w:r w:rsidR="00060BAD">
          <w:rPr>
            <w:noProof/>
            <w:webHidden/>
          </w:rPr>
          <w:fldChar w:fldCharType="begin"/>
        </w:r>
        <w:r w:rsidR="00060BAD">
          <w:rPr>
            <w:noProof/>
            <w:webHidden/>
          </w:rPr>
          <w:instrText xml:space="preserve"> PAGEREF _Toc426374045 \h </w:instrText>
        </w:r>
        <w:r w:rsidR="00060BAD">
          <w:rPr>
            <w:noProof/>
            <w:webHidden/>
          </w:rPr>
        </w:r>
        <w:r w:rsidR="00060BAD">
          <w:rPr>
            <w:noProof/>
            <w:webHidden/>
          </w:rPr>
          <w:fldChar w:fldCharType="separate"/>
        </w:r>
        <w:r w:rsidR="003F7947">
          <w:rPr>
            <w:noProof/>
            <w:webHidden/>
          </w:rPr>
          <w:t>56</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46" w:history="1">
        <w:r w:rsidR="00060BAD" w:rsidRPr="004370BA">
          <w:rPr>
            <w:rStyle w:val="Hyperlink"/>
            <w:noProof/>
            <w:lang w:bidi="en-US"/>
          </w:rPr>
          <w:t>Dynamic Adsorption Study</w:t>
        </w:r>
        <w:r w:rsidR="00060BAD">
          <w:rPr>
            <w:noProof/>
            <w:webHidden/>
          </w:rPr>
          <w:tab/>
        </w:r>
        <w:r w:rsidR="00060BAD">
          <w:rPr>
            <w:noProof/>
            <w:webHidden/>
          </w:rPr>
          <w:fldChar w:fldCharType="begin"/>
        </w:r>
        <w:r w:rsidR="00060BAD">
          <w:rPr>
            <w:noProof/>
            <w:webHidden/>
          </w:rPr>
          <w:instrText xml:space="preserve"> PAGEREF _Toc426374046 \h </w:instrText>
        </w:r>
        <w:r w:rsidR="00060BAD">
          <w:rPr>
            <w:noProof/>
            <w:webHidden/>
          </w:rPr>
        </w:r>
        <w:r w:rsidR="00060BAD">
          <w:rPr>
            <w:noProof/>
            <w:webHidden/>
          </w:rPr>
          <w:fldChar w:fldCharType="separate"/>
        </w:r>
        <w:r w:rsidR="003F7947">
          <w:rPr>
            <w:noProof/>
            <w:webHidden/>
          </w:rPr>
          <w:t>56</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47" w:history="1">
        <w:r w:rsidR="00060BAD" w:rsidRPr="004370BA">
          <w:rPr>
            <w:rStyle w:val="Hyperlink"/>
            <w:noProof/>
            <w:lang w:bidi="en-US"/>
          </w:rPr>
          <w:t>Sand Pack Experiments</w:t>
        </w:r>
        <w:r w:rsidR="00060BAD">
          <w:rPr>
            <w:noProof/>
            <w:webHidden/>
          </w:rPr>
          <w:tab/>
        </w:r>
        <w:r w:rsidR="00060BAD">
          <w:rPr>
            <w:noProof/>
            <w:webHidden/>
          </w:rPr>
          <w:fldChar w:fldCharType="begin"/>
        </w:r>
        <w:r w:rsidR="00060BAD">
          <w:rPr>
            <w:noProof/>
            <w:webHidden/>
          </w:rPr>
          <w:instrText xml:space="preserve"> PAGEREF _Toc426374047 \h </w:instrText>
        </w:r>
        <w:r w:rsidR="00060BAD">
          <w:rPr>
            <w:noProof/>
            <w:webHidden/>
          </w:rPr>
        </w:r>
        <w:r w:rsidR="00060BAD">
          <w:rPr>
            <w:noProof/>
            <w:webHidden/>
          </w:rPr>
          <w:fldChar w:fldCharType="separate"/>
        </w:r>
        <w:r w:rsidR="003F7947">
          <w:rPr>
            <w:noProof/>
            <w:webHidden/>
          </w:rPr>
          <w:t>57</w:t>
        </w:r>
        <w:r w:rsidR="00060BAD">
          <w:rPr>
            <w:noProof/>
            <w:webHidden/>
          </w:rPr>
          <w:fldChar w:fldCharType="end"/>
        </w:r>
      </w:hyperlink>
    </w:p>
    <w:p w:rsidR="00060BAD" w:rsidRDefault="001C58A2">
      <w:pPr>
        <w:pStyle w:val="TOC2"/>
        <w:tabs>
          <w:tab w:val="right" w:leader="dot" w:pos="8486"/>
        </w:tabs>
        <w:rPr>
          <w:rFonts w:eastAsiaTheme="minorEastAsia" w:cstheme="minorBidi"/>
          <w:noProof/>
          <w:sz w:val="22"/>
          <w:szCs w:val="22"/>
        </w:rPr>
      </w:pPr>
      <w:hyperlink w:anchor="_Toc426374048" w:history="1">
        <w:r w:rsidR="00060BAD" w:rsidRPr="004370BA">
          <w:rPr>
            <w:rStyle w:val="Hyperlink"/>
            <w:noProof/>
            <w:lang w:bidi="en-US"/>
          </w:rPr>
          <w:t>Results and discussions</w:t>
        </w:r>
        <w:r w:rsidR="00060BAD">
          <w:rPr>
            <w:noProof/>
            <w:webHidden/>
          </w:rPr>
          <w:tab/>
        </w:r>
        <w:r w:rsidR="00060BAD">
          <w:rPr>
            <w:noProof/>
            <w:webHidden/>
          </w:rPr>
          <w:fldChar w:fldCharType="begin"/>
        </w:r>
        <w:r w:rsidR="00060BAD">
          <w:rPr>
            <w:noProof/>
            <w:webHidden/>
          </w:rPr>
          <w:instrText xml:space="preserve"> PAGEREF _Toc426374048 \h </w:instrText>
        </w:r>
        <w:r w:rsidR="00060BAD">
          <w:rPr>
            <w:noProof/>
            <w:webHidden/>
          </w:rPr>
        </w:r>
        <w:r w:rsidR="00060BAD">
          <w:rPr>
            <w:noProof/>
            <w:webHidden/>
          </w:rPr>
          <w:fldChar w:fldCharType="separate"/>
        </w:r>
        <w:r w:rsidR="003F7947">
          <w:rPr>
            <w:noProof/>
            <w:webHidden/>
          </w:rPr>
          <w:t>57</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49" w:history="1">
        <w:r w:rsidR="00060BAD" w:rsidRPr="004370BA">
          <w:rPr>
            <w:rStyle w:val="Hyperlink"/>
            <w:noProof/>
            <w:lang w:bidi="en-US"/>
          </w:rPr>
          <w:t>Equilibrium Adsorption of Surfactant without Polyelectrolyte</w:t>
        </w:r>
        <w:r w:rsidR="00060BAD">
          <w:rPr>
            <w:noProof/>
            <w:webHidden/>
          </w:rPr>
          <w:tab/>
        </w:r>
        <w:r w:rsidR="00060BAD">
          <w:rPr>
            <w:noProof/>
            <w:webHidden/>
          </w:rPr>
          <w:fldChar w:fldCharType="begin"/>
        </w:r>
        <w:r w:rsidR="00060BAD">
          <w:rPr>
            <w:noProof/>
            <w:webHidden/>
          </w:rPr>
          <w:instrText xml:space="preserve"> PAGEREF _Toc426374049 \h </w:instrText>
        </w:r>
        <w:r w:rsidR="00060BAD">
          <w:rPr>
            <w:noProof/>
            <w:webHidden/>
          </w:rPr>
        </w:r>
        <w:r w:rsidR="00060BAD">
          <w:rPr>
            <w:noProof/>
            <w:webHidden/>
          </w:rPr>
          <w:fldChar w:fldCharType="separate"/>
        </w:r>
        <w:r w:rsidR="003F7947">
          <w:rPr>
            <w:noProof/>
            <w:webHidden/>
          </w:rPr>
          <w:t>57</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50" w:history="1">
        <w:r w:rsidR="00060BAD" w:rsidRPr="004370BA">
          <w:rPr>
            <w:rStyle w:val="Hyperlink"/>
            <w:noProof/>
            <w:lang w:bidi="en-US"/>
          </w:rPr>
          <w:t>Equilibrium Adsorption of Polyelectrolytes without Surfactant</w:t>
        </w:r>
        <w:r w:rsidR="00060BAD">
          <w:rPr>
            <w:noProof/>
            <w:webHidden/>
          </w:rPr>
          <w:tab/>
        </w:r>
        <w:r w:rsidR="00060BAD">
          <w:rPr>
            <w:noProof/>
            <w:webHidden/>
          </w:rPr>
          <w:fldChar w:fldCharType="begin"/>
        </w:r>
        <w:r w:rsidR="00060BAD">
          <w:rPr>
            <w:noProof/>
            <w:webHidden/>
          </w:rPr>
          <w:instrText xml:space="preserve"> PAGEREF _Toc426374050 \h </w:instrText>
        </w:r>
        <w:r w:rsidR="00060BAD">
          <w:rPr>
            <w:noProof/>
            <w:webHidden/>
          </w:rPr>
        </w:r>
        <w:r w:rsidR="00060BAD">
          <w:rPr>
            <w:noProof/>
            <w:webHidden/>
          </w:rPr>
          <w:fldChar w:fldCharType="separate"/>
        </w:r>
        <w:r w:rsidR="003F7947">
          <w:rPr>
            <w:noProof/>
            <w:webHidden/>
          </w:rPr>
          <w:t>59</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51" w:history="1">
        <w:r w:rsidR="00060BAD" w:rsidRPr="004370BA">
          <w:rPr>
            <w:rStyle w:val="Hyperlink"/>
            <w:noProof/>
            <w:lang w:bidi="en-US"/>
          </w:rPr>
          <w:t>Equilibrium Adsorption of Surfactant with Polyelectrolyte.</w:t>
        </w:r>
        <w:r w:rsidR="00060BAD">
          <w:rPr>
            <w:noProof/>
            <w:webHidden/>
          </w:rPr>
          <w:tab/>
        </w:r>
        <w:r w:rsidR="00060BAD">
          <w:rPr>
            <w:noProof/>
            <w:webHidden/>
          </w:rPr>
          <w:fldChar w:fldCharType="begin"/>
        </w:r>
        <w:r w:rsidR="00060BAD">
          <w:rPr>
            <w:noProof/>
            <w:webHidden/>
          </w:rPr>
          <w:instrText xml:space="preserve"> PAGEREF _Toc426374051 \h </w:instrText>
        </w:r>
        <w:r w:rsidR="00060BAD">
          <w:rPr>
            <w:noProof/>
            <w:webHidden/>
          </w:rPr>
        </w:r>
        <w:r w:rsidR="00060BAD">
          <w:rPr>
            <w:noProof/>
            <w:webHidden/>
          </w:rPr>
          <w:fldChar w:fldCharType="separate"/>
        </w:r>
        <w:r w:rsidR="003F7947">
          <w:rPr>
            <w:noProof/>
            <w:webHidden/>
          </w:rPr>
          <w:t>60</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52" w:history="1">
        <w:r w:rsidR="00060BAD" w:rsidRPr="004370BA">
          <w:rPr>
            <w:rStyle w:val="Hyperlink"/>
            <w:noProof/>
            <w:lang w:bidi="en-US"/>
          </w:rPr>
          <w:t>Dynamic Adsorption of Surfactant without Polyelectrolyte</w:t>
        </w:r>
        <w:r w:rsidR="00060BAD">
          <w:rPr>
            <w:noProof/>
            <w:webHidden/>
          </w:rPr>
          <w:tab/>
        </w:r>
        <w:r w:rsidR="00060BAD">
          <w:rPr>
            <w:noProof/>
            <w:webHidden/>
          </w:rPr>
          <w:fldChar w:fldCharType="begin"/>
        </w:r>
        <w:r w:rsidR="00060BAD">
          <w:rPr>
            <w:noProof/>
            <w:webHidden/>
          </w:rPr>
          <w:instrText xml:space="preserve"> PAGEREF _Toc426374052 \h </w:instrText>
        </w:r>
        <w:r w:rsidR="00060BAD">
          <w:rPr>
            <w:noProof/>
            <w:webHidden/>
          </w:rPr>
        </w:r>
        <w:r w:rsidR="00060BAD">
          <w:rPr>
            <w:noProof/>
            <w:webHidden/>
          </w:rPr>
          <w:fldChar w:fldCharType="separate"/>
        </w:r>
        <w:r w:rsidR="003F7947">
          <w:rPr>
            <w:noProof/>
            <w:webHidden/>
          </w:rPr>
          <w:t>63</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53" w:history="1">
        <w:r w:rsidR="00060BAD" w:rsidRPr="004370BA">
          <w:rPr>
            <w:rStyle w:val="Hyperlink"/>
            <w:noProof/>
            <w:lang w:bidi="en-US"/>
          </w:rPr>
          <w:t>Dynamic Adsorption of Surfactant with Polyelectrolyte</w:t>
        </w:r>
        <w:r w:rsidR="00060BAD">
          <w:rPr>
            <w:noProof/>
            <w:webHidden/>
          </w:rPr>
          <w:tab/>
        </w:r>
        <w:r w:rsidR="00060BAD">
          <w:rPr>
            <w:noProof/>
            <w:webHidden/>
          </w:rPr>
          <w:fldChar w:fldCharType="begin"/>
        </w:r>
        <w:r w:rsidR="00060BAD">
          <w:rPr>
            <w:noProof/>
            <w:webHidden/>
          </w:rPr>
          <w:instrText xml:space="preserve"> PAGEREF _Toc426374053 \h </w:instrText>
        </w:r>
        <w:r w:rsidR="00060BAD">
          <w:rPr>
            <w:noProof/>
            <w:webHidden/>
          </w:rPr>
        </w:r>
        <w:r w:rsidR="00060BAD">
          <w:rPr>
            <w:noProof/>
            <w:webHidden/>
          </w:rPr>
          <w:fldChar w:fldCharType="separate"/>
        </w:r>
        <w:r w:rsidR="003F7947">
          <w:rPr>
            <w:noProof/>
            <w:webHidden/>
          </w:rPr>
          <w:t>65</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54" w:history="1">
        <w:r w:rsidR="00060BAD" w:rsidRPr="004370BA">
          <w:rPr>
            <w:rStyle w:val="Hyperlink"/>
            <w:noProof/>
            <w:lang w:bidi="en-US"/>
          </w:rPr>
          <w:t>Oil Mobilization in Sand Packs without Polyelectrolytes</w:t>
        </w:r>
        <w:r w:rsidR="00060BAD">
          <w:rPr>
            <w:noProof/>
            <w:webHidden/>
          </w:rPr>
          <w:tab/>
        </w:r>
        <w:r w:rsidR="00060BAD">
          <w:rPr>
            <w:noProof/>
            <w:webHidden/>
          </w:rPr>
          <w:fldChar w:fldCharType="begin"/>
        </w:r>
        <w:r w:rsidR="00060BAD">
          <w:rPr>
            <w:noProof/>
            <w:webHidden/>
          </w:rPr>
          <w:instrText xml:space="preserve"> PAGEREF _Toc426374054 \h </w:instrText>
        </w:r>
        <w:r w:rsidR="00060BAD">
          <w:rPr>
            <w:noProof/>
            <w:webHidden/>
          </w:rPr>
        </w:r>
        <w:r w:rsidR="00060BAD">
          <w:rPr>
            <w:noProof/>
            <w:webHidden/>
          </w:rPr>
          <w:fldChar w:fldCharType="separate"/>
        </w:r>
        <w:r w:rsidR="003F7947">
          <w:rPr>
            <w:noProof/>
            <w:webHidden/>
          </w:rPr>
          <w:t>67</w:t>
        </w:r>
        <w:r w:rsidR="00060BAD">
          <w:rPr>
            <w:noProof/>
            <w:webHidden/>
          </w:rPr>
          <w:fldChar w:fldCharType="end"/>
        </w:r>
      </w:hyperlink>
    </w:p>
    <w:p w:rsidR="00060BAD" w:rsidRDefault="001C58A2">
      <w:pPr>
        <w:pStyle w:val="TOC3"/>
        <w:tabs>
          <w:tab w:val="right" w:leader="dot" w:pos="8486"/>
        </w:tabs>
        <w:rPr>
          <w:rFonts w:eastAsiaTheme="minorEastAsia" w:cstheme="minorBidi"/>
          <w:noProof/>
          <w:sz w:val="22"/>
          <w:szCs w:val="22"/>
        </w:rPr>
      </w:pPr>
      <w:hyperlink w:anchor="_Toc426374055" w:history="1">
        <w:r w:rsidR="00060BAD" w:rsidRPr="004370BA">
          <w:rPr>
            <w:rStyle w:val="Hyperlink"/>
            <w:noProof/>
            <w:lang w:bidi="en-US"/>
          </w:rPr>
          <w:t>Oil Mobilization in Sand Packs with Polyelectrolytes</w:t>
        </w:r>
        <w:r w:rsidR="00060BAD">
          <w:rPr>
            <w:noProof/>
            <w:webHidden/>
          </w:rPr>
          <w:tab/>
        </w:r>
        <w:r w:rsidR="00060BAD">
          <w:rPr>
            <w:noProof/>
            <w:webHidden/>
          </w:rPr>
          <w:fldChar w:fldCharType="begin"/>
        </w:r>
        <w:r w:rsidR="00060BAD">
          <w:rPr>
            <w:noProof/>
            <w:webHidden/>
          </w:rPr>
          <w:instrText xml:space="preserve"> PAGEREF _Toc426374055 \h </w:instrText>
        </w:r>
        <w:r w:rsidR="00060BAD">
          <w:rPr>
            <w:noProof/>
            <w:webHidden/>
          </w:rPr>
        </w:r>
        <w:r w:rsidR="00060BAD">
          <w:rPr>
            <w:noProof/>
            <w:webHidden/>
          </w:rPr>
          <w:fldChar w:fldCharType="separate"/>
        </w:r>
        <w:r w:rsidR="003F7947">
          <w:rPr>
            <w:noProof/>
            <w:webHidden/>
          </w:rPr>
          <w:t>69</w:t>
        </w:r>
        <w:r w:rsidR="00060BAD">
          <w:rPr>
            <w:noProof/>
            <w:webHidden/>
          </w:rPr>
          <w:fldChar w:fldCharType="end"/>
        </w:r>
      </w:hyperlink>
    </w:p>
    <w:p w:rsidR="00060BAD" w:rsidRDefault="001C58A2">
      <w:pPr>
        <w:pStyle w:val="TOC2"/>
        <w:tabs>
          <w:tab w:val="right" w:leader="dot" w:pos="8486"/>
        </w:tabs>
        <w:rPr>
          <w:rFonts w:eastAsiaTheme="minorEastAsia" w:cstheme="minorBidi"/>
          <w:noProof/>
          <w:sz w:val="22"/>
          <w:szCs w:val="22"/>
        </w:rPr>
      </w:pPr>
      <w:hyperlink w:anchor="_Toc426374056" w:history="1">
        <w:r w:rsidR="00060BAD" w:rsidRPr="004370BA">
          <w:rPr>
            <w:rStyle w:val="Hyperlink"/>
            <w:noProof/>
            <w:lang w:bidi="en-US"/>
          </w:rPr>
          <w:t>Conclusions</w:t>
        </w:r>
        <w:r w:rsidR="00060BAD">
          <w:rPr>
            <w:noProof/>
            <w:webHidden/>
          </w:rPr>
          <w:tab/>
        </w:r>
        <w:r w:rsidR="00060BAD">
          <w:rPr>
            <w:noProof/>
            <w:webHidden/>
          </w:rPr>
          <w:fldChar w:fldCharType="begin"/>
        </w:r>
        <w:r w:rsidR="00060BAD">
          <w:rPr>
            <w:noProof/>
            <w:webHidden/>
          </w:rPr>
          <w:instrText xml:space="preserve"> PAGEREF _Toc426374056 \h </w:instrText>
        </w:r>
        <w:r w:rsidR="00060BAD">
          <w:rPr>
            <w:noProof/>
            <w:webHidden/>
          </w:rPr>
        </w:r>
        <w:r w:rsidR="00060BAD">
          <w:rPr>
            <w:noProof/>
            <w:webHidden/>
          </w:rPr>
          <w:fldChar w:fldCharType="separate"/>
        </w:r>
        <w:r w:rsidR="003F7947">
          <w:rPr>
            <w:noProof/>
            <w:webHidden/>
          </w:rPr>
          <w:t>72</w:t>
        </w:r>
        <w:r w:rsidR="00060BAD">
          <w:rPr>
            <w:noProof/>
            <w:webHidden/>
          </w:rPr>
          <w:fldChar w:fldCharType="end"/>
        </w:r>
      </w:hyperlink>
    </w:p>
    <w:p w:rsidR="00060BAD" w:rsidRDefault="001C58A2">
      <w:pPr>
        <w:pStyle w:val="TOC1"/>
        <w:rPr>
          <w:rFonts w:eastAsiaTheme="minorEastAsia" w:cstheme="minorBidi"/>
          <w:noProof/>
          <w:sz w:val="22"/>
          <w:szCs w:val="22"/>
        </w:rPr>
      </w:pPr>
      <w:hyperlink w:anchor="_Toc426374057" w:history="1">
        <w:r w:rsidR="00060BAD" w:rsidRPr="004370BA">
          <w:rPr>
            <w:rStyle w:val="Hyperlink"/>
            <w:noProof/>
            <w:lang w:bidi="en-US"/>
          </w:rPr>
          <w:t>CHAPTER 5: Conclusions, Implications and Future Works</w:t>
        </w:r>
        <w:r w:rsidR="00060BAD">
          <w:rPr>
            <w:noProof/>
            <w:webHidden/>
          </w:rPr>
          <w:tab/>
        </w:r>
        <w:r w:rsidR="00060BAD">
          <w:rPr>
            <w:noProof/>
            <w:webHidden/>
          </w:rPr>
          <w:fldChar w:fldCharType="begin"/>
        </w:r>
        <w:r w:rsidR="00060BAD">
          <w:rPr>
            <w:noProof/>
            <w:webHidden/>
          </w:rPr>
          <w:instrText xml:space="preserve"> PAGEREF _Toc426374057 \h </w:instrText>
        </w:r>
        <w:r w:rsidR="00060BAD">
          <w:rPr>
            <w:noProof/>
            <w:webHidden/>
          </w:rPr>
        </w:r>
        <w:r w:rsidR="00060BAD">
          <w:rPr>
            <w:noProof/>
            <w:webHidden/>
          </w:rPr>
          <w:fldChar w:fldCharType="separate"/>
        </w:r>
        <w:r w:rsidR="003F7947">
          <w:rPr>
            <w:noProof/>
            <w:webHidden/>
          </w:rPr>
          <w:t>74</w:t>
        </w:r>
        <w:r w:rsidR="00060BAD">
          <w:rPr>
            <w:noProof/>
            <w:webHidden/>
          </w:rPr>
          <w:fldChar w:fldCharType="end"/>
        </w:r>
      </w:hyperlink>
    </w:p>
    <w:p w:rsidR="00060BAD" w:rsidRDefault="001C58A2">
      <w:pPr>
        <w:pStyle w:val="TOC1"/>
        <w:rPr>
          <w:rFonts w:eastAsiaTheme="minorEastAsia" w:cstheme="minorBidi"/>
          <w:noProof/>
          <w:sz w:val="22"/>
          <w:szCs w:val="22"/>
        </w:rPr>
      </w:pPr>
      <w:hyperlink w:anchor="_Toc426374058" w:history="1">
        <w:r w:rsidR="00060BAD" w:rsidRPr="004370BA">
          <w:rPr>
            <w:rStyle w:val="Hyperlink"/>
            <w:noProof/>
            <w:lang w:bidi="en-US"/>
          </w:rPr>
          <w:t>References</w:t>
        </w:r>
        <w:r w:rsidR="00060BAD">
          <w:rPr>
            <w:noProof/>
            <w:webHidden/>
          </w:rPr>
          <w:tab/>
        </w:r>
        <w:r w:rsidR="00060BAD">
          <w:rPr>
            <w:noProof/>
            <w:webHidden/>
          </w:rPr>
          <w:fldChar w:fldCharType="begin"/>
        </w:r>
        <w:r w:rsidR="00060BAD">
          <w:rPr>
            <w:noProof/>
            <w:webHidden/>
          </w:rPr>
          <w:instrText xml:space="preserve"> PAGEREF _Toc426374058 \h </w:instrText>
        </w:r>
        <w:r w:rsidR="00060BAD">
          <w:rPr>
            <w:noProof/>
            <w:webHidden/>
          </w:rPr>
        </w:r>
        <w:r w:rsidR="00060BAD">
          <w:rPr>
            <w:noProof/>
            <w:webHidden/>
          </w:rPr>
          <w:fldChar w:fldCharType="separate"/>
        </w:r>
        <w:r w:rsidR="003F7947">
          <w:rPr>
            <w:noProof/>
            <w:webHidden/>
          </w:rPr>
          <w:t>78</w:t>
        </w:r>
        <w:r w:rsidR="00060BAD">
          <w:rPr>
            <w:noProof/>
            <w:webHidden/>
          </w:rPr>
          <w:fldChar w:fldCharType="end"/>
        </w:r>
      </w:hyperlink>
    </w:p>
    <w:p w:rsidR="00DA1971" w:rsidRDefault="00F7122D" w:rsidP="00DA1971">
      <w:r>
        <w:fldChar w:fldCharType="end"/>
      </w:r>
      <w:r w:rsidR="00C92079">
        <w:t xml:space="preserve"> </w:t>
      </w:r>
    </w:p>
    <w:p w:rsidR="00775701" w:rsidRDefault="00DA1971" w:rsidP="004511BE">
      <w:pPr>
        <w:pStyle w:val="Heading1"/>
      </w:pPr>
      <w:r>
        <w:br w:type="page"/>
      </w:r>
      <w:bookmarkStart w:id="2" w:name="_Toc310579465"/>
      <w:bookmarkStart w:id="3" w:name="_Toc426374003"/>
      <w:r>
        <w:lastRenderedPageBreak/>
        <w:t>List of Tables</w:t>
      </w:r>
      <w:bookmarkEnd w:id="2"/>
      <w:bookmarkEnd w:id="3"/>
    </w:p>
    <w:p w:rsidR="004A7222" w:rsidRDefault="004A7222" w:rsidP="004A7222">
      <w:pPr>
        <w:pStyle w:val="NoSpacing"/>
      </w:pPr>
    </w:p>
    <w:p w:rsidR="003329C5" w:rsidRDefault="00F7122D">
      <w:pPr>
        <w:pStyle w:val="TableofFigures"/>
        <w:tabs>
          <w:tab w:val="right" w:leader="dot" w:pos="8486"/>
        </w:tabs>
        <w:rPr>
          <w:rFonts w:eastAsiaTheme="minorEastAsia" w:cstheme="minorBidi"/>
          <w:noProof/>
          <w:sz w:val="22"/>
          <w:szCs w:val="22"/>
        </w:rPr>
      </w:pPr>
      <w:r>
        <w:fldChar w:fldCharType="begin"/>
      </w:r>
      <w:r w:rsidR="00CC7E26">
        <w:instrText xml:space="preserve"> TOC \h \z \c "Table" </w:instrText>
      </w:r>
      <w:r>
        <w:fldChar w:fldCharType="separate"/>
      </w:r>
      <w:hyperlink w:anchor="_Toc426967279" w:history="1">
        <w:r w:rsidR="003329C5" w:rsidRPr="00553AB6">
          <w:rPr>
            <w:rStyle w:val="Hyperlink"/>
            <w:noProof/>
          </w:rPr>
          <w:t>Table 1. Surfactant Properties</w:t>
        </w:r>
        <w:r w:rsidR="003329C5">
          <w:rPr>
            <w:noProof/>
            <w:webHidden/>
          </w:rPr>
          <w:tab/>
        </w:r>
        <w:r w:rsidR="003329C5">
          <w:rPr>
            <w:noProof/>
            <w:webHidden/>
          </w:rPr>
          <w:fldChar w:fldCharType="begin"/>
        </w:r>
        <w:r w:rsidR="003329C5">
          <w:rPr>
            <w:noProof/>
            <w:webHidden/>
          </w:rPr>
          <w:instrText xml:space="preserve"> PAGEREF _Toc426967279 \h </w:instrText>
        </w:r>
        <w:r w:rsidR="003329C5">
          <w:rPr>
            <w:noProof/>
            <w:webHidden/>
          </w:rPr>
        </w:r>
        <w:r w:rsidR="003329C5">
          <w:rPr>
            <w:noProof/>
            <w:webHidden/>
          </w:rPr>
          <w:fldChar w:fldCharType="separate"/>
        </w:r>
        <w:r w:rsidR="003F7947">
          <w:rPr>
            <w:noProof/>
            <w:webHidden/>
          </w:rPr>
          <w:t>12</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280" w:history="1">
        <w:r w:rsidR="003329C5" w:rsidRPr="00553AB6">
          <w:rPr>
            <w:rStyle w:val="Hyperlink"/>
            <w:noProof/>
          </w:rPr>
          <w:t>Table 2. Reservoir Brine Analysis. Analysis Conducted by Red River Laboratory, Oklahoma City, OK</w:t>
        </w:r>
        <w:r w:rsidR="003329C5">
          <w:rPr>
            <w:noProof/>
            <w:webHidden/>
          </w:rPr>
          <w:tab/>
        </w:r>
        <w:r w:rsidR="003329C5">
          <w:rPr>
            <w:noProof/>
            <w:webHidden/>
          </w:rPr>
          <w:fldChar w:fldCharType="begin"/>
        </w:r>
        <w:r w:rsidR="003329C5">
          <w:rPr>
            <w:noProof/>
            <w:webHidden/>
          </w:rPr>
          <w:instrText xml:space="preserve"> PAGEREF _Toc426967280 \h </w:instrText>
        </w:r>
        <w:r w:rsidR="003329C5">
          <w:rPr>
            <w:noProof/>
            <w:webHidden/>
          </w:rPr>
        </w:r>
        <w:r w:rsidR="003329C5">
          <w:rPr>
            <w:noProof/>
            <w:webHidden/>
          </w:rPr>
          <w:fldChar w:fldCharType="separate"/>
        </w:r>
        <w:r w:rsidR="003F7947">
          <w:rPr>
            <w:noProof/>
            <w:webHidden/>
          </w:rPr>
          <w:t>12</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281" w:history="1">
        <w:r w:rsidR="003329C5" w:rsidRPr="00553AB6">
          <w:rPr>
            <w:rStyle w:val="Hyperlink"/>
            <w:noProof/>
          </w:rPr>
          <w:t>Table 3. Characteristic of the crude oil. Analysis conducted by Harris Testing Laboratory, Houston, TX</w:t>
        </w:r>
        <w:r w:rsidR="003329C5">
          <w:rPr>
            <w:noProof/>
            <w:webHidden/>
          </w:rPr>
          <w:tab/>
        </w:r>
        <w:r w:rsidR="003329C5">
          <w:rPr>
            <w:noProof/>
            <w:webHidden/>
          </w:rPr>
          <w:fldChar w:fldCharType="begin"/>
        </w:r>
        <w:r w:rsidR="003329C5">
          <w:rPr>
            <w:noProof/>
            <w:webHidden/>
          </w:rPr>
          <w:instrText xml:space="preserve"> PAGEREF _Toc426967281 \h </w:instrText>
        </w:r>
        <w:r w:rsidR="003329C5">
          <w:rPr>
            <w:noProof/>
            <w:webHidden/>
          </w:rPr>
        </w:r>
        <w:r w:rsidR="003329C5">
          <w:rPr>
            <w:noProof/>
            <w:webHidden/>
          </w:rPr>
          <w:fldChar w:fldCharType="separate"/>
        </w:r>
        <w:r w:rsidR="003F7947">
          <w:rPr>
            <w:noProof/>
            <w:webHidden/>
          </w:rPr>
          <w:t>12</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282" w:history="1">
        <w:r w:rsidR="003329C5" w:rsidRPr="00553AB6">
          <w:rPr>
            <w:rStyle w:val="Hyperlink"/>
            <w:noProof/>
          </w:rPr>
          <w:t>Table 4. Effect of surfactant structure on optimal salinity; S* is in g of NaCl/100 ml solution and total surfactant concentration is 0.1M</w:t>
        </w:r>
        <w:r w:rsidR="003329C5">
          <w:rPr>
            <w:noProof/>
            <w:webHidden/>
          </w:rPr>
          <w:tab/>
        </w:r>
        <w:r w:rsidR="003329C5">
          <w:rPr>
            <w:noProof/>
            <w:webHidden/>
          </w:rPr>
          <w:fldChar w:fldCharType="begin"/>
        </w:r>
        <w:r w:rsidR="003329C5">
          <w:rPr>
            <w:noProof/>
            <w:webHidden/>
          </w:rPr>
          <w:instrText xml:space="preserve"> PAGEREF _Toc426967282 \h </w:instrText>
        </w:r>
        <w:r w:rsidR="003329C5">
          <w:rPr>
            <w:noProof/>
            <w:webHidden/>
          </w:rPr>
        </w:r>
        <w:r w:rsidR="003329C5">
          <w:rPr>
            <w:noProof/>
            <w:webHidden/>
          </w:rPr>
          <w:fldChar w:fldCharType="separate"/>
        </w:r>
        <w:r w:rsidR="003F7947">
          <w:rPr>
            <w:noProof/>
            <w:webHidden/>
          </w:rPr>
          <w:t>15</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283" w:history="1">
        <w:r w:rsidR="003329C5" w:rsidRPr="00553AB6">
          <w:rPr>
            <w:rStyle w:val="Hyperlink"/>
            <w:noProof/>
          </w:rPr>
          <w:t>Table 5. Experimentally obtained K-values and Cc-values of extended and conventional surfactants unless otherwise noted.  Cc* is the Cc-value calculated by using group contribution correlation</w:t>
        </w:r>
        <w:r w:rsidR="003329C5">
          <w:rPr>
            <w:noProof/>
            <w:webHidden/>
          </w:rPr>
          <w:tab/>
        </w:r>
        <w:r w:rsidR="003329C5">
          <w:rPr>
            <w:noProof/>
            <w:webHidden/>
          </w:rPr>
          <w:fldChar w:fldCharType="begin"/>
        </w:r>
        <w:r w:rsidR="003329C5">
          <w:rPr>
            <w:noProof/>
            <w:webHidden/>
          </w:rPr>
          <w:instrText xml:space="preserve"> PAGEREF _Toc426967283 \h </w:instrText>
        </w:r>
        <w:r w:rsidR="003329C5">
          <w:rPr>
            <w:noProof/>
            <w:webHidden/>
          </w:rPr>
        </w:r>
        <w:r w:rsidR="003329C5">
          <w:rPr>
            <w:noProof/>
            <w:webHidden/>
          </w:rPr>
          <w:fldChar w:fldCharType="separate"/>
        </w:r>
        <w:r w:rsidR="003F7947">
          <w:rPr>
            <w:noProof/>
            <w:webHidden/>
          </w:rPr>
          <w:t>18</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284" w:history="1">
        <w:r w:rsidR="003329C5" w:rsidRPr="00553AB6">
          <w:rPr>
            <w:rStyle w:val="Hyperlink"/>
            <w:noProof/>
          </w:rPr>
          <w:t>Table 6. Calculated required or predicted Cc to produce optimal Type III microemulsion of the site specific crude and brine at the reservoir conditions</w:t>
        </w:r>
        <w:r w:rsidR="003329C5">
          <w:rPr>
            <w:noProof/>
            <w:webHidden/>
          </w:rPr>
          <w:tab/>
        </w:r>
        <w:r w:rsidR="003329C5">
          <w:rPr>
            <w:noProof/>
            <w:webHidden/>
          </w:rPr>
          <w:fldChar w:fldCharType="begin"/>
        </w:r>
        <w:r w:rsidR="003329C5">
          <w:rPr>
            <w:noProof/>
            <w:webHidden/>
          </w:rPr>
          <w:instrText xml:space="preserve"> PAGEREF _Toc426967284 \h </w:instrText>
        </w:r>
        <w:r w:rsidR="003329C5">
          <w:rPr>
            <w:noProof/>
            <w:webHidden/>
          </w:rPr>
        </w:r>
        <w:r w:rsidR="003329C5">
          <w:rPr>
            <w:noProof/>
            <w:webHidden/>
          </w:rPr>
          <w:fldChar w:fldCharType="separate"/>
        </w:r>
        <w:r w:rsidR="003F7947">
          <w:rPr>
            <w:noProof/>
            <w:webHidden/>
          </w:rPr>
          <w:t>24</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285" w:history="1">
        <w:r w:rsidR="003329C5" w:rsidRPr="00553AB6">
          <w:rPr>
            <w:rStyle w:val="Hyperlink"/>
            <w:noProof/>
          </w:rPr>
          <w:t>Table 7. Predicted mole fraction (x) and weight fraction (y) of the binary mixtures to produce optimal type III microemulsions</w:t>
        </w:r>
        <w:r w:rsidR="003329C5">
          <w:rPr>
            <w:noProof/>
            <w:webHidden/>
          </w:rPr>
          <w:tab/>
        </w:r>
        <w:r w:rsidR="003329C5">
          <w:rPr>
            <w:noProof/>
            <w:webHidden/>
          </w:rPr>
          <w:fldChar w:fldCharType="begin"/>
        </w:r>
        <w:r w:rsidR="003329C5">
          <w:rPr>
            <w:noProof/>
            <w:webHidden/>
          </w:rPr>
          <w:instrText xml:space="preserve"> PAGEREF _Toc426967285 \h </w:instrText>
        </w:r>
        <w:r w:rsidR="003329C5">
          <w:rPr>
            <w:noProof/>
            <w:webHidden/>
          </w:rPr>
        </w:r>
        <w:r w:rsidR="003329C5">
          <w:rPr>
            <w:noProof/>
            <w:webHidden/>
          </w:rPr>
          <w:fldChar w:fldCharType="separate"/>
        </w:r>
        <w:r w:rsidR="003F7947">
          <w:rPr>
            <w:noProof/>
            <w:webHidden/>
          </w:rPr>
          <w:t>24</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286" w:history="1">
        <w:r w:rsidR="003329C5" w:rsidRPr="00553AB6">
          <w:rPr>
            <w:rStyle w:val="Hyperlink"/>
            <w:noProof/>
          </w:rPr>
          <w:t>Table 8. Phase behavior studies, IFT measurement, and concentration of Steol Cs460 at optimal for each surfactant mixture. The concentration of extended surfactants at optimal is 0.25 wt %.</w:t>
        </w:r>
        <w:r w:rsidR="003329C5">
          <w:rPr>
            <w:noProof/>
            <w:webHidden/>
          </w:rPr>
          <w:tab/>
        </w:r>
        <w:r w:rsidR="003329C5">
          <w:rPr>
            <w:noProof/>
            <w:webHidden/>
          </w:rPr>
          <w:fldChar w:fldCharType="begin"/>
        </w:r>
        <w:r w:rsidR="003329C5">
          <w:rPr>
            <w:noProof/>
            <w:webHidden/>
          </w:rPr>
          <w:instrText xml:space="preserve"> PAGEREF _Toc426967286 \h </w:instrText>
        </w:r>
        <w:r w:rsidR="003329C5">
          <w:rPr>
            <w:noProof/>
            <w:webHidden/>
          </w:rPr>
        </w:r>
        <w:r w:rsidR="003329C5">
          <w:rPr>
            <w:noProof/>
            <w:webHidden/>
          </w:rPr>
          <w:fldChar w:fldCharType="separate"/>
        </w:r>
        <w:r w:rsidR="003F7947">
          <w:rPr>
            <w:noProof/>
            <w:webHidden/>
          </w:rPr>
          <w:t>25</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287" w:history="1">
        <w:r w:rsidR="003329C5" w:rsidRPr="00553AB6">
          <w:rPr>
            <w:rStyle w:val="Hyperlink"/>
            <w:noProof/>
          </w:rPr>
          <w:t xml:space="preserve">Table 9. </w:t>
        </w:r>
        <w:r w:rsidR="003329C5" w:rsidRPr="00553AB6">
          <w:rPr>
            <w:rStyle w:val="Hyperlink"/>
            <w:rFonts w:ascii="Times New Roman" w:eastAsia="Calibri" w:hAnsi="Times New Roman"/>
            <w:noProof/>
          </w:rPr>
          <w:t>Accuracy validation of the HLD equation</w:t>
        </w:r>
        <w:r w:rsidR="003329C5">
          <w:rPr>
            <w:noProof/>
            <w:webHidden/>
          </w:rPr>
          <w:tab/>
        </w:r>
        <w:r w:rsidR="003329C5">
          <w:rPr>
            <w:noProof/>
            <w:webHidden/>
          </w:rPr>
          <w:fldChar w:fldCharType="begin"/>
        </w:r>
        <w:r w:rsidR="003329C5">
          <w:rPr>
            <w:noProof/>
            <w:webHidden/>
          </w:rPr>
          <w:instrText xml:space="preserve"> PAGEREF _Toc426967287 \h </w:instrText>
        </w:r>
        <w:r w:rsidR="003329C5">
          <w:rPr>
            <w:noProof/>
            <w:webHidden/>
          </w:rPr>
        </w:r>
        <w:r w:rsidR="003329C5">
          <w:rPr>
            <w:noProof/>
            <w:webHidden/>
          </w:rPr>
          <w:fldChar w:fldCharType="separate"/>
        </w:r>
        <w:r w:rsidR="003F7947">
          <w:rPr>
            <w:noProof/>
            <w:webHidden/>
          </w:rPr>
          <w:t>28</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288" w:history="1">
        <w:r w:rsidR="003329C5" w:rsidRPr="00553AB6">
          <w:rPr>
            <w:rStyle w:val="Hyperlink"/>
            <w:noProof/>
          </w:rPr>
          <w:t>Table 10. Formation Brine Analysis</w:t>
        </w:r>
        <w:r w:rsidR="003329C5">
          <w:rPr>
            <w:noProof/>
            <w:webHidden/>
          </w:rPr>
          <w:tab/>
        </w:r>
        <w:r w:rsidR="003329C5">
          <w:rPr>
            <w:noProof/>
            <w:webHidden/>
          </w:rPr>
          <w:fldChar w:fldCharType="begin"/>
        </w:r>
        <w:r w:rsidR="003329C5">
          <w:rPr>
            <w:noProof/>
            <w:webHidden/>
          </w:rPr>
          <w:instrText xml:space="preserve"> PAGEREF _Toc426967288 \h </w:instrText>
        </w:r>
        <w:r w:rsidR="003329C5">
          <w:rPr>
            <w:noProof/>
            <w:webHidden/>
          </w:rPr>
        </w:r>
        <w:r w:rsidR="003329C5">
          <w:rPr>
            <w:noProof/>
            <w:webHidden/>
          </w:rPr>
          <w:fldChar w:fldCharType="separate"/>
        </w:r>
        <w:r w:rsidR="003F7947">
          <w:rPr>
            <w:noProof/>
            <w:webHidden/>
          </w:rPr>
          <w:t>36</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289" w:history="1">
        <w:r w:rsidR="003329C5" w:rsidRPr="00553AB6">
          <w:rPr>
            <w:rStyle w:val="Hyperlink"/>
            <w:noProof/>
          </w:rPr>
          <w:t>Table 11. Field operational steps and amount of chemicals injected, 1 PV = 85 bbls</w:t>
        </w:r>
        <w:r w:rsidR="003329C5">
          <w:rPr>
            <w:noProof/>
            <w:webHidden/>
          </w:rPr>
          <w:tab/>
        </w:r>
        <w:r w:rsidR="003329C5">
          <w:rPr>
            <w:noProof/>
            <w:webHidden/>
          </w:rPr>
          <w:fldChar w:fldCharType="begin"/>
        </w:r>
        <w:r w:rsidR="003329C5">
          <w:rPr>
            <w:noProof/>
            <w:webHidden/>
          </w:rPr>
          <w:instrText xml:space="preserve"> PAGEREF _Toc426967289 \h </w:instrText>
        </w:r>
        <w:r w:rsidR="003329C5">
          <w:rPr>
            <w:noProof/>
            <w:webHidden/>
          </w:rPr>
        </w:r>
        <w:r w:rsidR="003329C5">
          <w:rPr>
            <w:noProof/>
            <w:webHidden/>
          </w:rPr>
          <w:fldChar w:fldCharType="separate"/>
        </w:r>
        <w:r w:rsidR="003F7947">
          <w:rPr>
            <w:noProof/>
            <w:webHidden/>
          </w:rPr>
          <w:t>38</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290" w:history="1">
        <w:r w:rsidR="003329C5" w:rsidRPr="00553AB6">
          <w:rPr>
            <w:rStyle w:val="Hyperlink"/>
            <w:noProof/>
          </w:rPr>
          <w:t>Table 12. Summary of sand pack studies</w:t>
        </w:r>
        <w:r w:rsidR="003329C5">
          <w:rPr>
            <w:noProof/>
            <w:webHidden/>
          </w:rPr>
          <w:tab/>
        </w:r>
        <w:r w:rsidR="003329C5">
          <w:rPr>
            <w:noProof/>
            <w:webHidden/>
          </w:rPr>
          <w:fldChar w:fldCharType="begin"/>
        </w:r>
        <w:r w:rsidR="003329C5">
          <w:rPr>
            <w:noProof/>
            <w:webHidden/>
          </w:rPr>
          <w:instrText xml:space="preserve"> PAGEREF _Toc426967290 \h </w:instrText>
        </w:r>
        <w:r w:rsidR="003329C5">
          <w:rPr>
            <w:noProof/>
            <w:webHidden/>
          </w:rPr>
        </w:r>
        <w:r w:rsidR="003329C5">
          <w:rPr>
            <w:noProof/>
            <w:webHidden/>
          </w:rPr>
          <w:fldChar w:fldCharType="separate"/>
        </w:r>
        <w:r w:rsidR="003F7947">
          <w:rPr>
            <w:noProof/>
            <w:webHidden/>
          </w:rPr>
          <w:t>45</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291" w:history="1">
        <w:r w:rsidR="003329C5" w:rsidRPr="00553AB6">
          <w:rPr>
            <w:rStyle w:val="Hyperlink"/>
            <w:noProof/>
          </w:rPr>
          <w:t>Table 14. Simulation Matching Parameters. Software: CMG-STARS</w:t>
        </w:r>
        <w:r w:rsidR="003329C5">
          <w:rPr>
            <w:noProof/>
            <w:webHidden/>
          </w:rPr>
          <w:tab/>
        </w:r>
        <w:r w:rsidR="003329C5">
          <w:rPr>
            <w:noProof/>
            <w:webHidden/>
          </w:rPr>
          <w:fldChar w:fldCharType="begin"/>
        </w:r>
        <w:r w:rsidR="003329C5">
          <w:rPr>
            <w:noProof/>
            <w:webHidden/>
          </w:rPr>
          <w:instrText xml:space="preserve"> PAGEREF _Toc426967291 \h </w:instrText>
        </w:r>
        <w:r w:rsidR="003329C5">
          <w:rPr>
            <w:noProof/>
            <w:webHidden/>
          </w:rPr>
        </w:r>
        <w:r w:rsidR="003329C5">
          <w:rPr>
            <w:noProof/>
            <w:webHidden/>
          </w:rPr>
          <w:fldChar w:fldCharType="separate"/>
        </w:r>
        <w:r w:rsidR="003F7947">
          <w:rPr>
            <w:noProof/>
            <w:webHidden/>
          </w:rPr>
          <w:t>49</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292" w:history="1">
        <w:r w:rsidR="003329C5" w:rsidRPr="00553AB6">
          <w:rPr>
            <w:rStyle w:val="Hyperlink"/>
            <w:noProof/>
          </w:rPr>
          <w:t xml:space="preserve">Table 15. </w:t>
        </w:r>
        <w:r w:rsidR="003329C5" w:rsidRPr="00553AB6">
          <w:rPr>
            <w:rStyle w:val="Hyperlink"/>
            <w:noProof/>
            <w:lang w:bidi="en-US"/>
          </w:rPr>
          <w:t>Composition of Brea Sandstone and Ottawa Sand. Information provided by supplier</w:t>
        </w:r>
        <w:r w:rsidR="003329C5">
          <w:rPr>
            <w:noProof/>
            <w:webHidden/>
          </w:rPr>
          <w:tab/>
        </w:r>
        <w:r w:rsidR="003329C5">
          <w:rPr>
            <w:noProof/>
            <w:webHidden/>
          </w:rPr>
          <w:fldChar w:fldCharType="begin"/>
        </w:r>
        <w:r w:rsidR="003329C5">
          <w:rPr>
            <w:noProof/>
            <w:webHidden/>
          </w:rPr>
          <w:instrText xml:space="preserve"> PAGEREF _Toc426967292 \h </w:instrText>
        </w:r>
        <w:r w:rsidR="003329C5">
          <w:rPr>
            <w:noProof/>
            <w:webHidden/>
          </w:rPr>
        </w:r>
        <w:r w:rsidR="003329C5">
          <w:rPr>
            <w:noProof/>
            <w:webHidden/>
          </w:rPr>
          <w:fldChar w:fldCharType="separate"/>
        </w:r>
        <w:r w:rsidR="003F7947">
          <w:rPr>
            <w:noProof/>
            <w:webHidden/>
          </w:rPr>
          <w:t>55</w:t>
        </w:r>
        <w:r w:rsidR="003329C5">
          <w:rPr>
            <w:noProof/>
            <w:webHidden/>
          </w:rPr>
          <w:fldChar w:fldCharType="end"/>
        </w:r>
      </w:hyperlink>
    </w:p>
    <w:p w:rsidR="00E9509F" w:rsidRDefault="00F7122D" w:rsidP="00DE1EF7">
      <w:pPr>
        <w:sectPr w:rsidR="00E9509F" w:rsidSect="00775701">
          <w:footerReference w:type="default" r:id="rId14"/>
          <w:pgSz w:w="12240" w:h="15840" w:code="1"/>
          <w:pgMar w:top="1440" w:right="1440" w:bottom="1440" w:left="2304" w:header="720" w:footer="720" w:gutter="0"/>
          <w:pgNumType w:fmt="lowerRoman" w:start="4"/>
          <w:cols w:space="720"/>
          <w:docGrid w:linePitch="360"/>
        </w:sectPr>
      </w:pPr>
      <w:r>
        <w:fldChar w:fldCharType="end"/>
      </w:r>
    </w:p>
    <w:bookmarkStart w:id="4" w:name="_Toc310579466"/>
    <w:bookmarkStart w:id="5" w:name="_Toc426374004"/>
    <w:p w:rsidR="00DA1971" w:rsidRDefault="001C58A2" w:rsidP="004511BE">
      <w:pPr>
        <w:pStyle w:val="Heading1"/>
      </w:pPr>
      <w:sdt>
        <w:sdtPr>
          <w:alias w:val="List of Figures/Illustrations"/>
          <w:tag w:val="List of Figures/Illustrations"/>
          <w:id w:val="30091882"/>
          <w:placeholder>
            <w:docPart w:val="759BC30D3C1F4056B5956C77E5F08E9F"/>
          </w:placeholder>
          <w:dropDownList>
            <w:listItem w:displayText="List of Figures" w:value="List of Figures"/>
            <w:listItem w:displayText="List of Illustrations" w:value="List of Illustrations"/>
          </w:dropDownList>
        </w:sdtPr>
        <w:sdtEndPr/>
        <w:sdtContent>
          <w:r w:rsidR="001B12EF">
            <w:t>List of Figures</w:t>
          </w:r>
        </w:sdtContent>
      </w:sdt>
      <w:bookmarkEnd w:id="4"/>
      <w:bookmarkEnd w:id="5"/>
    </w:p>
    <w:p w:rsidR="004A7222" w:rsidRPr="00EE3EDB" w:rsidRDefault="004A7222" w:rsidP="004A7222">
      <w:pPr>
        <w:pStyle w:val="NoSpacing"/>
      </w:pPr>
    </w:p>
    <w:p w:rsidR="003329C5" w:rsidRDefault="00F7122D">
      <w:pPr>
        <w:pStyle w:val="TableofFigures"/>
        <w:tabs>
          <w:tab w:val="right" w:leader="dot" w:pos="8486"/>
        </w:tabs>
        <w:rPr>
          <w:rFonts w:eastAsiaTheme="minorEastAsia" w:cstheme="minorBidi"/>
          <w:noProof/>
          <w:sz w:val="22"/>
          <w:szCs w:val="22"/>
        </w:rPr>
      </w:pPr>
      <w:r>
        <w:fldChar w:fldCharType="begin"/>
      </w:r>
      <w:r w:rsidR="00CC7E26">
        <w:instrText xml:space="preserve"> TOC \h \z \c "Figure" </w:instrText>
      </w:r>
      <w:r>
        <w:fldChar w:fldCharType="separate"/>
      </w:r>
      <w:hyperlink r:id="rId15" w:anchor="_Toc426967293" w:history="1">
        <w:r w:rsidR="003329C5" w:rsidRPr="00640723">
          <w:rPr>
            <w:rStyle w:val="Hyperlink"/>
            <w:noProof/>
          </w:rPr>
          <w:t xml:space="preserve">Figure 1. </w:t>
        </w:r>
        <w:r w:rsidR="003329C5" w:rsidRPr="00640723">
          <w:rPr>
            <w:rStyle w:val="Hyperlink"/>
            <w:rFonts w:ascii="Times New Roman" w:eastAsia="Calibri" w:hAnsi="Times New Roman"/>
            <w:noProof/>
          </w:rPr>
          <w:t>Effect of High TDS on homogeneous single phase micellar solution</w:t>
        </w:r>
        <w:r w:rsidR="003329C5">
          <w:rPr>
            <w:noProof/>
            <w:webHidden/>
          </w:rPr>
          <w:tab/>
        </w:r>
        <w:r w:rsidR="003329C5">
          <w:rPr>
            <w:noProof/>
            <w:webHidden/>
          </w:rPr>
          <w:fldChar w:fldCharType="begin"/>
        </w:r>
        <w:r w:rsidR="003329C5">
          <w:rPr>
            <w:noProof/>
            <w:webHidden/>
          </w:rPr>
          <w:instrText xml:space="preserve"> PAGEREF _Toc426967293 \h </w:instrText>
        </w:r>
        <w:r w:rsidR="003329C5">
          <w:rPr>
            <w:noProof/>
            <w:webHidden/>
          </w:rPr>
        </w:r>
        <w:r w:rsidR="003329C5">
          <w:rPr>
            <w:noProof/>
            <w:webHidden/>
          </w:rPr>
          <w:fldChar w:fldCharType="separate"/>
        </w:r>
        <w:r w:rsidR="003F7947">
          <w:rPr>
            <w:noProof/>
            <w:webHidden/>
          </w:rPr>
          <w:t>6</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16" w:anchor="_Toc426967294" w:history="1">
        <w:r w:rsidR="003329C5" w:rsidRPr="00640723">
          <w:rPr>
            <w:rStyle w:val="Hyperlink"/>
            <w:noProof/>
          </w:rPr>
          <w:t>Figure 2. Plot of ln(S*) Vs EACN to determine the K and Cc of the extended surfactants</w:t>
        </w:r>
        <w:r w:rsidR="003329C5">
          <w:rPr>
            <w:noProof/>
            <w:webHidden/>
          </w:rPr>
          <w:tab/>
        </w:r>
        <w:r w:rsidR="003329C5">
          <w:rPr>
            <w:noProof/>
            <w:webHidden/>
          </w:rPr>
          <w:fldChar w:fldCharType="begin"/>
        </w:r>
        <w:r w:rsidR="003329C5">
          <w:rPr>
            <w:noProof/>
            <w:webHidden/>
          </w:rPr>
          <w:instrText xml:space="preserve"> PAGEREF _Toc426967294 \h </w:instrText>
        </w:r>
        <w:r w:rsidR="003329C5">
          <w:rPr>
            <w:noProof/>
            <w:webHidden/>
          </w:rPr>
        </w:r>
        <w:r w:rsidR="003329C5">
          <w:rPr>
            <w:noProof/>
            <w:webHidden/>
          </w:rPr>
          <w:fldChar w:fldCharType="separate"/>
        </w:r>
        <w:r w:rsidR="003F7947">
          <w:rPr>
            <w:noProof/>
            <w:webHidden/>
          </w:rPr>
          <w:t>17</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17" w:anchor="_Toc426967295" w:history="1">
        <w:r w:rsidR="003329C5" w:rsidRPr="00640723">
          <w:rPr>
            <w:rStyle w:val="Hyperlink"/>
            <w:noProof/>
          </w:rPr>
          <w:t>Figure 3. Effect of surfactant mixture (AMA and SDS or Steol Cs460) composition on overall salinity; Surfactant 2 is SDS or Steol Cs460. Oil phase is Limonene</w:t>
        </w:r>
        <w:r w:rsidR="003329C5">
          <w:rPr>
            <w:noProof/>
            <w:webHidden/>
          </w:rPr>
          <w:tab/>
        </w:r>
        <w:r w:rsidR="003329C5">
          <w:rPr>
            <w:noProof/>
            <w:webHidden/>
          </w:rPr>
          <w:fldChar w:fldCharType="begin"/>
        </w:r>
        <w:r w:rsidR="003329C5">
          <w:rPr>
            <w:noProof/>
            <w:webHidden/>
          </w:rPr>
          <w:instrText xml:space="preserve"> PAGEREF _Toc426967295 \h </w:instrText>
        </w:r>
        <w:r w:rsidR="003329C5">
          <w:rPr>
            <w:noProof/>
            <w:webHidden/>
          </w:rPr>
        </w:r>
        <w:r w:rsidR="003329C5">
          <w:rPr>
            <w:noProof/>
            <w:webHidden/>
          </w:rPr>
          <w:fldChar w:fldCharType="separate"/>
        </w:r>
        <w:r w:rsidR="003F7947">
          <w:rPr>
            <w:noProof/>
            <w:webHidden/>
          </w:rPr>
          <w:t>20</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18" w:anchor="_Toc426967296" w:history="1">
        <w:r w:rsidR="003329C5" w:rsidRPr="00640723">
          <w:rPr>
            <w:rStyle w:val="Hyperlink"/>
            <w:noProof/>
          </w:rPr>
          <w:t>Figure 4. Phase behavior: Steol Cs460 scan for C</w:t>
        </w:r>
        <w:r w:rsidR="003329C5" w:rsidRPr="00640723">
          <w:rPr>
            <w:rStyle w:val="Hyperlink"/>
            <w:noProof/>
            <w:vertAlign w:val="subscript"/>
          </w:rPr>
          <w:t>8</w:t>
        </w:r>
        <w:r w:rsidR="003329C5" w:rsidRPr="00640723">
          <w:rPr>
            <w:rStyle w:val="Hyperlink"/>
            <w:noProof/>
          </w:rPr>
          <w:t>-(PO)</w:t>
        </w:r>
        <w:r w:rsidR="003329C5" w:rsidRPr="00640723">
          <w:rPr>
            <w:rStyle w:val="Hyperlink"/>
            <w:noProof/>
            <w:vertAlign w:val="subscript"/>
          </w:rPr>
          <w:t>4</w:t>
        </w:r>
        <w:r w:rsidR="003329C5" w:rsidRPr="00640723">
          <w:rPr>
            <w:rStyle w:val="Hyperlink"/>
            <w:noProof/>
          </w:rPr>
          <w:t>-(EO)</w:t>
        </w:r>
        <w:r w:rsidR="003329C5" w:rsidRPr="00640723">
          <w:rPr>
            <w:rStyle w:val="Hyperlink"/>
            <w:noProof/>
            <w:vertAlign w:val="subscript"/>
          </w:rPr>
          <w:t>1</w:t>
        </w:r>
        <w:r w:rsidR="003329C5" w:rsidRPr="00640723">
          <w:rPr>
            <w:rStyle w:val="Hyperlink"/>
            <w:noProof/>
          </w:rPr>
          <w:t>-SO</w:t>
        </w:r>
        <w:r w:rsidR="003329C5" w:rsidRPr="00640723">
          <w:rPr>
            <w:rStyle w:val="Hyperlink"/>
            <w:noProof/>
            <w:vertAlign w:val="subscript"/>
          </w:rPr>
          <w:t>4</w:t>
        </w:r>
        <w:r w:rsidR="003329C5" w:rsidRPr="00640723">
          <w:rPr>
            <w:rStyle w:val="Hyperlink"/>
            <w:noProof/>
          </w:rPr>
          <w:t>Na (0.25 wt. %) at the reservoir temperature (52°C) with crude oil</w:t>
        </w:r>
        <w:r w:rsidR="003329C5">
          <w:rPr>
            <w:noProof/>
            <w:webHidden/>
          </w:rPr>
          <w:tab/>
        </w:r>
        <w:r w:rsidR="003329C5">
          <w:rPr>
            <w:noProof/>
            <w:webHidden/>
          </w:rPr>
          <w:fldChar w:fldCharType="begin"/>
        </w:r>
        <w:r w:rsidR="003329C5">
          <w:rPr>
            <w:noProof/>
            <w:webHidden/>
          </w:rPr>
          <w:instrText xml:space="preserve"> PAGEREF _Toc426967296 \h </w:instrText>
        </w:r>
        <w:r w:rsidR="003329C5">
          <w:rPr>
            <w:noProof/>
            <w:webHidden/>
          </w:rPr>
        </w:r>
        <w:r w:rsidR="003329C5">
          <w:rPr>
            <w:noProof/>
            <w:webHidden/>
          </w:rPr>
          <w:fldChar w:fldCharType="separate"/>
        </w:r>
        <w:r w:rsidR="003F7947">
          <w:rPr>
            <w:noProof/>
            <w:webHidden/>
          </w:rPr>
          <w:t>25</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19" w:anchor="_Toc426967297" w:history="1">
        <w:r w:rsidR="003329C5" w:rsidRPr="00640723">
          <w:rPr>
            <w:rStyle w:val="Hyperlink"/>
            <w:noProof/>
          </w:rPr>
          <w:t xml:space="preserve">Figure 5. </w:t>
        </w:r>
        <w:r w:rsidR="003329C5" w:rsidRPr="00640723">
          <w:rPr>
            <w:rStyle w:val="Hyperlink"/>
            <w:rFonts w:ascii="Times New Roman" w:eastAsia="Calibri" w:hAnsi="Times New Roman"/>
            <w:noProof/>
          </w:rPr>
          <w:t>Equilibrium IFT measurements of the binary mixtures (extended surfactant, 0.25 wt. % + Steol Cs460) with the reservoir crude oil at 52°C</w:t>
        </w:r>
        <w:r w:rsidR="003329C5">
          <w:rPr>
            <w:noProof/>
            <w:webHidden/>
          </w:rPr>
          <w:tab/>
        </w:r>
        <w:r w:rsidR="003329C5">
          <w:rPr>
            <w:noProof/>
            <w:webHidden/>
          </w:rPr>
          <w:fldChar w:fldCharType="begin"/>
        </w:r>
        <w:r w:rsidR="003329C5">
          <w:rPr>
            <w:noProof/>
            <w:webHidden/>
          </w:rPr>
          <w:instrText xml:space="preserve"> PAGEREF _Toc426967297 \h </w:instrText>
        </w:r>
        <w:r w:rsidR="003329C5">
          <w:rPr>
            <w:noProof/>
            <w:webHidden/>
          </w:rPr>
        </w:r>
        <w:r w:rsidR="003329C5">
          <w:rPr>
            <w:noProof/>
            <w:webHidden/>
          </w:rPr>
          <w:fldChar w:fldCharType="separate"/>
        </w:r>
        <w:r w:rsidR="003F7947">
          <w:rPr>
            <w:noProof/>
            <w:webHidden/>
          </w:rPr>
          <w:t>27</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20" w:anchor="_Toc426967298" w:history="1">
        <w:r w:rsidR="003329C5" w:rsidRPr="00640723">
          <w:rPr>
            <w:rStyle w:val="Hyperlink"/>
            <w:noProof/>
          </w:rPr>
          <w:t xml:space="preserve">Figure 6. </w:t>
        </w:r>
        <w:r w:rsidR="003329C5" w:rsidRPr="00640723">
          <w:rPr>
            <w:rStyle w:val="Hyperlink"/>
            <w:rFonts w:ascii="Times New Roman" w:eastAsia="Calibri" w:hAnsi="Times New Roman"/>
            <w:noProof/>
          </w:rPr>
          <w:t>Sand packed study: Effect of 1 PV, 0.75 wt. % surfactant slug consisting mixture of C</w:t>
        </w:r>
        <w:r w:rsidR="003329C5" w:rsidRPr="00640723">
          <w:rPr>
            <w:rStyle w:val="Hyperlink"/>
            <w:rFonts w:ascii="Times New Roman" w:eastAsia="Calibri" w:hAnsi="Times New Roman"/>
            <w:noProof/>
            <w:vertAlign w:val="subscript"/>
          </w:rPr>
          <w:t>10</w:t>
        </w:r>
        <w:r w:rsidR="003329C5" w:rsidRPr="00640723">
          <w:rPr>
            <w:rStyle w:val="Hyperlink"/>
            <w:rFonts w:ascii="Times New Roman" w:eastAsia="Calibri" w:hAnsi="Times New Roman"/>
            <w:noProof/>
          </w:rPr>
          <w:t>-(PO)</w:t>
        </w:r>
        <w:r w:rsidR="003329C5" w:rsidRPr="00640723">
          <w:rPr>
            <w:rStyle w:val="Hyperlink"/>
            <w:rFonts w:ascii="Times New Roman" w:eastAsia="Calibri" w:hAnsi="Times New Roman"/>
            <w:noProof/>
            <w:vertAlign w:val="subscript"/>
          </w:rPr>
          <w:t>4</w:t>
        </w:r>
        <w:r w:rsidR="003329C5" w:rsidRPr="00640723">
          <w:rPr>
            <w:rStyle w:val="Hyperlink"/>
            <w:rFonts w:ascii="Times New Roman" w:eastAsia="Calibri" w:hAnsi="Times New Roman"/>
            <w:noProof/>
          </w:rPr>
          <w:t>-(EO)</w:t>
        </w:r>
        <w:r w:rsidR="003329C5" w:rsidRPr="00640723">
          <w:rPr>
            <w:rStyle w:val="Hyperlink"/>
            <w:rFonts w:ascii="Times New Roman" w:eastAsia="Calibri" w:hAnsi="Times New Roman"/>
            <w:noProof/>
            <w:vertAlign w:val="subscript"/>
          </w:rPr>
          <w:t>1</w:t>
        </w:r>
        <w:r w:rsidR="003329C5" w:rsidRPr="00640723">
          <w:rPr>
            <w:rStyle w:val="Hyperlink"/>
            <w:rFonts w:ascii="Times New Roman" w:eastAsia="Calibri" w:hAnsi="Times New Roman"/>
            <w:noProof/>
          </w:rPr>
          <w:t>-SO</w:t>
        </w:r>
        <w:r w:rsidR="003329C5" w:rsidRPr="00640723">
          <w:rPr>
            <w:rStyle w:val="Hyperlink"/>
            <w:rFonts w:ascii="Times New Roman" w:eastAsia="Calibri" w:hAnsi="Times New Roman"/>
            <w:noProof/>
            <w:vertAlign w:val="subscript"/>
          </w:rPr>
          <w:t>4</w:t>
        </w:r>
        <w:r w:rsidR="003329C5" w:rsidRPr="00640723">
          <w:rPr>
            <w:rStyle w:val="Hyperlink"/>
            <w:rFonts w:ascii="Times New Roman" w:eastAsia="Calibri" w:hAnsi="Times New Roman"/>
            <w:noProof/>
          </w:rPr>
          <w:t>Na and Steol Cs460 on cumulative oil recovery and Sor reduction.</w:t>
        </w:r>
        <w:r w:rsidR="003329C5">
          <w:rPr>
            <w:noProof/>
            <w:webHidden/>
          </w:rPr>
          <w:tab/>
        </w:r>
        <w:r w:rsidR="003329C5">
          <w:rPr>
            <w:noProof/>
            <w:webHidden/>
          </w:rPr>
          <w:fldChar w:fldCharType="begin"/>
        </w:r>
        <w:r w:rsidR="003329C5">
          <w:rPr>
            <w:noProof/>
            <w:webHidden/>
          </w:rPr>
          <w:instrText xml:space="preserve"> PAGEREF _Toc426967298 \h </w:instrText>
        </w:r>
        <w:r w:rsidR="003329C5">
          <w:rPr>
            <w:noProof/>
            <w:webHidden/>
          </w:rPr>
        </w:r>
        <w:r w:rsidR="003329C5">
          <w:rPr>
            <w:noProof/>
            <w:webHidden/>
          </w:rPr>
          <w:fldChar w:fldCharType="separate"/>
        </w:r>
        <w:r w:rsidR="003F7947">
          <w:rPr>
            <w:noProof/>
            <w:webHidden/>
          </w:rPr>
          <w:t>29</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21" w:anchor="_Toc426967299" w:history="1">
        <w:r w:rsidR="003329C5" w:rsidRPr="00640723">
          <w:rPr>
            <w:rStyle w:val="Hyperlink"/>
            <w:noProof/>
          </w:rPr>
          <w:t>Figure 7. Equilibrium IFT measurements of the binary mixtures (C</w:t>
        </w:r>
        <w:r w:rsidR="003329C5" w:rsidRPr="00640723">
          <w:rPr>
            <w:rStyle w:val="Hyperlink"/>
            <w:noProof/>
            <w:vertAlign w:val="subscript"/>
          </w:rPr>
          <w:t>8</w:t>
        </w:r>
        <w:r w:rsidR="003329C5" w:rsidRPr="00640723">
          <w:rPr>
            <w:rStyle w:val="Hyperlink"/>
            <w:noProof/>
          </w:rPr>
          <w:t>-(PO)</w:t>
        </w:r>
        <w:r w:rsidR="003329C5" w:rsidRPr="00640723">
          <w:rPr>
            <w:rStyle w:val="Hyperlink"/>
            <w:noProof/>
            <w:vertAlign w:val="subscript"/>
          </w:rPr>
          <w:t>4</w:t>
        </w:r>
        <w:r w:rsidR="003329C5" w:rsidRPr="00640723">
          <w:rPr>
            <w:rStyle w:val="Hyperlink"/>
            <w:noProof/>
          </w:rPr>
          <w:t>-(EO)</w:t>
        </w:r>
        <w:r w:rsidR="003329C5" w:rsidRPr="00640723">
          <w:rPr>
            <w:rStyle w:val="Hyperlink"/>
            <w:noProof/>
            <w:vertAlign w:val="subscript"/>
          </w:rPr>
          <w:t>1</w:t>
        </w:r>
        <w:r w:rsidR="003329C5" w:rsidRPr="00640723">
          <w:rPr>
            <w:rStyle w:val="Hyperlink"/>
            <w:noProof/>
          </w:rPr>
          <w:t>-SO4Na, 0.25 wt % + SAES) with the reservoir crude oil at 52°C</w:t>
        </w:r>
        <w:r w:rsidR="003329C5">
          <w:rPr>
            <w:noProof/>
            <w:webHidden/>
          </w:rPr>
          <w:tab/>
        </w:r>
        <w:r w:rsidR="003329C5">
          <w:rPr>
            <w:noProof/>
            <w:webHidden/>
          </w:rPr>
          <w:fldChar w:fldCharType="begin"/>
        </w:r>
        <w:r w:rsidR="003329C5">
          <w:rPr>
            <w:noProof/>
            <w:webHidden/>
          </w:rPr>
          <w:instrText xml:space="preserve"> PAGEREF _Toc426967299 \h </w:instrText>
        </w:r>
        <w:r w:rsidR="003329C5">
          <w:rPr>
            <w:noProof/>
            <w:webHidden/>
          </w:rPr>
        </w:r>
        <w:r w:rsidR="003329C5">
          <w:rPr>
            <w:noProof/>
            <w:webHidden/>
          </w:rPr>
          <w:fldChar w:fldCharType="separate"/>
        </w:r>
        <w:r w:rsidR="003F7947">
          <w:rPr>
            <w:noProof/>
            <w:webHidden/>
          </w:rPr>
          <w:t>41</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22" w:anchor="_Toc426967300" w:history="1">
        <w:r w:rsidR="003329C5" w:rsidRPr="00640723">
          <w:rPr>
            <w:rStyle w:val="Hyperlink"/>
            <w:noProof/>
          </w:rPr>
          <w:t>Figure 8. Effect of surfactant concentration on cumulative oil recovery and oil break through. Post water flooding surfactant injection (1 PV)</w:t>
        </w:r>
        <w:r w:rsidR="003329C5">
          <w:rPr>
            <w:noProof/>
            <w:webHidden/>
          </w:rPr>
          <w:tab/>
        </w:r>
        <w:r w:rsidR="003329C5">
          <w:rPr>
            <w:noProof/>
            <w:webHidden/>
          </w:rPr>
          <w:fldChar w:fldCharType="begin"/>
        </w:r>
        <w:r w:rsidR="003329C5">
          <w:rPr>
            <w:noProof/>
            <w:webHidden/>
          </w:rPr>
          <w:instrText xml:space="preserve"> PAGEREF _Toc426967300 \h </w:instrText>
        </w:r>
        <w:r w:rsidR="003329C5">
          <w:rPr>
            <w:noProof/>
            <w:webHidden/>
          </w:rPr>
        </w:r>
        <w:r w:rsidR="003329C5">
          <w:rPr>
            <w:noProof/>
            <w:webHidden/>
          </w:rPr>
          <w:fldChar w:fldCharType="separate"/>
        </w:r>
        <w:r w:rsidR="003F7947">
          <w:rPr>
            <w:noProof/>
            <w:webHidden/>
          </w:rPr>
          <w:t>42</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23" w:anchor="_Toc426967301" w:history="1">
        <w:r w:rsidR="003329C5" w:rsidRPr="00640723">
          <w:rPr>
            <w:rStyle w:val="Hyperlink"/>
            <w:noProof/>
          </w:rPr>
          <w:t>Figure 9. Effect of surfactant concentration on oil bank position. A) 1 PV, 0.25 wt% B) 1 PV, 0.50 wt% C) 1 PV, 0.75 wt%. Fluid injection rate: 0.3 ml/min.</w:t>
        </w:r>
        <w:r w:rsidR="003329C5">
          <w:rPr>
            <w:noProof/>
            <w:webHidden/>
          </w:rPr>
          <w:tab/>
        </w:r>
        <w:r w:rsidR="003329C5">
          <w:rPr>
            <w:noProof/>
            <w:webHidden/>
          </w:rPr>
          <w:fldChar w:fldCharType="begin"/>
        </w:r>
        <w:r w:rsidR="003329C5">
          <w:rPr>
            <w:noProof/>
            <w:webHidden/>
          </w:rPr>
          <w:instrText xml:space="preserve"> PAGEREF _Toc426967301 \h </w:instrText>
        </w:r>
        <w:r w:rsidR="003329C5">
          <w:rPr>
            <w:noProof/>
            <w:webHidden/>
          </w:rPr>
        </w:r>
        <w:r w:rsidR="003329C5">
          <w:rPr>
            <w:noProof/>
            <w:webHidden/>
          </w:rPr>
          <w:fldChar w:fldCharType="separate"/>
        </w:r>
        <w:r w:rsidR="003F7947">
          <w:rPr>
            <w:noProof/>
            <w:webHidden/>
          </w:rPr>
          <w:t>43</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24" w:anchor="_Toc426967302" w:history="1">
        <w:r w:rsidR="003329C5" w:rsidRPr="00640723">
          <w:rPr>
            <w:rStyle w:val="Hyperlink"/>
            <w:noProof/>
          </w:rPr>
          <w:t xml:space="preserve">Figure 10. </w:t>
        </w:r>
        <w:r w:rsidR="003329C5" w:rsidRPr="00640723">
          <w:rPr>
            <w:rStyle w:val="Hyperlink"/>
            <w:noProof/>
            <w:kern w:val="24"/>
          </w:rPr>
          <w:t>Effect of surfactant slug size on cumulative oil recovery</w:t>
        </w:r>
        <w:r w:rsidR="003329C5">
          <w:rPr>
            <w:noProof/>
            <w:webHidden/>
          </w:rPr>
          <w:tab/>
        </w:r>
        <w:r w:rsidR="003329C5">
          <w:rPr>
            <w:noProof/>
            <w:webHidden/>
          </w:rPr>
          <w:fldChar w:fldCharType="begin"/>
        </w:r>
        <w:r w:rsidR="003329C5">
          <w:rPr>
            <w:noProof/>
            <w:webHidden/>
          </w:rPr>
          <w:instrText xml:space="preserve"> PAGEREF _Toc426967302 \h </w:instrText>
        </w:r>
        <w:r w:rsidR="003329C5">
          <w:rPr>
            <w:noProof/>
            <w:webHidden/>
          </w:rPr>
        </w:r>
        <w:r w:rsidR="003329C5">
          <w:rPr>
            <w:noProof/>
            <w:webHidden/>
          </w:rPr>
          <w:fldChar w:fldCharType="separate"/>
        </w:r>
        <w:r w:rsidR="003F7947">
          <w:rPr>
            <w:noProof/>
            <w:webHidden/>
          </w:rPr>
          <w:t>44</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25" w:anchor="_Toc426967303" w:history="1">
        <w:r w:rsidR="003329C5" w:rsidRPr="00640723">
          <w:rPr>
            <w:rStyle w:val="Hyperlink"/>
            <w:noProof/>
          </w:rPr>
          <w:t xml:space="preserve">Figure 11. </w:t>
        </w:r>
        <w:r w:rsidR="003329C5" w:rsidRPr="00640723">
          <w:rPr>
            <w:rStyle w:val="Hyperlink"/>
            <w:rFonts w:eastAsia="+mn-ea"/>
            <w:noProof/>
            <w:kern w:val="24"/>
          </w:rPr>
          <w:t>Ethylformate hydrolysis rate constant study conducted at 52</w:t>
        </w:r>
        <w:r w:rsidR="003329C5" w:rsidRPr="00640723">
          <w:rPr>
            <w:rStyle w:val="Hyperlink"/>
            <w:rFonts w:eastAsia="+mn-ea" w:cstheme="minorHAnsi"/>
            <w:noProof/>
            <w:kern w:val="24"/>
          </w:rPr>
          <w:t>°</w:t>
        </w:r>
        <w:r w:rsidR="003329C5" w:rsidRPr="00640723">
          <w:rPr>
            <w:rStyle w:val="Hyperlink"/>
            <w:rFonts w:eastAsia="+mn-ea"/>
            <w:noProof/>
            <w:kern w:val="24"/>
          </w:rPr>
          <w:t>C</w:t>
        </w:r>
        <w:r w:rsidR="003329C5">
          <w:rPr>
            <w:noProof/>
            <w:webHidden/>
          </w:rPr>
          <w:tab/>
        </w:r>
        <w:r w:rsidR="003329C5">
          <w:rPr>
            <w:noProof/>
            <w:webHidden/>
          </w:rPr>
          <w:fldChar w:fldCharType="begin"/>
        </w:r>
        <w:r w:rsidR="003329C5">
          <w:rPr>
            <w:noProof/>
            <w:webHidden/>
          </w:rPr>
          <w:instrText xml:space="preserve"> PAGEREF _Toc426967303 \h </w:instrText>
        </w:r>
        <w:r w:rsidR="003329C5">
          <w:rPr>
            <w:noProof/>
            <w:webHidden/>
          </w:rPr>
        </w:r>
        <w:r w:rsidR="003329C5">
          <w:rPr>
            <w:noProof/>
            <w:webHidden/>
          </w:rPr>
          <w:fldChar w:fldCharType="separate"/>
        </w:r>
        <w:r w:rsidR="003F7947">
          <w:rPr>
            <w:noProof/>
            <w:webHidden/>
          </w:rPr>
          <w:t>46</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26" w:anchor="_Toc426967304" w:history="1">
        <w:r w:rsidR="003329C5" w:rsidRPr="00640723">
          <w:rPr>
            <w:rStyle w:val="Hyperlink"/>
            <w:noProof/>
          </w:rPr>
          <w:t>Figure 12. Pre Surfactant SWCTT tracer concentration profile; single layer fitting. Software: CMG-STARS</w:t>
        </w:r>
        <w:r w:rsidR="003329C5">
          <w:rPr>
            <w:noProof/>
            <w:webHidden/>
          </w:rPr>
          <w:tab/>
        </w:r>
        <w:r w:rsidR="003329C5">
          <w:rPr>
            <w:noProof/>
            <w:webHidden/>
          </w:rPr>
          <w:fldChar w:fldCharType="begin"/>
        </w:r>
        <w:r w:rsidR="003329C5">
          <w:rPr>
            <w:noProof/>
            <w:webHidden/>
          </w:rPr>
          <w:instrText xml:space="preserve"> PAGEREF _Toc426967304 \h </w:instrText>
        </w:r>
        <w:r w:rsidR="003329C5">
          <w:rPr>
            <w:noProof/>
            <w:webHidden/>
          </w:rPr>
        </w:r>
        <w:r w:rsidR="003329C5">
          <w:rPr>
            <w:noProof/>
            <w:webHidden/>
          </w:rPr>
          <w:fldChar w:fldCharType="separate"/>
        </w:r>
        <w:r w:rsidR="003F7947">
          <w:rPr>
            <w:noProof/>
            <w:webHidden/>
          </w:rPr>
          <w:t>47</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w:anchor="_Toc426967305" w:history="1">
        <w:r w:rsidR="003329C5" w:rsidRPr="00640723">
          <w:rPr>
            <w:rStyle w:val="Hyperlink"/>
            <w:noProof/>
          </w:rPr>
          <w:t>Figure 13. Post Surfactant SWCTT tracer concentration profile; single layer fitting. Software: CMG-STARS</w:t>
        </w:r>
        <w:r w:rsidR="003329C5">
          <w:rPr>
            <w:noProof/>
            <w:webHidden/>
          </w:rPr>
          <w:tab/>
        </w:r>
        <w:r w:rsidR="003329C5">
          <w:rPr>
            <w:noProof/>
            <w:webHidden/>
          </w:rPr>
          <w:fldChar w:fldCharType="begin"/>
        </w:r>
        <w:r w:rsidR="003329C5">
          <w:rPr>
            <w:noProof/>
            <w:webHidden/>
          </w:rPr>
          <w:instrText xml:space="preserve"> PAGEREF _Toc426967305 \h </w:instrText>
        </w:r>
        <w:r w:rsidR="003329C5">
          <w:rPr>
            <w:noProof/>
            <w:webHidden/>
          </w:rPr>
        </w:r>
        <w:r w:rsidR="003329C5">
          <w:rPr>
            <w:noProof/>
            <w:webHidden/>
          </w:rPr>
          <w:fldChar w:fldCharType="separate"/>
        </w:r>
        <w:r w:rsidR="003F7947">
          <w:rPr>
            <w:noProof/>
            <w:webHidden/>
          </w:rPr>
          <w:t>48</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27" w:anchor="_Toc426967306" w:history="1">
        <w:r w:rsidR="003329C5" w:rsidRPr="00640723">
          <w:rPr>
            <w:rStyle w:val="Hyperlink"/>
            <w:noProof/>
          </w:rPr>
          <w:t>Figure 14. Surfactant Adsorption Isotherm</w:t>
        </w:r>
        <w:r w:rsidR="003329C5">
          <w:rPr>
            <w:noProof/>
            <w:webHidden/>
          </w:rPr>
          <w:tab/>
        </w:r>
        <w:r w:rsidR="003329C5">
          <w:rPr>
            <w:noProof/>
            <w:webHidden/>
          </w:rPr>
          <w:fldChar w:fldCharType="begin"/>
        </w:r>
        <w:r w:rsidR="003329C5">
          <w:rPr>
            <w:noProof/>
            <w:webHidden/>
          </w:rPr>
          <w:instrText xml:space="preserve"> PAGEREF _Toc426967306 \h </w:instrText>
        </w:r>
        <w:r w:rsidR="003329C5">
          <w:rPr>
            <w:noProof/>
            <w:webHidden/>
          </w:rPr>
        </w:r>
        <w:r w:rsidR="003329C5">
          <w:rPr>
            <w:noProof/>
            <w:webHidden/>
          </w:rPr>
          <w:fldChar w:fldCharType="separate"/>
        </w:r>
        <w:r w:rsidR="003F7947">
          <w:rPr>
            <w:noProof/>
            <w:webHidden/>
          </w:rPr>
          <w:t>51</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28" w:anchor="_Toc426967307" w:history="1">
        <w:r w:rsidR="003329C5" w:rsidRPr="00640723">
          <w:rPr>
            <w:rStyle w:val="Hyperlink"/>
            <w:rFonts w:ascii="Times New Roman" w:hAnsi="Times New Roman"/>
            <w:noProof/>
          </w:rPr>
          <w:t>Figure 15. Equilibrium surfactant adsorption without polyelectrolyte in two different salinity environment</w:t>
        </w:r>
        <w:r w:rsidR="003329C5">
          <w:rPr>
            <w:noProof/>
            <w:webHidden/>
          </w:rPr>
          <w:tab/>
        </w:r>
        <w:r w:rsidR="003329C5">
          <w:rPr>
            <w:noProof/>
            <w:webHidden/>
          </w:rPr>
          <w:fldChar w:fldCharType="begin"/>
        </w:r>
        <w:r w:rsidR="003329C5">
          <w:rPr>
            <w:noProof/>
            <w:webHidden/>
          </w:rPr>
          <w:instrText xml:space="preserve"> PAGEREF _Toc426967307 \h </w:instrText>
        </w:r>
        <w:r w:rsidR="003329C5">
          <w:rPr>
            <w:noProof/>
            <w:webHidden/>
          </w:rPr>
        </w:r>
        <w:r w:rsidR="003329C5">
          <w:rPr>
            <w:noProof/>
            <w:webHidden/>
          </w:rPr>
          <w:fldChar w:fldCharType="separate"/>
        </w:r>
        <w:r w:rsidR="003F7947">
          <w:rPr>
            <w:noProof/>
            <w:webHidden/>
          </w:rPr>
          <w:t>58</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29" w:anchor="_Toc426967308" w:history="1">
        <w:r w:rsidR="003329C5" w:rsidRPr="00640723">
          <w:rPr>
            <w:rStyle w:val="Hyperlink"/>
            <w:rFonts w:ascii="Times New Roman" w:hAnsi="Times New Roman"/>
            <w:noProof/>
          </w:rPr>
          <w:t>Figure 16. Equilibrium PSS adsorption without surfactant on Brea Sandstone at reservoir brine</w:t>
        </w:r>
        <w:r w:rsidR="003329C5">
          <w:rPr>
            <w:noProof/>
            <w:webHidden/>
          </w:rPr>
          <w:tab/>
        </w:r>
        <w:r w:rsidR="003329C5">
          <w:rPr>
            <w:noProof/>
            <w:webHidden/>
          </w:rPr>
          <w:fldChar w:fldCharType="begin"/>
        </w:r>
        <w:r w:rsidR="003329C5">
          <w:rPr>
            <w:noProof/>
            <w:webHidden/>
          </w:rPr>
          <w:instrText xml:space="preserve"> PAGEREF _Toc426967308 \h </w:instrText>
        </w:r>
        <w:r w:rsidR="003329C5">
          <w:rPr>
            <w:noProof/>
            <w:webHidden/>
          </w:rPr>
        </w:r>
        <w:r w:rsidR="003329C5">
          <w:rPr>
            <w:noProof/>
            <w:webHidden/>
          </w:rPr>
          <w:fldChar w:fldCharType="separate"/>
        </w:r>
        <w:r w:rsidR="003F7947">
          <w:rPr>
            <w:noProof/>
            <w:webHidden/>
          </w:rPr>
          <w:t>59</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30" w:anchor="_Toc426967309" w:history="1">
        <w:r w:rsidR="003329C5" w:rsidRPr="00640723">
          <w:rPr>
            <w:rStyle w:val="Hyperlink"/>
            <w:rFonts w:ascii="Times New Roman" w:hAnsi="Times New Roman"/>
            <w:noProof/>
          </w:rPr>
          <w:t>Figure 17. Effect of polyelectrolyte on equilibrium adsorption of surfactant on Brea Sandstone at reservoir brine.</w:t>
        </w:r>
        <w:r w:rsidR="003329C5">
          <w:rPr>
            <w:noProof/>
            <w:webHidden/>
          </w:rPr>
          <w:tab/>
        </w:r>
        <w:r w:rsidR="003329C5">
          <w:rPr>
            <w:noProof/>
            <w:webHidden/>
          </w:rPr>
          <w:fldChar w:fldCharType="begin"/>
        </w:r>
        <w:r w:rsidR="003329C5">
          <w:rPr>
            <w:noProof/>
            <w:webHidden/>
          </w:rPr>
          <w:instrText xml:space="preserve"> PAGEREF _Toc426967309 \h </w:instrText>
        </w:r>
        <w:r w:rsidR="003329C5">
          <w:rPr>
            <w:noProof/>
            <w:webHidden/>
          </w:rPr>
        </w:r>
        <w:r w:rsidR="003329C5">
          <w:rPr>
            <w:noProof/>
            <w:webHidden/>
          </w:rPr>
          <w:fldChar w:fldCharType="separate"/>
        </w:r>
        <w:r w:rsidR="003F7947">
          <w:rPr>
            <w:noProof/>
            <w:webHidden/>
          </w:rPr>
          <w:t>60</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31" w:anchor="_Toc426967310" w:history="1">
        <w:r w:rsidR="003329C5" w:rsidRPr="00640723">
          <w:rPr>
            <w:rStyle w:val="Hyperlink"/>
            <w:rFonts w:ascii="Times New Roman" w:hAnsi="Times New Roman"/>
            <w:noProof/>
          </w:rPr>
          <w:t>Figure 18. Effect of surfactant/PSS addition techniques on equilibrium adsorption of surfactant on Brea Sandstone in reservoir brine. PSS concentration is 0.4 wt. % and is based on the amount of sand.</w:t>
        </w:r>
        <w:r w:rsidR="003329C5">
          <w:rPr>
            <w:noProof/>
            <w:webHidden/>
          </w:rPr>
          <w:tab/>
        </w:r>
        <w:r w:rsidR="003329C5">
          <w:rPr>
            <w:noProof/>
            <w:webHidden/>
          </w:rPr>
          <w:fldChar w:fldCharType="begin"/>
        </w:r>
        <w:r w:rsidR="003329C5">
          <w:rPr>
            <w:noProof/>
            <w:webHidden/>
          </w:rPr>
          <w:instrText xml:space="preserve"> PAGEREF _Toc426967310 \h </w:instrText>
        </w:r>
        <w:r w:rsidR="003329C5">
          <w:rPr>
            <w:noProof/>
            <w:webHidden/>
          </w:rPr>
        </w:r>
        <w:r w:rsidR="003329C5">
          <w:rPr>
            <w:noProof/>
            <w:webHidden/>
          </w:rPr>
          <w:fldChar w:fldCharType="separate"/>
        </w:r>
        <w:r w:rsidR="003F7947">
          <w:rPr>
            <w:noProof/>
            <w:webHidden/>
          </w:rPr>
          <w:t>62</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32" w:anchor="_Toc426967311" w:history="1">
        <w:r w:rsidR="003329C5" w:rsidRPr="00640723">
          <w:rPr>
            <w:rStyle w:val="Hyperlink"/>
            <w:noProof/>
          </w:rPr>
          <w:t>Figure 19. Dynamic surfactant adsorption in Brea sandstone packed bed at reservoir brine</w:t>
        </w:r>
        <w:r w:rsidR="003329C5">
          <w:rPr>
            <w:noProof/>
            <w:webHidden/>
          </w:rPr>
          <w:tab/>
        </w:r>
        <w:r w:rsidR="003329C5">
          <w:rPr>
            <w:noProof/>
            <w:webHidden/>
          </w:rPr>
          <w:fldChar w:fldCharType="begin"/>
        </w:r>
        <w:r w:rsidR="003329C5">
          <w:rPr>
            <w:noProof/>
            <w:webHidden/>
          </w:rPr>
          <w:instrText xml:space="preserve"> PAGEREF _Toc426967311 \h </w:instrText>
        </w:r>
        <w:r w:rsidR="003329C5">
          <w:rPr>
            <w:noProof/>
            <w:webHidden/>
          </w:rPr>
        </w:r>
        <w:r w:rsidR="003329C5">
          <w:rPr>
            <w:noProof/>
            <w:webHidden/>
          </w:rPr>
          <w:fldChar w:fldCharType="separate"/>
        </w:r>
        <w:r w:rsidR="003F7947">
          <w:rPr>
            <w:noProof/>
            <w:webHidden/>
          </w:rPr>
          <w:t>63</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33" w:anchor="_Toc426967312" w:history="1">
        <w:r w:rsidR="003329C5" w:rsidRPr="00640723">
          <w:rPr>
            <w:rStyle w:val="Hyperlink"/>
            <w:noProof/>
          </w:rPr>
          <w:t>Figure 20. Dynamic surfactant adsorption in Ottawa sand packed bed at reservoir brine</w:t>
        </w:r>
        <w:r w:rsidR="003329C5">
          <w:rPr>
            <w:noProof/>
            <w:webHidden/>
          </w:rPr>
          <w:tab/>
        </w:r>
        <w:r w:rsidR="003329C5">
          <w:rPr>
            <w:noProof/>
            <w:webHidden/>
          </w:rPr>
          <w:fldChar w:fldCharType="begin"/>
        </w:r>
        <w:r w:rsidR="003329C5">
          <w:rPr>
            <w:noProof/>
            <w:webHidden/>
          </w:rPr>
          <w:instrText xml:space="preserve"> PAGEREF _Toc426967312 \h </w:instrText>
        </w:r>
        <w:r w:rsidR="003329C5">
          <w:rPr>
            <w:noProof/>
            <w:webHidden/>
          </w:rPr>
        </w:r>
        <w:r w:rsidR="003329C5">
          <w:rPr>
            <w:noProof/>
            <w:webHidden/>
          </w:rPr>
          <w:fldChar w:fldCharType="separate"/>
        </w:r>
        <w:r w:rsidR="003F7947">
          <w:rPr>
            <w:noProof/>
            <w:webHidden/>
          </w:rPr>
          <w:t>64</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34" w:anchor="_Toc426967313" w:history="1">
        <w:r w:rsidR="003329C5" w:rsidRPr="00640723">
          <w:rPr>
            <w:rStyle w:val="Hyperlink"/>
            <w:noProof/>
          </w:rPr>
          <w:t>Figure 21. Effect of 70 KDa PSS on dynamic surfactant adsorption in Brea sandstone packed bed at reservoir brine. PSS and surfactant were injected sequentially</w:t>
        </w:r>
        <w:r w:rsidR="003329C5">
          <w:rPr>
            <w:noProof/>
            <w:webHidden/>
          </w:rPr>
          <w:tab/>
        </w:r>
        <w:r w:rsidR="003329C5">
          <w:rPr>
            <w:noProof/>
            <w:webHidden/>
          </w:rPr>
          <w:fldChar w:fldCharType="begin"/>
        </w:r>
        <w:r w:rsidR="003329C5">
          <w:rPr>
            <w:noProof/>
            <w:webHidden/>
          </w:rPr>
          <w:instrText xml:space="preserve"> PAGEREF _Toc426967313 \h </w:instrText>
        </w:r>
        <w:r w:rsidR="003329C5">
          <w:rPr>
            <w:noProof/>
            <w:webHidden/>
          </w:rPr>
        </w:r>
        <w:r w:rsidR="003329C5">
          <w:rPr>
            <w:noProof/>
            <w:webHidden/>
          </w:rPr>
          <w:fldChar w:fldCharType="separate"/>
        </w:r>
        <w:r w:rsidR="003F7947">
          <w:rPr>
            <w:noProof/>
            <w:webHidden/>
          </w:rPr>
          <w:t>66</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35" w:anchor="_Toc426967314" w:history="1">
        <w:r w:rsidR="003329C5" w:rsidRPr="00640723">
          <w:rPr>
            <w:rStyle w:val="Hyperlink"/>
            <w:noProof/>
          </w:rPr>
          <w:t>Figure 22. Effect of PSS/surfactant addition techniques on dynamic adsorption of surfactant and 70 KDa PSS in Brea sandstone packed bed at reservoir temperature</w:t>
        </w:r>
        <w:r w:rsidR="003329C5">
          <w:rPr>
            <w:noProof/>
            <w:webHidden/>
          </w:rPr>
          <w:tab/>
        </w:r>
        <w:r w:rsidR="003329C5">
          <w:rPr>
            <w:noProof/>
            <w:webHidden/>
          </w:rPr>
          <w:fldChar w:fldCharType="begin"/>
        </w:r>
        <w:r w:rsidR="003329C5">
          <w:rPr>
            <w:noProof/>
            <w:webHidden/>
          </w:rPr>
          <w:instrText xml:space="preserve"> PAGEREF _Toc426967314 \h </w:instrText>
        </w:r>
        <w:r w:rsidR="003329C5">
          <w:rPr>
            <w:noProof/>
            <w:webHidden/>
          </w:rPr>
        </w:r>
        <w:r w:rsidR="003329C5">
          <w:rPr>
            <w:noProof/>
            <w:webHidden/>
          </w:rPr>
          <w:fldChar w:fldCharType="separate"/>
        </w:r>
        <w:r w:rsidR="003F7947">
          <w:rPr>
            <w:noProof/>
            <w:webHidden/>
          </w:rPr>
          <w:t>67</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36" w:anchor="_Toc426967315" w:history="1">
        <w:r w:rsidR="003329C5" w:rsidRPr="00640723">
          <w:rPr>
            <w:rStyle w:val="Hyperlink"/>
            <w:noProof/>
          </w:rPr>
          <w:t>Figure 23. Sand pack studies conducted in (A) Ottawa sand and (B) Brea sandstone packed beds at the reservoir conditions (52° C) without polyelectrolyte. Surfactant injection protocol: 1 PV, 0.75 wt. %</w:t>
        </w:r>
        <w:r w:rsidR="003329C5">
          <w:rPr>
            <w:noProof/>
            <w:webHidden/>
          </w:rPr>
          <w:tab/>
        </w:r>
        <w:r w:rsidR="003329C5">
          <w:rPr>
            <w:noProof/>
            <w:webHidden/>
          </w:rPr>
          <w:fldChar w:fldCharType="begin"/>
        </w:r>
        <w:r w:rsidR="003329C5">
          <w:rPr>
            <w:noProof/>
            <w:webHidden/>
          </w:rPr>
          <w:instrText xml:space="preserve"> PAGEREF _Toc426967315 \h </w:instrText>
        </w:r>
        <w:r w:rsidR="003329C5">
          <w:rPr>
            <w:noProof/>
            <w:webHidden/>
          </w:rPr>
        </w:r>
        <w:r w:rsidR="003329C5">
          <w:rPr>
            <w:noProof/>
            <w:webHidden/>
          </w:rPr>
          <w:fldChar w:fldCharType="separate"/>
        </w:r>
        <w:r w:rsidR="003F7947">
          <w:rPr>
            <w:noProof/>
            <w:webHidden/>
          </w:rPr>
          <w:t>68</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37" w:anchor="_Toc426967316" w:history="1">
        <w:r w:rsidR="003329C5" w:rsidRPr="00640723">
          <w:rPr>
            <w:rStyle w:val="Hyperlink"/>
            <w:rFonts w:ascii="Times New Roman" w:hAnsi="Times New Roman"/>
            <w:noProof/>
          </w:rPr>
          <w:t>Figure 24. Sand pack studies in the presence of PSSs (1 PV, 0.4 wt. %) and Surfactant (1 PV, 0.75 wt. %) in Brea sandstone packed beds. Studies performed with reservoir brine at reservoir temperature of 52° C</w:t>
        </w:r>
        <w:r w:rsidR="003329C5">
          <w:rPr>
            <w:noProof/>
            <w:webHidden/>
          </w:rPr>
          <w:tab/>
        </w:r>
        <w:r w:rsidR="003329C5">
          <w:rPr>
            <w:noProof/>
            <w:webHidden/>
          </w:rPr>
          <w:fldChar w:fldCharType="begin"/>
        </w:r>
        <w:r w:rsidR="003329C5">
          <w:rPr>
            <w:noProof/>
            <w:webHidden/>
          </w:rPr>
          <w:instrText xml:space="preserve"> PAGEREF _Toc426967316 \h </w:instrText>
        </w:r>
        <w:r w:rsidR="003329C5">
          <w:rPr>
            <w:noProof/>
            <w:webHidden/>
          </w:rPr>
        </w:r>
        <w:r w:rsidR="003329C5">
          <w:rPr>
            <w:noProof/>
            <w:webHidden/>
          </w:rPr>
          <w:fldChar w:fldCharType="separate"/>
        </w:r>
        <w:r w:rsidR="003F7947">
          <w:rPr>
            <w:noProof/>
            <w:webHidden/>
          </w:rPr>
          <w:t>69</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38" w:anchor="_Toc426967317" w:history="1">
        <w:r w:rsidR="003329C5" w:rsidRPr="00640723">
          <w:rPr>
            <w:rStyle w:val="Hyperlink"/>
            <w:noProof/>
          </w:rPr>
          <w:t>Figure 25. Effect of 70 KDa PSS (1 PV, 0.4 wt. %) on oil mobilization in Brea sandstone packed bed at reservoir condition (52° C). Surfactant injection protocol: 1 PV, 0.75 wt. %</w:t>
        </w:r>
        <w:r w:rsidR="003329C5">
          <w:rPr>
            <w:noProof/>
            <w:webHidden/>
          </w:rPr>
          <w:tab/>
        </w:r>
        <w:r w:rsidR="003329C5">
          <w:rPr>
            <w:noProof/>
            <w:webHidden/>
          </w:rPr>
          <w:fldChar w:fldCharType="begin"/>
        </w:r>
        <w:r w:rsidR="003329C5">
          <w:rPr>
            <w:noProof/>
            <w:webHidden/>
          </w:rPr>
          <w:instrText xml:space="preserve"> PAGEREF _Toc426967317 \h </w:instrText>
        </w:r>
        <w:r w:rsidR="003329C5">
          <w:rPr>
            <w:noProof/>
            <w:webHidden/>
          </w:rPr>
        </w:r>
        <w:r w:rsidR="003329C5">
          <w:rPr>
            <w:noProof/>
            <w:webHidden/>
          </w:rPr>
          <w:fldChar w:fldCharType="separate"/>
        </w:r>
        <w:r w:rsidR="003F7947">
          <w:rPr>
            <w:noProof/>
            <w:webHidden/>
          </w:rPr>
          <w:t>70</w:t>
        </w:r>
        <w:r w:rsidR="003329C5">
          <w:rPr>
            <w:noProof/>
            <w:webHidden/>
          </w:rPr>
          <w:fldChar w:fldCharType="end"/>
        </w:r>
      </w:hyperlink>
    </w:p>
    <w:p w:rsidR="003329C5" w:rsidRDefault="001C58A2">
      <w:pPr>
        <w:pStyle w:val="TableofFigures"/>
        <w:tabs>
          <w:tab w:val="right" w:leader="dot" w:pos="8486"/>
        </w:tabs>
        <w:rPr>
          <w:rFonts w:eastAsiaTheme="minorEastAsia" w:cstheme="minorBidi"/>
          <w:noProof/>
          <w:sz w:val="22"/>
          <w:szCs w:val="22"/>
        </w:rPr>
      </w:pPr>
      <w:hyperlink r:id="rId39" w:anchor="_Toc426967318" w:history="1">
        <w:r w:rsidR="003329C5" w:rsidRPr="00640723">
          <w:rPr>
            <w:rStyle w:val="Hyperlink"/>
            <w:noProof/>
          </w:rPr>
          <w:t>Figure 26. Effect of PSS (70 KDa) concentration on oil recovery from Brea sandstone packed beds at reservoir condition (52° C). Surfactant injection protocol: 1 PV, 0.75 wt. %</w:t>
        </w:r>
        <w:r w:rsidR="003329C5">
          <w:rPr>
            <w:noProof/>
            <w:webHidden/>
          </w:rPr>
          <w:tab/>
        </w:r>
        <w:r w:rsidR="003329C5">
          <w:rPr>
            <w:noProof/>
            <w:webHidden/>
          </w:rPr>
          <w:fldChar w:fldCharType="begin"/>
        </w:r>
        <w:r w:rsidR="003329C5">
          <w:rPr>
            <w:noProof/>
            <w:webHidden/>
          </w:rPr>
          <w:instrText xml:space="preserve"> PAGEREF _Toc426967318 \h </w:instrText>
        </w:r>
        <w:r w:rsidR="003329C5">
          <w:rPr>
            <w:noProof/>
            <w:webHidden/>
          </w:rPr>
        </w:r>
        <w:r w:rsidR="003329C5">
          <w:rPr>
            <w:noProof/>
            <w:webHidden/>
          </w:rPr>
          <w:fldChar w:fldCharType="separate"/>
        </w:r>
        <w:r w:rsidR="003F7947">
          <w:rPr>
            <w:noProof/>
            <w:webHidden/>
          </w:rPr>
          <w:t>71</w:t>
        </w:r>
        <w:r w:rsidR="003329C5">
          <w:rPr>
            <w:noProof/>
            <w:webHidden/>
          </w:rPr>
          <w:fldChar w:fldCharType="end"/>
        </w:r>
      </w:hyperlink>
    </w:p>
    <w:p w:rsidR="00DA1971" w:rsidRDefault="00F7122D" w:rsidP="004511BE">
      <w:pPr>
        <w:pStyle w:val="Heading1"/>
      </w:pPr>
      <w:r>
        <w:fldChar w:fldCharType="end"/>
      </w:r>
      <w:r w:rsidR="00DA1971">
        <w:br w:type="page"/>
      </w:r>
      <w:bookmarkStart w:id="6" w:name="_Toc310579467"/>
      <w:bookmarkStart w:id="7" w:name="_Toc426374005"/>
      <w:r w:rsidR="00DA1971">
        <w:lastRenderedPageBreak/>
        <w:t>Abstract</w:t>
      </w:r>
      <w:bookmarkEnd w:id="6"/>
      <w:bookmarkEnd w:id="7"/>
    </w:p>
    <w:p w:rsidR="00F85A47" w:rsidRPr="00F85A47" w:rsidRDefault="00F85A47" w:rsidP="00F85A47">
      <w:pPr>
        <w:jc w:val="both"/>
      </w:pPr>
      <w:r w:rsidRPr="00F85A47">
        <w:t xml:space="preserve">Developing </w:t>
      </w:r>
      <w:r w:rsidR="008B3FF6">
        <w:t xml:space="preserve">a </w:t>
      </w:r>
      <w:r w:rsidRPr="00F85A47">
        <w:t>surfactant formulation for reservoir having high salinity/total dissolved solids (TDS) brine is a challenging task because surfactant not only phase separate or precipitate but also show high adsorption on reservoir rocks under such condition. These issues pose major threat on technological and economic viability of surfactant based chemical enhance</w:t>
      </w:r>
      <w:r w:rsidR="00E96C8E">
        <w:t>d oil recovery (cEOR) technique</w:t>
      </w:r>
      <w:r w:rsidRPr="00F85A47">
        <w:t xml:space="preserve">. Therefore, this study attempts to overcome such challenges by investigating the feasibility of an alcohol free binary mixtures of sodium alkyl alkoxy sulfate surfactants and a sodium alkyl ethoxy sulfate surfactant for reservoir brine having a TDS of 301,710 mg/l with total hardness of 12,973 mg/l. The optimized surfactant formulations show excellent aqueous phase stability, produce an ultra-low-interfacial tension (IFT) of 0.004 mN/m, and give fast coalescence rates of less than 30 minutes at reservoir conditions. </w:t>
      </w:r>
      <w:r w:rsidR="008B3FF6">
        <w:t>A</w:t>
      </w:r>
      <w:r w:rsidRPr="00F85A47">
        <w:t xml:space="preserve">ccuracy of </w:t>
      </w:r>
      <w:r w:rsidR="008B3FF6">
        <w:t xml:space="preserve">the </w:t>
      </w:r>
      <w:r w:rsidRPr="00F85A47">
        <w:t>hydrophilic lipophilic deviation (HLD) method in predicting the ratio between t</w:t>
      </w:r>
      <w:r w:rsidR="00D966A2">
        <w:t>wo surfactants to give optimal T</w:t>
      </w:r>
      <w:r w:rsidRPr="00F85A47">
        <w:t>ype III microemulsion is also studied. Results show that correct determination of surfactant’s head constant, K, and temperature constant, α</w:t>
      </w:r>
      <w:r w:rsidRPr="00E52BA8">
        <w:rPr>
          <w:vertAlign w:val="subscript"/>
        </w:rPr>
        <w:t>T</w:t>
      </w:r>
      <w:r w:rsidRPr="00F85A47">
        <w:t xml:space="preserve">, determines the accuracy of </w:t>
      </w:r>
      <w:r w:rsidR="00420B2E">
        <w:t xml:space="preserve">the </w:t>
      </w:r>
      <w:r w:rsidRPr="00F85A47">
        <w:t xml:space="preserve">HLD method. </w:t>
      </w:r>
    </w:p>
    <w:p w:rsidR="00F85A47" w:rsidRPr="00F85A47" w:rsidRDefault="00F85A47" w:rsidP="00F85A47">
      <w:pPr>
        <w:jc w:val="both"/>
      </w:pPr>
      <w:r w:rsidRPr="00F85A47">
        <w:t xml:space="preserve">This </w:t>
      </w:r>
      <w:r w:rsidR="008B3FF6">
        <w:t>study</w:t>
      </w:r>
      <w:r w:rsidRPr="00F85A47">
        <w:t xml:space="preserve"> also demonstrates the field feasibility of the proposed surfactant formulation. Sand pack studies are performed in laboratory in order to optimize surfactant-only slug for field test. Single well tracer tests (SWTT</w:t>
      </w:r>
      <w:r w:rsidR="00B27394">
        <w:t>s</w:t>
      </w:r>
      <w:r w:rsidRPr="00F85A47">
        <w:t xml:space="preserve">) are conducted before and after surfactant injection to assess the oil mobilization efficiency of laboratory optimized formulation at the field. Numerical simulation method is further applied to interpret field data. The results show approximately </w:t>
      </w:r>
      <w:r>
        <w:t>73</w:t>
      </w:r>
      <w:r w:rsidRPr="00F85A47">
        <w:t>% reduction of residual oil saturation (S</w:t>
      </w:r>
      <w:r w:rsidRPr="00E52BA8">
        <w:rPr>
          <w:vertAlign w:val="subscript"/>
        </w:rPr>
        <w:t>or</w:t>
      </w:r>
      <w:r w:rsidRPr="00F85A47">
        <w:t>) demonstrating the efficacy of lab optimized surfactant-only flood system in ultra-high TDS reservoir.</w:t>
      </w:r>
    </w:p>
    <w:p w:rsidR="00F85A47" w:rsidRDefault="00F85A47" w:rsidP="00F85A47">
      <w:pPr>
        <w:jc w:val="both"/>
      </w:pPr>
      <w:r w:rsidRPr="00F85A47">
        <w:lastRenderedPageBreak/>
        <w:t>Furthermore, this work investigates the efficacy of polyelectrolyte, polystyrene sulfonate (PSS), as a sacrificial agent for lowering surfactant adsorption at reservoir conditions. Four different molecular weight PSSs are evaluated through equilibrium and dynamic adsorption studies carried out on Brea sandstone an</w:t>
      </w:r>
      <w:r w:rsidR="00E96C8E">
        <w:t>d Ottawa sand. Results show</w:t>
      </w:r>
      <w:r w:rsidRPr="00F85A47">
        <w:t xml:space="preserve"> significant reduction in surfactant</w:t>
      </w:r>
      <w:r w:rsidR="00B27394">
        <w:t xml:space="preserve"> adsorption after PSSs addition</w:t>
      </w:r>
      <w:r>
        <w:t xml:space="preserve">. </w:t>
      </w:r>
      <w:r w:rsidRPr="00F85A47">
        <w:t xml:space="preserve">Moreover, the sand pack studies are conducted to </w:t>
      </w:r>
      <w:r>
        <w:t>evaluate the effect of PSS minimized surfactant adsorption on oil</w:t>
      </w:r>
      <w:r w:rsidRPr="00F85A47">
        <w:t xml:space="preserve"> mobilization/recovery. Results indicate </w:t>
      </w:r>
      <w:r w:rsidR="00B27394">
        <w:t>improved</w:t>
      </w:r>
      <w:r w:rsidRPr="00F85A47">
        <w:t xml:space="preserve"> oil recovery in the presence of PSS suggesting its potential future as sacrificial agent in cEOR.</w:t>
      </w:r>
    </w:p>
    <w:p w:rsidR="00B92688" w:rsidRDefault="00F85A47" w:rsidP="00B92688">
      <w:pPr>
        <w:jc w:val="both"/>
      </w:pPr>
      <w:r w:rsidRPr="00F85A47">
        <w:rPr>
          <w:b/>
        </w:rPr>
        <w:t>Keywords</w:t>
      </w:r>
      <w:r w:rsidRPr="00F85A47">
        <w:t xml:space="preserve"> </w:t>
      </w:r>
      <w:r w:rsidRPr="00F85A47">
        <w:rPr>
          <w:b/>
        </w:rPr>
        <w:t>–</w:t>
      </w:r>
      <w:r w:rsidRPr="00F85A47">
        <w:t xml:space="preserve"> Chemical enhanced oil recovery, Microemulsions, High total dissolved solids, Extended surfactants, Surfactant precipitation, Coalescence rate, Interfacial tension, Hydrophilic lipophilic deviation concept, Characteristic curvature, Sing</w:t>
      </w:r>
      <w:r>
        <w:t xml:space="preserve">le well tracer test, </w:t>
      </w:r>
      <w:r w:rsidR="008B3FF6">
        <w:t xml:space="preserve">Equilibrium surfactant adsorption, Dynamic surfactant adsorption, </w:t>
      </w:r>
      <w:r w:rsidRPr="00F85A47">
        <w:t>Sacrificial agents, P</w:t>
      </w:r>
      <w:r>
        <w:t>olystyrene sulfo</w:t>
      </w:r>
      <w:r w:rsidR="00B92688">
        <w:t>nates</w:t>
      </w:r>
      <w:r w:rsidR="008B3FF6">
        <w:t>, Sand pack study</w:t>
      </w:r>
      <w:r w:rsidR="00B92688">
        <w:br w:type="page"/>
      </w:r>
    </w:p>
    <w:p w:rsidR="00F85A47" w:rsidRPr="00F85A47" w:rsidRDefault="00F85A47" w:rsidP="00B92688">
      <w:pPr>
        <w:jc w:val="both"/>
        <w:sectPr w:rsidR="00F85A47" w:rsidRPr="00F85A47" w:rsidSect="00546E38">
          <w:pgSz w:w="12240" w:h="15840" w:code="1"/>
          <w:pgMar w:top="1440" w:right="1440" w:bottom="1440" w:left="2304" w:header="720" w:footer="720" w:gutter="0"/>
          <w:pgNumType w:fmt="lowerRoman"/>
          <w:cols w:space="720"/>
          <w:docGrid w:linePitch="360"/>
        </w:sectPr>
      </w:pPr>
    </w:p>
    <w:p w:rsidR="00DA1971" w:rsidRPr="000F56FF" w:rsidRDefault="0052566C" w:rsidP="004511BE">
      <w:pPr>
        <w:pStyle w:val="Heading1"/>
      </w:pPr>
      <w:bookmarkStart w:id="8" w:name="_Toc310579468"/>
      <w:bookmarkStart w:id="9" w:name="_Toc426374006"/>
      <w:r>
        <w:lastRenderedPageBreak/>
        <w:t>CHAPTER</w:t>
      </w:r>
      <w:r w:rsidR="00DA1971" w:rsidRPr="000F56FF">
        <w:t xml:space="preserve"> </w:t>
      </w:r>
      <w:r w:rsidR="00111915" w:rsidRPr="000F56FF">
        <w:t>1</w:t>
      </w:r>
      <w:r w:rsidR="009245C5" w:rsidRPr="000F56FF">
        <w:t xml:space="preserve">: </w:t>
      </w:r>
      <w:r w:rsidR="00DA1971" w:rsidRPr="000F56FF">
        <w:t>I</w:t>
      </w:r>
      <w:bookmarkEnd w:id="8"/>
      <w:r w:rsidR="009B0C46">
        <w:t>ntroduction</w:t>
      </w:r>
      <w:bookmarkEnd w:id="9"/>
    </w:p>
    <w:p w:rsidR="009542F5" w:rsidRPr="009542F5" w:rsidRDefault="009542F5" w:rsidP="009542F5">
      <w:pPr>
        <w:ind w:firstLine="720"/>
        <w:jc w:val="both"/>
      </w:pPr>
      <w:r w:rsidRPr="009542F5">
        <w:t>During oil production from a reservoir, the primary method, using natural pressure of the reservoir, and the secondary method, water flooding, together extract approximately 30 to 35 % of original oil in place from the reservoir</w:t>
      </w:r>
      <w:r w:rsidRPr="009542F5">
        <w:fldChar w:fldCharType="begin"/>
      </w:r>
      <w:r w:rsidR="00332C11">
        <w:instrText xml:space="preserve"> ADDIN EN.CITE &lt;EndNote&gt;&lt;Cite&gt;&lt;Author&gt;Zitha&lt;/Author&gt;&lt;Year&gt;2011&lt;/Year&gt;&lt;RecNum&gt;119&lt;/RecNum&gt;&lt;DisplayText&gt;&lt;style face="superscript"&gt;1-2&lt;/style&gt;&lt;/DisplayText&gt;&lt;record&gt;&lt;rec-number&gt;119&lt;/rec-number&gt;&lt;foreign-keys&gt;&lt;key app="EN" db-id="a5zz9zdsp2tzdiedrdov0ztx9zwzps0patvs" timestamp="1436642027"&gt;119&lt;/key&gt;&lt;/foreign-keys&gt;&lt;ref-type name="Journal Article"&gt;17&lt;/ref-type&gt;&lt;contributors&gt;&lt;authors&gt;&lt;author&gt;Zitha, P&lt;/author&gt;&lt;author&gt;Felder, R&lt;/author&gt;&lt;author&gt;Zornes, D&lt;/author&gt;&lt;author&gt;Brown, K&lt;/author&gt;&lt;author&gt;Mohanty, K&lt;/author&gt;&lt;/authors&gt;&lt;/contributors&gt;&lt;titles&gt;&lt;title&gt;Increasing hydrocarbon recovery factors&lt;/title&gt;&lt;secondary-title&gt;SPE Technol. Updates&lt;/secondary-title&gt;&lt;/titles&gt;&lt;periodical&gt;&lt;full-title&gt;SPE Technol. Updates&lt;/full-title&gt;&lt;/periodical&gt;&lt;dates&gt;&lt;year&gt;2011&lt;/year&gt;&lt;/dates&gt;&lt;urls&gt;&lt;/urls&gt;&lt;/record&gt;&lt;/Cite&gt;&lt;Cite&gt;&lt;Author&gt;Lake&lt;/Author&gt;&lt;Year&gt;1990&lt;/Year&gt;&lt;RecNum&gt;120&lt;/RecNum&gt;&lt;record&gt;&lt;rec-number&gt;120&lt;/rec-number&gt;&lt;foreign-keys&gt;&lt;key app="EN" db-id="a5zz9zdsp2tzdiedrdov0ztx9zwzps0patvs" timestamp="1436642154"&gt;120&lt;/key&gt;&lt;/foreign-keys&gt;&lt;ref-type name="Journal Article"&gt;17&lt;/ref-type&gt;&lt;contributors&gt;&lt;authors&gt;&lt;author&gt;Lake, Larry W&lt;/author&gt;&lt;author&gt;Venuto, Paul B&lt;/author&gt;&lt;/authors&gt;&lt;/contributors&gt;&lt;titles&gt;&lt;title&gt;A niche for enhanced oil recovery in the 1990s&lt;/title&gt;&lt;secondary-title&gt;Oil &amp;amp; Gas Journal&lt;/secondary-title&gt;&lt;/titles&gt;&lt;periodical&gt;&lt;full-title&gt;Oil &amp;amp; Gas Journal&lt;/full-title&gt;&lt;/periodical&gt;&lt;pages&gt;62-67&lt;/pages&gt;&lt;volume&gt;88&lt;/volume&gt;&lt;number&gt;17&lt;/number&gt;&lt;dates&gt;&lt;year&gt;1990&lt;/year&gt;&lt;/dates&gt;&lt;urls&gt;&lt;/urls&gt;&lt;/record&gt;&lt;/Cite&gt;&lt;/EndNote&gt;</w:instrText>
      </w:r>
      <w:r w:rsidRPr="009542F5">
        <w:fldChar w:fldCharType="separate"/>
      </w:r>
      <w:r w:rsidR="00332C11" w:rsidRPr="00332C11">
        <w:rPr>
          <w:noProof/>
          <w:vertAlign w:val="superscript"/>
        </w:rPr>
        <w:t>1-2</w:t>
      </w:r>
      <w:r w:rsidRPr="009542F5">
        <w:fldChar w:fldCharType="end"/>
      </w:r>
      <w:r w:rsidRPr="009542F5">
        <w:t>. The remaining oil stays trapped in the pores of reservoir rocks primarily due to capillary forces</w:t>
      </w:r>
      <w:r w:rsidRPr="009542F5">
        <w:fldChar w:fldCharType="begin">
          <w:fldData xml:space="preserve">PEVuZE5vdGU+PENpdGU+PEF1dGhvcj5NZWxyb3NlPC9BdXRob3I+PFllYXI+MTk3NDwvWWVhcj48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</w:fldData>
        </w:fldChar>
      </w:r>
      <w:r w:rsidR="00332C11">
        <w:instrText xml:space="preserve"> ADDIN EN.CITE </w:instrText>
      </w:r>
      <w:r w:rsidR="00332C11">
        <w:fldChar w:fldCharType="begin">
          <w:fldData xml:space="preserve">PEVuZE5vdGU+PENpdGU+PEF1dGhvcj5NZWxyb3NlPC9BdXRob3I+PFllYXI+MTk3NDwvWWVhcj48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</w:fldData>
        </w:fldChar>
      </w:r>
      <w:r w:rsidR="00332C11">
        <w:instrText xml:space="preserve"> ADDIN EN.CITE.DATA </w:instrText>
      </w:r>
      <w:r w:rsidR="00332C11">
        <w:fldChar w:fldCharType="end"/>
      </w:r>
      <w:r w:rsidRPr="009542F5">
        <w:fldChar w:fldCharType="separate"/>
      </w:r>
      <w:r w:rsidR="00332C11" w:rsidRPr="00332C11">
        <w:rPr>
          <w:noProof/>
          <w:vertAlign w:val="superscript"/>
        </w:rPr>
        <w:t>3-5</w:t>
      </w:r>
      <w:r w:rsidRPr="009542F5">
        <w:fldChar w:fldCharType="end"/>
      </w:r>
      <w:r w:rsidRPr="009542F5">
        <w:t>. In surfactant-based chemical enhanced oil recovery (cEOR) techniques, this trapped oil can be unlocked by injecting surfactant solution into the reservoir. Surfactant being a dual polarity molecule, water-like and oil-like, partitions itself at the oil-water interface, decreases interfacial tension (IFT), and can increase capillary numbers enough to overcome capillary forces, which allows pore-locked oil to flow</w:t>
      </w:r>
      <w:r w:rsidRPr="009542F5">
        <w:fldChar w:fldCharType="begin">
          <w:fldData xml:space="preserve">PEVuZE5vdGU+PENpdGU+PEF1dGhvcj5TY2hyYW1tPC9BdXRob3I+PFllYXI+MjAwMDwvWWVhcj48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=
</w:fldData>
        </w:fldChar>
      </w:r>
      <w:r w:rsidR="00332C11">
        <w:instrText xml:space="preserve"> ADDIN EN.CITE </w:instrText>
      </w:r>
      <w:r w:rsidR="00332C11">
        <w:fldChar w:fldCharType="begin">
          <w:fldData xml:space="preserve">PEVuZE5vdGU+PENpdGU+PEF1dGhvcj5TY2hyYW1tPC9BdXRob3I+PFllYXI+MjAwMDwvWWVhcj48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=
</w:fldData>
        </w:fldChar>
      </w:r>
      <w:r w:rsidR="00332C11">
        <w:instrText xml:space="preserve"> ADDIN EN.CITE.DATA </w:instrText>
      </w:r>
      <w:r w:rsidR="00332C11">
        <w:fldChar w:fldCharType="end"/>
      </w:r>
      <w:r w:rsidRPr="009542F5">
        <w:fldChar w:fldCharType="separate"/>
      </w:r>
      <w:r w:rsidR="00332C11" w:rsidRPr="00332C11">
        <w:rPr>
          <w:noProof/>
          <w:vertAlign w:val="superscript"/>
        </w:rPr>
        <w:t>6-9</w:t>
      </w:r>
      <w:r w:rsidRPr="009542F5">
        <w:fldChar w:fldCharType="end"/>
      </w:r>
      <w:r w:rsidRPr="009542F5">
        <w:t>. However, surfactant behaves differently at the different reservoir conditions and since each reservoir is characterized by its own oil type, brine salinity, rock type, and temperature, it is required to tailor cEOR surfactant formulation at the reservoir conditions</w:t>
      </w:r>
      <w:r w:rsidRPr="009542F5">
        <w:fldChar w:fldCharType="begin"/>
      </w:r>
      <w:r w:rsidR="00332C11">
        <w:instrText xml:space="preserve"> ADDIN EN.CITE &lt;EndNote&gt;&lt;Cite&gt;&lt;Author&gt;Ben Shiau&lt;/Author&gt;&lt;Year&gt;2013&lt;/Year&gt;&lt;RecNum&gt;85&lt;/RecNum&gt;&lt;DisplayText&gt;&lt;style face="superscript"&gt;10-11&lt;/style&gt;&lt;/DisplayText&gt;&lt;record&gt;&lt;rec-number&gt;85&lt;/rec-number&gt;&lt;foreign-keys&gt;&lt;key app="EN" db-id="a5zz9zdsp2tzdiedrdov0ztx9zwzps0patvs" timestamp="1432066985"&gt;85&lt;/key&gt;&lt;/foreign-keys&gt;&lt;ref-type name="Journal Article"&gt;17&lt;/ref-type&gt;&lt;contributors&gt;&lt;authors&gt;&lt;author&gt;Ben Shiau, SPE&lt;/author&gt;&lt;author&gt;Tzu-Ping Hsu, SPE&lt;/author&gt;&lt;author&gt;Prapas Lohateeraparp, Mario Rojas&lt;/author&gt;&lt;author&gt;Mahesh Budhathoki, Ajay Raj&lt;/author&gt;&lt;/authors&gt;&lt;/contributors&gt;&lt;titles&gt;&lt;title&gt;Recovery of Oil from High Salinity Reservoir Using Chemical Flooding: From Laboratory to Field Tests&lt;/title&gt;&lt;/titles&gt;&lt;dates&gt;&lt;year&gt;2013&lt;/year&gt;&lt;/dates&gt;&lt;urls&gt;&lt;/urls&gt;&lt;/record&gt;&lt;/Cite&gt;&lt;Cite&gt;&lt;Author&gt;Puerto&lt;/Author&gt;&lt;Year&gt;2012&lt;/Year&gt;&lt;RecNum&gt;31&lt;/RecNum&gt;&lt;record&gt;&lt;rec-number&gt;31&lt;/rec-number&gt;&lt;foreign-keys&gt;&lt;key app="EN" db-id="a5zz9zdsp2tzdiedrdov0ztx9zwzps0patvs" timestamp="1424741471"&gt;31&lt;/key&gt;&lt;/foreign-keys&gt;&lt;ref-type name="Journal Article"&gt;17&lt;/ref-type&gt;&lt;contributors&gt;&lt;authors&gt;&lt;author&gt;Puerto, Maura&lt;/author&gt;&lt;author&gt;Hirasaki, George J&lt;/author&gt;&lt;author&gt;Miller, Clarence A&lt;/author&gt;&lt;author&gt;Barnes, Julian R&lt;/author&gt;&lt;/authors&gt;&lt;/contributors&gt;&lt;titles&gt;&lt;title&gt;Surfactant systems for EOR in high-temperature, high-salinity environments&lt;/title&gt;&lt;secondary-title&gt;SPE J&lt;/secondary-title&gt;&lt;/titles&gt;&lt;periodical&gt;&lt;full-title&gt;SPE J&lt;/full-title&gt;&lt;/periodical&gt;&lt;pages&gt;11-19&lt;/pages&gt;&lt;volume&gt;17&lt;/volume&gt;&lt;number&gt;1&lt;/number&gt;&lt;dates&gt;&lt;year&gt;2012&lt;/year&gt;&lt;/dates&gt;&lt;urls&gt;&lt;/urls&gt;&lt;/record&gt;&lt;/Cite&gt;&lt;/EndNote&gt;</w:instrText>
      </w:r>
      <w:r w:rsidRPr="009542F5">
        <w:fldChar w:fldCharType="separate"/>
      </w:r>
      <w:r w:rsidR="00332C11" w:rsidRPr="00332C11">
        <w:rPr>
          <w:noProof/>
          <w:vertAlign w:val="superscript"/>
        </w:rPr>
        <w:t>10-11</w:t>
      </w:r>
      <w:r w:rsidRPr="009542F5">
        <w:fldChar w:fldCharType="end"/>
      </w:r>
      <w:r w:rsidRPr="009542F5">
        <w:t>.</w:t>
      </w:r>
    </w:p>
    <w:p w:rsidR="009542F5" w:rsidRPr="009542F5" w:rsidRDefault="009542F5" w:rsidP="009542F5">
      <w:pPr>
        <w:ind w:firstLine="720"/>
        <w:jc w:val="both"/>
      </w:pPr>
      <w:r w:rsidRPr="009542F5">
        <w:t>One of the main criteria of cEOR surfactant formulations is to exhibit a homogeneous, clear, single phase aqueous solution at the reservoir conditions</w:t>
      </w:r>
      <w:r w:rsidRPr="009542F5">
        <w:fldChar w:fldCharType="begin"/>
      </w:r>
      <w:r w:rsidR="00332C11">
        <w:instrText xml:space="preserve"> ADDIN EN.CITE &lt;EndNote&gt;&lt;Cite&gt;&lt;Author&gt;Levitt&lt;/Author&gt;&lt;Year&gt;2009&lt;/Year&gt;&lt;RecNum&gt;74&lt;/RecNum&gt;&lt;DisplayText&gt;&lt;style face="superscript"&gt;12-13&lt;/style&gt;&lt;/DisplayText&gt;&lt;record&gt;&lt;rec-number&gt;74&lt;/rec-number&gt;&lt;foreign-keys&gt;&lt;key app="EN" db-id="a5zz9zdsp2tzdiedrdov0ztx9zwzps0patvs" timestamp="1425609119"&gt;74&lt;/key&gt;&lt;/foreign-keys&gt;&lt;ref-type name="Journal Article"&gt;17&lt;/ref-type&gt;&lt;contributors&gt;&lt;authors&gt;&lt;author&gt;David B. Levitt  &lt;/author&gt;&lt;author&gt;Adam C.  Jackson; &lt;/author&gt;&lt;author&gt;Christopher Heinson &lt;/author&gt;&lt;author&gt;Larry N.  Britton&lt;/author&gt;&lt;author&gt;Taimur Malik &lt;/author&gt;&lt;author&gt;Varadarajan Dwarakanath&lt;/author&gt;&lt;author&gt;Gary A. Pope &lt;/author&gt;&lt;/authors&gt;&lt;/contributors&gt;&lt;titles&gt;&lt;title&gt;Identification and evaluation of high-performance EOR surfactants&lt;/title&gt;&lt;secondary-title&gt;SPE Reservoir Evaluation &amp;amp; Engineering&lt;/secondary-title&gt;&lt;/titles&gt;&lt;periodical&gt;&lt;full-title&gt;SPE Reservoir Evaluation &amp;amp; Engineering&lt;/full-title&gt;&lt;/periodical&gt;&lt;pages&gt;243-253&lt;/pages&gt;&lt;volume&gt;2&lt;/volume&gt;&lt;number&gt;12&lt;/number&gt;&lt;dates&gt;&lt;year&gt;2009&lt;/year&gt;&lt;/dates&gt;&lt;urls&gt;&lt;/urls&gt;&lt;/record&gt;&lt;/Cite&gt;&lt;Cite&gt;&lt;Author&gt;Sahni&lt;/Author&gt;&lt;Year&gt;2010&lt;/Year&gt;&lt;RecNum&gt;33&lt;/RecNum&gt;&lt;record&gt;&lt;rec-number&gt;33&lt;/rec-number&gt;&lt;foreign-keys&gt;&lt;key app="EN" db-id="a5zz9zdsp2tzdiedrdov0ztx9zwzps0patvs" timestamp="1424741472"&gt;33&lt;/key&gt;&lt;/foreign-keys&gt;&lt;ref-type name="Conference Proceedings"&gt;10&lt;/ref-type&gt;&lt;contributors&gt;&lt;authors&gt;&lt;author&gt;Sahni, Vinay&lt;/author&gt;&lt;author&gt;Dean, Robert Matthew&lt;/author&gt;&lt;author&gt;Britton, Chris&lt;/author&gt;&lt;author&gt;Kim, Do Hoon&lt;/author&gt;&lt;author&gt;Weerasooriya, Upali&lt;/author&gt;&lt;author&gt;Pope, Gary Arnold&lt;/author&gt;&lt;/authors&gt;&lt;/contributors&gt;&lt;titles&gt;&lt;title&gt;The role of co-solvents and co-surfactants in making chemical floods robust&lt;/title&gt;&lt;secondary-title&gt;SPE Improved Oil Recovery Symposium&lt;/secondary-title&gt;&lt;/titles&gt;&lt;dates&gt;&lt;year&gt;2010&lt;/year&gt;&lt;/dates&gt;&lt;publisher&gt;Society of Petroleum Engineers&lt;/publisher&gt;&lt;isbn&gt;1555632890&lt;/isbn&gt;&lt;urls&gt;&lt;/urls&gt;&lt;/record&gt;&lt;/Cite&gt;&lt;/EndNote&gt;</w:instrText>
      </w:r>
      <w:r w:rsidRPr="009542F5">
        <w:fldChar w:fldCharType="separate"/>
      </w:r>
      <w:r w:rsidR="00332C11" w:rsidRPr="00332C11">
        <w:rPr>
          <w:noProof/>
          <w:vertAlign w:val="superscript"/>
        </w:rPr>
        <w:t>12-13</w:t>
      </w:r>
      <w:r w:rsidRPr="009542F5">
        <w:fldChar w:fldCharType="end"/>
      </w:r>
      <w:r w:rsidRPr="009542F5">
        <w:t>. However, under high salinity/TDS (total dissolved solids) reservoir brine environment, surfactant tends to precipitate or phase separate</w:t>
      </w:r>
      <w:r w:rsidRPr="009542F5">
        <w:fldChar w:fldCharType="begin">
          <w:fldData xml:space="preserve">PEVuZE5vdGU+PENpdGU+PEF1dGhvcj5Ob8OvazwvQXV0aG9yPjxZZWFyPjE5ODc8L1llYXI+PFJl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</w:fldData>
        </w:fldChar>
      </w:r>
      <w:r w:rsidR="00332C11">
        <w:instrText xml:space="preserve"> ADDIN EN.CITE </w:instrText>
      </w:r>
      <w:r w:rsidR="00332C11">
        <w:fldChar w:fldCharType="begin">
          <w:fldData xml:space="preserve">PEVuZE5vdGU+PENpdGU+PEF1dGhvcj5Ob8OvazwvQXV0aG9yPjxZZWFyPjE5ODc8L1llYXI+PFJl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</w:fldData>
        </w:fldChar>
      </w:r>
      <w:r w:rsidR="00332C11">
        <w:instrText xml:space="preserve"> ADDIN EN.CITE.DATA </w:instrText>
      </w:r>
      <w:r w:rsidR="00332C11">
        <w:fldChar w:fldCharType="end"/>
      </w:r>
      <w:r w:rsidRPr="009542F5">
        <w:fldChar w:fldCharType="separate"/>
      </w:r>
      <w:r w:rsidR="00332C11" w:rsidRPr="00332C11">
        <w:rPr>
          <w:noProof/>
          <w:vertAlign w:val="superscript"/>
        </w:rPr>
        <w:t>14-16</w:t>
      </w:r>
      <w:r w:rsidRPr="009542F5">
        <w:fldChar w:fldCharType="end"/>
      </w:r>
      <w:r w:rsidRPr="009542F5">
        <w:t>. This becomes challenging for companies that want to make use of produced water in onshore cEOR projects or the available water sources such as sea water in offshore opportunities</w:t>
      </w:r>
      <w:r w:rsidRPr="009542F5">
        <w:fldChar w:fldCharType="begin"/>
      </w:r>
      <w:r w:rsidR="00332C11">
        <w:instrText xml:space="preserve"> ADDIN EN.CITE &lt;EndNote&gt;&lt;Cite&gt;&lt;Author&gt;Puerto&lt;/Author&gt;&lt;Year&gt;2014&lt;/Year&gt;&lt;RecNum&gt;81&lt;/RecNum&gt;&lt;DisplayText&gt;&lt;style face="superscript"&gt;17&lt;/style&gt;&lt;/DisplayText&gt;&lt;record&gt;&lt;rec-number&gt;81&lt;/rec-number&gt;&lt;foreign-keys&gt;&lt;key app="EN" db-id="a5zz9zdsp2tzdiedrdov0ztx9zwzps0patvs" timestamp="1428963320"&gt;81&lt;/key&gt;&lt;/foreign-keys&gt;&lt;ref-type name="Conference Proceedings"&gt;10&lt;/ref-type&gt;&lt;contributors&gt;&lt;authors&gt;&lt;author&gt;Puerto, Maura C&lt;/author&gt;&lt;author&gt;Hirasaki, George J&lt;/author&gt;&lt;author&gt;Miller, Clarence A&lt;/author&gt;&lt;author&gt;Reznik, Carmen&lt;/author&gt;&lt;author&gt;Dubey, Sheila&lt;/author&gt;&lt;author&gt;Barnes, Julian R&lt;/author&gt;&lt;author&gt;vanKuijk, Sjoerd&lt;/author&gt;&lt;/authors&gt;&lt;/contributors&gt;&lt;titles&gt;&lt;title&gt;Effects of Hardness and Cosurfactant on Phase Behavior of Alcohol-free Alkyl Propoxylated Sulfate Systems&lt;/title&gt;&lt;secondary-title&gt;SPE Improved Oil Recovery Symposium&lt;/secondary-title&gt;&lt;/titles&gt;&lt;dates&gt;&lt;year&gt;2014&lt;/year&gt;&lt;/dates&gt;&lt;publisher&gt;Society of Petroleum Engineers&lt;/publisher&gt;&lt;isbn&gt;1613993099&lt;/isbn&gt;&lt;urls&gt;&lt;/urls&gt;&lt;/record&gt;&lt;/Cite&gt;&lt;/EndNote&gt;</w:instrText>
      </w:r>
      <w:r w:rsidRPr="009542F5">
        <w:fldChar w:fldCharType="separate"/>
      </w:r>
      <w:r w:rsidR="00332C11" w:rsidRPr="00332C11">
        <w:rPr>
          <w:noProof/>
          <w:vertAlign w:val="superscript"/>
        </w:rPr>
        <w:t>17</w:t>
      </w:r>
      <w:r w:rsidRPr="009542F5">
        <w:fldChar w:fldCharType="end"/>
      </w:r>
      <w:r w:rsidRPr="009542F5">
        <w:t>. The alternative is to use fresh water, which may not always be available, or install brine-softening facilities, which may increase the total capital cost of the project making it less attractive for industries. In addition, loss of anionic surfactant on reservoir rocks due to adsorption is also found to be severe in high TDS brine</w:t>
      </w:r>
      <w:r w:rsidRPr="009542F5">
        <w:fldChar w:fldCharType="begin"/>
      </w:r>
      <w:r w:rsidR="00332C11">
        <w:instrText xml:space="preserve"> ADDIN EN.CITE &lt;EndNote&gt;&lt;Cite&gt;&lt;Author&gt;Krumrine&lt;/Author&gt;&lt;Year&gt;1982&lt;/Year&gt;&lt;RecNum&gt;127&lt;/RecNum&gt;&lt;DisplayText&gt;&lt;style face="superscript"&gt;18-19&lt;/style&gt;&lt;/DisplayText&gt;&lt;record&gt;&lt;rec-number&gt;127&lt;/rec-number&gt;&lt;foreign-keys&gt;&lt;key app="EN" db-id="a5zz9zdsp2tzdiedrdov0ztx9zwzps0patvs" timestamp="1436644701"&gt;127&lt;/key&gt;&lt;/foreign-keys&gt;&lt;ref-type name="Journal Article"&gt;17&lt;/ref-type&gt;&lt;contributors&gt;&lt;authors&gt;&lt;author&gt;Krumrine, Paul H&lt;/author&gt;&lt;author&gt;Falcone Jr, James S&lt;/author&gt;&lt;author&gt;Campbell, Thomas C&lt;/author&gt;&lt;/authors&gt;&lt;/contributors&gt;&lt;titles&gt;&lt;title&gt;Surfactant flooding 1: the effect of alkaline additives on IFT, surfactant adsorption, and recovery efficiency&lt;/title&gt;&lt;secondary-title&gt;Society of Petroleum Engineers Journal&lt;/secondary-title&gt;&lt;/titles&gt;&lt;periodical&gt;&lt;full-title&gt;Society of Petroleum Engineers Journal&lt;/full-title&gt;&lt;/periodical&gt;&lt;pages&gt;503-513&lt;/pages&gt;&lt;volume&gt;22&lt;/volume&gt;&lt;number&gt;04&lt;/number&gt;&lt;dates&gt;&lt;year&gt;1982&lt;/year&gt;&lt;/dates&gt;&lt;isbn&gt;0197-7520&lt;/isbn&gt;&lt;urls&gt;&lt;/urls&gt;&lt;/record&gt;&lt;/Cite&gt;&lt;Cite&gt;&lt;Author&gt;ShamsiJazeyi&lt;/Author&gt;&lt;Year&gt;2013&lt;/Year&gt;&lt;RecNum&gt;79&lt;/RecNum&gt;&lt;record&gt;&lt;rec-number&gt;79&lt;/rec-number&gt;&lt;foreign-keys&gt;&lt;key app="EN" db-id="a5zz9zdsp2tzdiedrdov0ztx9zwzps0patvs" timestamp="1425611167"&gt;79&lt;/key&gt;&lt;/foreign-keys&gt;&lt;ref-type name="Journal Article"&gt;17&lt;/ref-type&gt;&lt;contributors&gt;&lt;authors&gt;&lt;author&gt;ShamsiJazeyi, Hadi&lt;/author&gt;&lt;author&gt;Hirasaki, George J&lt;/author&gt;&lt;author&gt;Verduzco, Rafael&lt;/author&gt;&lt;/authors&gt;&lt;/contributors&gt;&lt;titles&gt;&lt;title&gt;Sacrificial Agent for Reducing Adsorption of Anionic Surfactants&lt;/title&gt;&lt;secondary-title&gt;SPE-164061-MS&lt;/secondary-title&gt;&lt;/titles&gt;&lt;periodical&gt;&lt;full-title&gt;SPE-164061-MS&lt;/full-title&gt;&lt;/periodical&gt;&lt;dates&gt;&lt;year&gt;2013&lt;/year&gt;&lt;/dates&gt;&lt;urls&gt;&lt;/urls&gt;&lt;/record&gt;&lt;/Cite&gt;&lt;/EndNote&gt;</w:instrText>
      </w:r>
      <w:r w:rsidRPr="009542F5">
        <w:fldChar w:fldCharType="separate"/>
      </w:r>
      <w:r w:rsidR="00332C11" w:rsidRPr="00332C11">
        <w:rPr>
          <w:noProof/>
          <w:vertAlign w:val="superscript"/>
        </w:rPr>
        <w:t>18-19</w:t>
      </w:r>
      <w:r w:rsidRPr="009542F5">
        <w:fldChar w:fldCharType="end"/>
      </w:r>
      <w:r w:rsidRPr="009542F5">
        <w:t>. The reservoir-injected surfactant slug, before reaching t</w:t>
      </w:r>
      <w:r w:rsidR="00E52BA8">
        <w:t>o the targeted oil zone, gets ad</w:t>
      </w:r>
      <w:r w:rsidRPr="009542F5">
        <w:t xml:space="preserve">sorbed onto the rocks or soil surfaces. </w:t>
      </w:r>
      <w:r w:rsidRPr="009542F5">
        <w:lastRenderedPageBreak/>
        <w:t>Alkali, which is being traditionally used to minimize adsorption of anionic surfactant, also precipitates and become ineffective at high TDS environment</w:t>
      </w:r>
      <w:r w:rsidRPr="009542F5">
        <w:fldChar w:fldCharType="begin"/>
      </w:r>
      <w:r w:rsidR="00332C11">
        <w:instrText xml:space="preserve"> ADDIN EN.CITE &lt;EndNote&gt;&lt;Cite&gt;&lt;Author&gt;Wang&lt;/Author&gt;&lt;Year&gt;2010&lt;/Year&gt;&lt;RecNum&gt;128&lt;/RecNum&gt;&lt;DisplayText&gt;&lt;style face="superscript"&gt;20-21&lt;/style&gt;&lt;/DisplayText&gt;&lt;record&gt;&lt;rec-number&gt;128&lt;/rec-number&gt;&lt;foreign-keys&gt;&lt;key app="EN" db-id="a5zz9zdsp2tzdiedrdov0ztx9zwzps0patvs" timestamp="1436644875"&gt;128&lt;/key&gt;&lt;/foreign-keys&gt;&lt;ref-type name="Conference Proceedings"&gt;10&lt;/ref-type&gt;&lt;contributors&gt;&lt;authors&gt;&lt;author&gt;Wang, Demin&lt;/author&gt;&lt;author&gt;Liu, Chunde&lt;/author&gt;&lt;author&gt;Wu, Wenxiang&lt;/author&gt;&lt;author&gt;Wang, Gang&lt;/author&gt;&lt;/authors&gt;&lt;/contributors&gt;&lt;titles&gt;&lt;title&gt;Novel Surfactants that Attain Ultra-Low Interfacial Tension between Oil and High Salinity Formation Water without adding Alkali, Salts, Co-surfactants, Alcohols and Solvents&lt;/title&gt;&lt;secondary-title&gt;SPE EOR Conference at Oil &amp;amp; Gas West Asia&lt;/secondary-title&gt;&lt;/titles&gt;&lt;dates&gt;&lt;year&gt;2010&lt;/year&gt;&lt;/dates&gt;&lt;publisher&gt;Society of Petroleum Engineers&lt;/publisher&gt;&lt;isbn&gt;1555632858&lt;/isbn&gt;&lt;urls&gt;&lt;/urls&gt;&lt;/record&gt;&lt;/Cite&gt;&lt;Cite&gt;&lt;Author&gt;ShamsiJazeyi&lt;/Author&gt;&lt;Year&gt;2014&lt;/Year&gt;&lt;RecNum&gt;106&lt;/RecNum&gt;&lt;record&gt;&lt;rec-number&gt;106&lt;/rec-number&gt;&lt;foreign-keys&gt;&lt;key app="EN" db-id="a5zz9zdsp2tzdiedrdov0ztx9zwzps0patvs" timestamp="1434378285"&gt;106&lt;/key&gt;&lt;/foreign-keys&gt;&lt;ref-type name="Journal Article"&gt;17&lt;/ref-type&gt;&lt;contributors&gt;&lt;authors&gt;&lt;author&gt;ShamsiJazeyi, Hadi&lt;/author&gt;&lt;author&gt;Verduzco, Rafael&lt;/author&gt;&lt;author&gt;Hirasaki, George J&lt;/author&gt;&lt;/authors&gt;&lt;/contributors&gt;&lt;titles&gt;&lt;title&gt;Reducing adsorption of anionic surfactant for enhanced oil recovery: Part I. Competitive adsorption mechanism&lt;/title&gt;&lt;secondary-title&gt;Colloids and Surfaces A: Physicochemical and Engineering Aspects&lt;/secondary-title&gt;&lt;/titles&gt;&lt;periodical&gt;&lt;full-title&gt;Colloids and Surfaces A: Physicochemical and Engineering Aspects&lt;/full-title&gt;&lt;/periodical&gt;&lt;pages&gt;162-167&lt;/pages&gt;&lt;volume&gt;453&lt;/volume&gt;&lt;dates&gt;&lt;year&gt;2014&lt;/year&gt;&lt;/dates&gt;&lt;isbn&gt;0927-7757&lt;/isbn&gt;&lt;urls&gt;&lt;/urls&gt;&lt;/record&gt;&lt;/Cite&gt;&lt;/EndNote&gt;</w:instrText>
      </w:r>
      <w:r w:rsidRPr="009542F5">
        <w:fldChar w:fldCharType="separate"/>
      </w:r>
      <w:r w:rsidR="00332C11" w:rsidRPr="00332C11">
        <w:rPr>
          <w:noProof/>
          <w:vertAlign w:val="superscript"/>
        </w:rPr>
        <w:t>20-21</w:t>
      </w:r>
      <w:r w:rsidRPr="009542F5">
        <w:fldChar w:fldCharType="end"/>
      </w:r>
      <w:r w:rsidRPr="009542F5">
        <w:t xml:space="preserve">. In such scenarios, a high amount of surfactant needs to be injected to satisfy the adsorption, which may not be economically feasible. </w:t>
      </w:r>
    </w:p>
    <w:p w:rsidR="00DA5270" w:rsidRDefault="009542F5" w:rsidP="009542F5">
      <w:pPr>
        <w:ind w:firstLine="720"/>
        <w:jc w:val="both"/>
      </w:pPr>
      <w:r w:rsidRPr="009542F5">
        <w:t>Moreover, screening high performance surfactants for cEOR is a challenging task. The established method for such application is the traditional trial and error surfactant phase behavior studies</w:t>
      </w:r>
      <w:r w:rsidRPr="009542F5">
        <w:fldChar w:fldCharType="begin"/>
      </w:r>
      <w:r w:rsidR="00332C11">
        <w:instrText xml:space="preserve"> ADDIN EN.CITE &lt;EndNote&gt;&lt;Cite&gt;&lt;Author&gt;Levitt&lt;/Author&gt;&lt;Year&gt;2009&lt;/Year&gt;&lt;RecNum&gt;74&lt;/RecNum&gt;&lt;DisplayText&gt;&lt;style face="superscript"&gt;12&lt;/style&gt;&lt;/DisplayText&gt;&lt;record&gt;&lt;rec-number&gt;74&lt;/rec-number&gt;&lt;foreign-keys&gt;&lt;key app="EN" db-id="a5zz9zdsp2tzdiedrdov0ztx9zwzps0patvs" timestamp="1425609119"&gt;74&lt;/key&gt;&lt;/foreign-keys&gt;&lt;ref-type name="Journal Article"&gt;17&lt;/ref-type&gt;&lt;contributors&gt;&lt;authors&gt;&lt;author&gt;David B. Levitt  &lt;/author&gt;&lt;author&gt;Adam C.  Jackson; &lt;/author&gt;&lt;author&gt;Christopher Heinson &lt;/author&gt;&lt;author&gt;Larry N.  Britton&lt;/author&gt;&lt;author&gt;Taimur Malik &lt;/author&gt;&lt;author&gt;Varadarajan Dwarakanath&lt;/author&gt;&lt;author&gt;Gary A. Pope &lt;/author&gt;&lt;/authors&gt;&lt;/contributors&gt;&lt;titles&gt;&lt;title&gt;Identification and evaluation of high-performance EOR surfactants&lt;/title&gt;&lt;secondary-title&gt;SPE Reservoir Evaluation &amp;amp; Engineering&lt;/secondary-title&gt;&lt;/titles&gt;&lt;periodical&gt;&lt;full-title&gt;SPE Reservoir Evaluation &amp;amp; Engineering&lt;/full-title&gt;&lt;/periodical&gt;&lt;pages&gt;243-253&lt;/pages&gt;&lt;volume&gt;2&lt;/volume&gt;&lt;number&gt;12&lt;/number&gt;&lt;dates&gt;&lt;year&gt;2009&lt;/year&gt;&lt;/dates&gt;&lt;urls&gt;&lt;/urls&gt;&lt;/record&gt;&lt;/Cite&gt;&lt;/EndNote&gt;</w:instrText>
      </w:r>
      <w:r w:rsidRPr="009542F5">
        <w:fldChar w:fldCharType="separate"/>
      </w:r>
      <w:r w:rsidR="00332C11" w:rsidRPr="00332C11">
        <w:rPr>
          <w:noProof/>
          <w:vertAlign w:val="superscript"/>
        </w:rPr>
        <w:t>12</w:t>
      </w:r>
      <w:r w:rsidRPr="009542F5">
        <w:fldChar w:fldCharType="end"/>
      </w:r>
      <w:r w:rsidRPr="009542F5">
        <w:t>. Even though this method is proven to be effective, the prolonged time (up to 6 months in some cases) it takes to develop a surfactant formulation makes such method very time consuming and inefficient. Recently several authors have proposed the quantitative structure-property relationship (QSPR) method for selecting cEOR surfactants by relating surfactant structure to their optimal salinities</w:t>
      </w:r>
      <w:r w:rsidRPr="009542F5">
        <w:fldChar w:fldCharType="begin"/>
      </w:r>
      <w:r w:rsidR="00332C11">
        <w:instrText xml:space="preserve"> ADDIN EN.CITE &lt;EndNote&gt;&lt;Cite&gt;&lt;Author&gt;Moreau&lt;/Author&gt;&lt;Year&gt;2013&lt;/Year&gt;&lt;RecNum&gt;130&lt;/RecNum&gt;&lt;DisplayText&gt;&lt;style face="superscript"&gt;22-23&lt;/style&gt;&lt;/DisplayText&gt;&lt;record&gt;&lt;rec-number&gt;130&lt;/rec-number&gt;&lt;foreign-keys&gt;&lt;key app="EN" db-id="a5zz9zdsp2tzdiedrdov0ztx9zwzps0patvs" timestamp="1436645432"&gt;130&lt;/key&gt;&lt;/foreign-keys&gt;&lt;ref-type name="Conference Proceedings"&gt;10&lt;/ref-type&gt;&lt;contributors&gt;&lt;authors&gt;&lt;author&gt;Moreau, Patrick&lt;/author&gt;&lt;author&gt;Maldonado, Ana&lt;/author&gt;&lt;author&gt;Oukhemanou, Fanny&lt;/author&gt;&lt;author&gt;Creton, Benoit&lt;/author&gt;&lt;/authors&gt;&lt;/contributors&gt;&lt;titles&gt;&lt;title&gt;Application of Quantitative Structure-Property Relationship (QSPR) Method for Chemical EOR Surfactant Selection&lt;/title&gt;&lt;secondary-title&gt;SPE International Symposium on Oilfield Chemistry&lt;/secondary-title&gt;&lt;/titles&gt;&lt;dates&gt;&lt;year&gt;2013&lt;/year&gt;&lt;/dates&gt;&lt;publisher&gt;Society of Petroleum Engineers&lt;/publisher&gt;&lt;isbn&gt;1613992319&lt;/isbn&gt;&lt;urls&gt;&lt;/urls&gt;&lt;/record&gt;&lt;/Cite&gt;&lt;Cite&gt;&lt;Author&gt;Muller&lt;/Author&gt;&lt;Year&gt;2015&lt;/Year&gt;&lt;RecNum&gt;132&lt;/RecNum&gt;&lt;record&gt;&lt;rec-number&gt;132&lt;/rec-number&gt;&lt;foreign-keys&gt;&lt;key app="EN" db-id="a5zz9zdsp2tzdiedrdov0ztx9zwzps0patvs" timestamp="1436645510"&gt;132&lt;/key&gt;&lt;/foreign-keys&gt;&lt;ref-type name="Journal Article"&gt;17&lt;/ref-type&gt;&lt;contributors&gt;&lt;authors&gt;&lt;author&gt;Muller, Christophe&lt;/author&gt;&lt;author&gt;Maldonado, Ana G&lt;/author&gt;&lt;author&gt;Varnek, Alexandre&lt;/author&gt;&lt;author&gt;Creton, Benoit&lt;/author&gt;&lt;/authors&gt;&lt;/contributors&gt;&lt;titles&gt;&lt;title&gt;Prediction of optimal salinities for surfactant formulations using a QSPR approach&lt;/title&gt;&lt;secondary-title&gt;Energy &amp;amp; Fuels&lt;/secondary-title&gt;&lt;/titles&gt;&lt;periodical&gt;&lt;full-title&gt;Energy &amp;amp; Fuels&lt;/full-title&gt;&lt;/periodical&gt;&lt;dates&gt;&lt;year&gt;2015&lt;/year&gt;&lt;/dates&gt;&lt;isbn&gt;0887-0624&lt;/isbn&gt;&lt;urls&gt;&lt;/urls&gt;&lt;/record&gt;&lt;/Cite&gt;&lt;/EndNote&gt;</w:instrText>
      </w:r>
      <w:r w:rsidRPr="009542F5">
        <w:fldChar w:fldCharType="separate"/>
      </w:r>
      <w:r w:rsidR="00332C11" w:rsidRPr="00332C11">
        <w:rPr>
          <w:noProof/>
          <w:vertAlign w:val="superscript"/>
        </w:rPr>
        <w:t>22-23</w:t>
      </w:r>
      <w:r w:rsidRPr="009542F5">
        <w:fldChar w:fldCharType="end"/>
      </w:r>
      <w:r w:rsidRPr="009542F5">
        <w:t>. However, such a</w:t>
      </w:r>
      <w:r w:rsidR="00B00D8A">
        <w:t xml:space="preserve"> model has its own limitations:</w:t>
      </w:r>
      <w:r w:rsidR="00DA5270">
        <w:t xml:space="preserve"> </w:t>
      </w:r>
      <w:r w:rsidR="00DA5270" w:rsidRPr="00DA5270">
        <w:t>First, it does not take into account of reservoir properties such as brine salinity, oil type, and temperature; second, most of the commercially available surfa</w:t>
      </w:r>
      <w:r w:rsidR="00356F8D">
        <w:t>ctants are mixtures of homologue</w:t>
      </w:r>
      <w:r w:rsidR="00DA5270" w:rsidRPr="00DA5270">
        <w:t xml:space="preserve">s and exact composition/structure of these surfactant may not be available. </w:t>
      </w:r>
      <w:r w:rsidR="00B00D8A">
        <w:t xml:space="preserve"> </w:t>
      </w:r>
    </w:p>
    <w:p w:rsidR="009542F5" w:rsidRPr="009542F5" w:rsidRDefault="009542F5" w:rsidP="009542F5">
      <w:pPr>
        <w:ind w:firstLine="720"/>
        <w:jc w:val="both"/>
      </w:pPr>
      <w:r w:rsidRPr="009542F5">
        <w:t>Therefore, this study attempts to overcome the above mentioned challenges by setting the following objectives:</w:t>
      </w:r>
    </w:p>
    <w:p w:rsidR="009542F5" w:rsidRPr="009542F5" w:rsidRDefault="009542F5" w:rsidP="009542F5">
      <w:pPr>
        <w:numPr>
          <w:ilvl w:val="0"/>
          <w:numId w:val="8"/>
        </w:numPr>
        <w:jc w:val="both"/>
      </w:pPr>
      <w:r w:rsidRPr="009542F5">
        <w:t>To study the performance of an alcohol free binary mixture of sodium alkyl alkoxy sulfates (extended surfactants) and sodium alkyl ethoxy sulfates (SAES) for a reservoir brine that has TDS of 301,710 mg/l with total hardness (Ca</w:t>
      </w:r>
      <w:r w:rsidRPr="009542F5">
        <w:rPr>
          <w:vertAlign w:val="superscript"/>
        </w:rPr>
        <w:t>2+</w:t>
      </w:r>
      <w:r w:rsidRPr="009542F5">
        <w:t xml:space="preserve"> and Mg</w:t>
      </w:r>
      <w:r w:rsidRPr="009542F5">
        <w:rPr>
          <w:vertAlign w:val="superscript"/>
        </w:rPr>
        <w:t>2+</w:t>
      </w:r>
      <w:r w:rsidRPr="009542F5">
        <w:t>) of 12,973mg/l. This is the</w:t>
      </w:r>
      <w:r w:rsidR="00623EDF">
        <w:t xml:space="preserve"> highest TDS brine that has ever</w:t>
      </w:r>
      <w:r w:rsidRPr="009542F5">
        <w:t xml:space="preserve"> been addressed in the cEOR literature. Additionally, both extended and SAES surfactants are known to show excellent phase stability at high salinity conditions because of </w:t>
      </w:r>
      <w:r w:rsidRPr="009542F5">
        <w:lastRenderedPageBreak/>
        <w:t>their added polar groups such as propylene oxides (POs) and/ or ethylene oxides (POs)</w:t>
      </w:r>
      <w:r w:rsidRPr="009542F5">
        <w:fldChar w:fldCharType="begin"/>
      </w:r>
      <w:r w:rsidR="00332C11">
        <w:instrText xml:space="preserve"> ADDIN EN.CITE &lt;EndNote&gt;&lt;Cite&gt;&lt;Author&gt;Puerto&lt;/Author&gt;&lt;Year&gt;2012&lt;/Year&gt;&lt;RecNum&gt;31&lt;/RecNum&gt;&lt;DisplayText&gt;&lt;style face="superscript"&gt;11&lt;/style&gt;&lt;/DisplayText&gt;&lt;record&gt;&lt;rec-number&gt;31&lt;/rec-number&gt;&lt;foreign-keys&gt;&lt;key app="EN" db-id="a5zz9zdsp2tzdiedrdov0ztx9zwzps0patvs" timestamp="1424741471"&gt;31&lt;/key&gt;&lt;/foreign-keys&gt;&lt;ref-type name="Journal Article"&gt;17&lt;/ref-type&gt;&lt;contributors&gt;&lt;authors&gt;&lt;author&gt;Puerto, Maura&lt;/author&gt;&lt;author&gt;Hirasaki, George J&lt;/author&gt;&lt;author&gt;Miller, Clarence A&lt;/author&gt;&lt;author&gt;Barnes, Julian R&lt;/author&gt;&lt;/authors&gt;&lt;/contributors&gt;&lt;titles&gt;&lt;title&gt;Surfactant systems for EOR in high-temperature, high-salinity environments&lt;/title&gt;&lt;secondary-title&gt;SPE J&lt;/secondary-title&gt;&lt;/titles&gt;&lt;periodical&gt;&lt;full-title&gt;SPE J&lt;/full-title&gt;&lt;/periodical&gt;&lt;pages&gt;11-19&lt;/pages&gt;&lt;volume&gt;17&lt;/volume&gt;&lt;number&gt;1&lt;/number&gt;&lt;dates&gt;&lt;year&gt;2012&lt;/year&gt;&lt;/dates&gt;&lt;urls&gt;&lt;/urls&gt;&lt;/record&gt;&lt;/Cite&gt;&lt;/EndNote&gt;</w:instrText>
      </w:r>
      <w:r w:rsidRPr="009542F5">
        <w:fldChar w:fldCharType="separate"/>
      </w:r>
      <w:r w:rsidR="00332C11" w:rsidRPr="00332C11">
        <w:rPr>
          <w:noProof/>
          <w:vertAlign w:val="superscript"/>
        </w:rPr>
        <w:t>11</w:t>
      </w:r>
      <w:r w:rsidRPr="009542F5">
        <w:fldChar w:fldCharType="end"/>
      </w:r>
      <w:r w:rsidRPr="009542F5">
        <w:t>.</w:t>
      </w:r>
    </w:p>
    <w:p w:rsidR="009542F5" w:rsidRPr="009542F5" w:rsidRDefault="009542F5" w:rsidP="009542F5">
      <w:pPr>
        <w:numPr>
          <w:ilvl w:val="0"/>
          <w:numId w:val="8"/>
        </w:numPr>
        <w:jc w:val="both"/>
      </w:pPr>
      <w:r w:rsidRPr="009542F5">
        <w:t>To demonstrate the viability of the hydrophilic lipophilic deviation (HLD) method as a surfactant pre-screening tool for cEOR. The HLD method is derived based on thermodynamic conditions and takes into account multiple reservoir properties</w:t>
      </w:r>
      <w:r w:rsidRPr="009542F5">
        <w:fldChar w:fldCharType="begin"/>
      </w:r>
      <w:r w:rsidR="00332C11">
        <w:instrText xml:space="preserve"> ADDIN EN.CITE &lt;EndNote&gt;&lt;Cite&gt;&lt;Author&gt;Salager&lt;/Author&gt;&lt;Year&gt;1979&lt;/Year&gt;&lt;RecNum&gt;34&lt;/RecNum&gt;&lt;DisplayText&gt;&lt;style face="superscript"&gt;24&lt;/style&gt;&lt;/DisplayText&gt;&lt;record&gt;&lt;rec-number&gt;34&lt;/rec-number&gt;&lt;foreign-keys&gt;&lt;key app="EN" db-id="a5zz9zdsp2tzdiedrdov0ztx9zwzps0patvs" timestamp="1424741472"&gt;34&lt;/key&gt;&lt;/foreign-keys&gt;&lt;ref-type name="Journal Article"&gt;17&lt;/ref-type&gt;&lt;contributors&gt;&lt;authors&gt;&lt;author&gt;Salager, JL&lt;/author&gt;&lt;author&gt;Morgan, JC&lt;/author&gt;&lt;author&gt;Schechter, RS&lt;/author&gt;&lt;author&gt;Wade, WH&lt;/author&gt;&lt;author&gt;Vasquez, E&lt;/author&gt;&lt;/authors&gt;&lt;/contributors&gt;&lt;titles&gt;&lt;title&gt;Optimum formulation of surfactant/water/oil systems for minimum interfacial tension or phase behavior&lt;/title&gt;&lt;secondary-title&gt;Soc. Pet. Eng. J&lt;/secondary-title&gt;&lt;/titles&gt;&lt;periodical&gt;&lt;full-title&gt;Soc. Pet. Eng. J&lt;/full-title&gt;&lt;/periodical&gt;&lt;pages&gt;107-115&lt;/pages&gt;&lt;volume&gt;19&lt;/volume&gt;&lt;number&gt;2&lt;/number&gt;&lt;dates&gt;&lt;year&gt;1979&lt;/year&gt;&lt;/dates&gt;&lt;urls&gt;&lt;/urls&gt;&lt;/record&gt;&lt;/Cite&gt;&lt;/EndNote&gt;</w:instrText>
      </w:r>
      <w:r w:rsidRPr="009542F5">
        <w:fldChar w:fldCharType="separate"/>
      </w:r>
      <w:r w:rsidR="00332C11" w:rsidRPr="00332C11">
        <w:rPr>
          <w:noProof/>
          <w:vertAlign w:val="superscript"/>
        </w:rPr>
        <w:t>24</w:t>
      </w:r>
      <w:r w:rsidRPr="009542F5">
        <w:fldChar w:fldCharType="end"/>
      </w:r>
      <w:r w:rsidRPr="009542F5">
        <w:t>.</w:t>
      </w:r>
    </w:p>
    <w:p w:rsidR="009542F5" w:rsidRPr="009542F5" w:rsidRDefault="009542F5" w:rsidP="009542F5">
      <w:pPr>
        <w:numPr>
          <w:ilvl w:val="0"/>
          <w:numId w:val="8"/>
        </w:numPr>
        <w:jc w:val="both"/>
      </w:pPr>
      <w:r w:rsidRPr="009542F5">
        <w:t>To investigate the field feasibility of a laboratory-optimized surfactant formulation. Single well tracer tests</w:t>
      </w:r>
      <w:r w:rsidRPr="009542F5">
        <w:fldChar w:fldCharType="begin"/>
      </w:r>
      <w:r w:rsidR="00332C11">
        <w:instrText xml:space="preserve"> ADDIN EN.CITE &lt;EndNote&gt;&lt;Cite&gt;&lt;Author&gt;Deans&lt;/Author&gt;&lt;Year&gt;1986&lt;/Year&gt;&lt;RecNum&gt;133&lt;/RecNum&gt;&lt;DisplayText&gt;&lt;style face="superscript"&gt;25&lt;/style&gt;&lt;/DisplayText&gt;&lt;record&gt;&lt;rec-number&gt;133&lt;/rec-number&gt;&lt;foreign-keys&gt;&lt;key app="EN" db-id="a5zz9zdsp2tzdiedrdov0ztx9zwzps0patvs" timestamp="1436645855"&gt;133&lt;/key&gt;&lt;/foreign-keys&gt;&lt;ref-type name="Conference Proceedings"&gt;10&lt;/ref-type&gt;&lt;contributors&gt;&lt;authors&gt;&lt;author&gt;Deans, HA&lt;/author&gt;&lt;author&gt;Carlisle, CT&lt;/author&gt;&lt;/authors&gt;&lt;/contributors&gt;&lt;titles&gt;&lt;title&gt;Single-well tracer test in complex pore systems&lt;/title&gt;&lt;secondary-title&gt;SPE Enhanced Oil Recovery Symposium&lt;/secondary-title&gt;&lt;/titles&gt;&lt;dates&gt;&lt;year&gt;1986&lt;/year&gt;&lt;/dates&gt;&lt;publisher&gt;Society of Petroleum Engineers&lt;/publisher&gt;&lt;isbn&gt;1555636128&lt;/isbn&gt;&lt;urls&gt;&lt;/urls&gt;&lt;/record&gt;&lt;/Cite&gt;&lt;/EndNote&gt;</w:instrText>
      </w:r>
      <w:r w:rsidRPr="009542F5">
        <w:fldChar w:fldCharType="separate"/>
      </w:r>
      <w:r w:rsidR="00332C11" w:rsidRPr="00332C11">
        <w:rPr>
          <w:noProof/>
          <w:vertAlign w:val="superscript"/>
        </w:rPr>
        <w:t>25</w:t>
      </w:r>
      <w:r w:rsidRPr="009542F5">
        <w:fldChar w:fldCharType="end"/>
      </w:r>
      <w:r w:rsidRPr="009542F5">
        <w:t xml:space="preserve"> (SWTT) are carried out before and after surfactant injection to assess the oil displacement efficiency of the designed formulation.</w:t>
      </w:r>
    </w:p>
    <w:p w:rsidR="009542F5" w:rsidRPr="009542F5" w:rsidRDefault="009542F5" w:rsidP="009542F5">
      <w:pPr>
        <w:numPr>
          <w:ilvl w:val="0"/>
          <w:numId w:val="8"/>
        </w:numPr>
        <w:jc w:val="both"/>
      </w:pPr>
      <w:r w:rsidRPr="009542F5">
        <w:t>To test the effectiveness of negatively charged polyelectrolyte, polystyrene sulfonates (PSSs), in minimizing adsorption of anionic surfactant on Brea sandstone and</w:t>
      </w:r>
      <w:r w:rsidR="00AD3A47">
        <w:t xml:space="preserve"> Ottawa sand from </w:t>
      </w:r>
      <w:r w:rsidR="0097633A">
        <w:t>high</w:t>
      </w:r>
      <w:r w:rsidRPr="009542F5">
        <w:t xml:space="preserve"> TDS brine. Polyelectrolytes can alter surface charge when adsorbed on oppositely charged surfaces</w:t>
      </w:r>
      <w:r w:rsidRPr="009542F5">
        <w:fldChar w:fldCharType="begin"/>
      </w:r>
      <w:r w:rsidR="00332C11">
        <w:instrText xml:space="preserve"> ADDIN EN.CITE &lt;EndNote&gt;&lt;Cite&gt;&lt;Author&gt;Dobrynin&lt;/Author&gt;&lt;Year&gt;2000&lt;/Year&gt;&lt;RecNum&gt;134&lt;/RecNum&gt;&lt;DisplayText&gt;&lt;style face="superscript"&gt;26-27&lt;/style&gt;&lt;/DisplayText&gt;&lt;record&gt;&lt;rec-number&gt;134&lt;/rec-number&gt;&lt;foreign-keys&gt;&lt;key app="EN" db-id="a5zz9zdsp2tzdiedrdov0ztx9zwzps0patvs" timestamp="1436645924"&gt;134&lt;/key&gt;&lt;/foreign-keys&gt;&lt;ref-type name="Journal Article"&gt;17&lt;/ref-type&gt;&lt;contributors&gt;&lt;authors&gt;&lt;author&gt;Dobrynin, Andrey V&lt;/author&gt;&lt;author&gt;Deshkovski, Alexander&lt;/author&gt;&lt;author&gt;Rubinstein, Michael&lt;/author&gt;&lt;/authors&gt;&lt;/contributors&gt;&lt;titles&gt;&lt;title&gt;Adsorption of polyelectrolytes at an oppositely charged surface&lt;/title&gt;&lt;secondary-title&gt;Physical review letters&lt;/secondary-title&gt;&lt;/titles&gt;&lt;periodical&gt;&lt;full-title&gt;Physical review letters&lt;/full-title&gt;&lt;/periodical&gt;&lt;pages&gt;3101&lt;/pages&gt;&lt;volume&gt;84&lt;/volume&gt;&lt;number&gt;14&lt;/number&gt;&lt;dates&gt;&lt;year&gt;2000&lt;/year&gt;&lt;/dates&gt;&lt;urls&gt;&lt;/urls&gt;&lt;/record&gt;&lt;/Cite&gt;&lt;Cite&gt;&lt;Author&gt;Weston&lt;/Author&gt;&lt;Year&gt;2014&lt;/Year&gt;&lt;RecNum&gt;104&lt;/RecNum&gt;&lt;record&gt;&lt;rec-number&gt;104&lt;/rec-number&gt;&lt;foreign-keys&gt;&lt;key app="EN" db-id="a5zz9zdsp2tzdiedrdov0ztx9zwzps0patvs" timestamp="1434377442"&gt;104&lt;/key&gt;&lt;/foreign-keys&gt;&lt;ref-type name="Journal Article"&gt;17&lt;/ref-type&gt;&lt;contributors&gt;&lt;authors&gt;&lt;author&gt;Weston, Javen S&lt;/author&gt;&lt;author&gt;Harwell, Jeffrey H&lt;/author&gt;&lt;author&gt;Shiau, Benjamin J&lt;/author&gt;&lt;author&gt;Kabir, Mahfuz&lt;/author&gt;&lt;/authors&gt;&lt;/contributors&gt;&lt;titles&gt;&lt;title&gt;Disrupting admicelle formation and preventing surfactant adsorption on metal oxide surfaces using sacrificial polyelectrolytes&lt;/title&gt;&lt;secondary-title&gt;Langmuir&lt;/secondary-title&gt;&lt;/titles&gt;&lt;periodical&gt;&lt;full-title&gt;Langmuir&lt;/full-title&gt;&lt;/periodical&gt;&lt;pages&gt;6384-6388&lt;/pages&gt;&lt;volume&gt;30&lt;/volume&gt;&lt;number&gt;22&lt;/number&gt;&lt;dates&gt;&lt;year&gt;2014&lt;/year&gt;&lt;/dates&gt;&lt;isbn&gt;0743-7463&lt;/isbn&gt;&lt;urls&gt;&lt;/urls&gt;&lt;/record&gt;&lt;/Cite&gt;&lt;/EndNote&gt;</w:instrText>
      </w:r>
      <w:r w:rsidRPr="009542F5">
        <w:fldChar w:fldCharType="separate"/>
      </w:r>
      <w:r w:rsidR="00332C11" w:rsidRPr="00332C11">
        <w:rPr>
          <w:noProof/>
          <w:vertAlign w:val="superscript"/>
        </w:rPr>
        <w:t>26-27</w:t>
      </w:r>
      <w:r w:rsidRPr="009542F5">
        <w:fldChar w:fldCharType="end"/>
      </w:r>
      <w:r w:rsidRPr="009542F5">
        <w:t xml:space="preserve">, such as clay surfaces. </w:t>
      </w:r>
    </w:p>
    <w:p w:rsidR="009542F5" w:rsidRPr="009542F5" w:rsidRDefault="009542F5" w:rsidP="009542F5">
      <w:pPr>
        <w:ind w:firstLine="720"/>
        <w:jc w:val="both"/>
      </w:pPr>
      <w:r w:rsidRPr="009542F5">
        <w:t>The following three chapters discuss the results of this study. These chapters have either been submitted or will be submitted for publication in peer-review journals, and are presented here as word for word replication of their journal submitted forms. The topics of these chapter</w:t>
      </w:r>
      <w:r>
        <w:t>s</w:t>
      </w:r>
      <w:r w:rsidRPr="009542F5">
        <w:t xml:space="preserve"> and the journals where these chapters are submitted or will be submitted are listed below: </w:t>
      </w:r>
    </w:p>
    <w:p w:rsidR="009542F5" w:rsidRPr="009542F5" w:rsidRDefault="009542F5" w:rsidP="009542F5">
      <w:pPr>
        <w:numPr>
          <w:ilvl w:val="0"/>
          <w:numId w:val="10"/>
        </w:numPr>
        <w:jc w:val="both"/>
        <w:rPr>
          <w:lang w:bidi="en-US"/>
        </w:rPr>
      </w:pPr>
      <w:r w:rsidRPr="009542F5">
        <w:rPr>
          <w:b/>
        </w:rPr>
        <w:t>Chapter 2:</w:t>
      </w:r>
      <w:r w:rsidRPr="009542F5">
        <w:t xml:space="preserve"> </w:t>
      </w:r>
      <w:r>
        <w:t>“</w:t>
      </w:r>
      <w:r w:rsidRPr="009542F5">
        <w:rPr>
          <w:bCs/>
          <w:lang w:bidi="en-US"/>
        </w:rPr>
        <w:t xml:space="preserve">Design of an Optimal Middle Phase Microemulsion for Ultra High Saline Brine using Hydrophilic Lipophilic Deviation (HLD) </w:t>
      </w:r>
      <w:r w:rsidRPr="009542F5">
        <w:rPr>
          <w:bCs/>
          <w:lang w:bidi="en-US"/>
        </w:rPr>
        <w:lastRenderedPageBreak/>
        <w:t>Method</w:t>
      </w:r>
      <w:r>
        <w:rPr>
          <w:bCs/>
          <w:lang w:bidi="en-US"/>
        </w:rPr>
        <w:t>”. Submitted to “</w:t>
      </w:r>
      <w:r w:rsidRPr="009542F5">
        <w:rPr>
          <w:bCs/>
          <w:i/>
          <w:lang w:bidi="en-US"/>
        </w:rPr>
        <w:t xml:space="preserve">Colloid and Surfaces A: </w:t>
      </w:r>
      <w:r w:rsidRPr="009542F5">
        <w:rPr>
          <w:i/>
          <w:lang w:bidi="en-US"/>
        </w:rPr>
        <w:t>Physicochemical and Engineering Aspects</w:t>
      </w:r>
      <w:r>
        <w:rPr>
          <w:lang w:bidi="en-US"/>
        </w:rPr>
        <w:t>”</w:t>
      </w:r>
    </w:p>
    <w:p w:rsidR="009542F5" w:rsidRPr="009542F5" w:rsidRDefault="009542F5" w:rsidP="009542F5">
      <w:pPr>
        <w:numPr>
          <w:ilvl w:val="0"/>
          <w:numId w:val="10"/>
        </w:numPr>
        <w:jc w:val="both"/>
      </w:pPr>
      <w:r w:rsidRPr="009542F5">
        <w:rPr>
          <w:b/>
        </w:rPr>
        <w:t xml:space="preserve">Chapter 3: </w:t>
      </w:r>
      <w:r>
        <w:t>Single W</w:t>
      </w:r>
      <w:r w:rsidRPr="009542F5">
        <w:t>ell</w:t>
      </w:r>
      <w:r>
        <w:rPr>
          <w:b/>
        </w:rPr>
        <w:t xml:space="preserve"> </w:t>
      </w:r>
      <w:r>
        <w:t xml:space="preserve">Field Feasibility of Surfactant-Only Flooding in Extreme Saline Brine Reservoir. Will be submitted to </w:t>
      </w:r>
      <w:r w:rsidRPr="009542F5">
        <w:rPr>
          <w:i/>
        </w:rPr>
        <w:t>“Journal of Petroleum Science and Engineering”</w:t>
      </w:r>
      <w:r>
        <w:t xml:space="preserve"> </w:t>
      </w:r>
    </w:p>
    <w:p w:rsidR="009542F5" w:rsidRPr="009542F5" w:rsidRDefault="009542F5" w:rsidP="009542F5">
      <w:pPr>
        <w:numPr>
          <w:ilvl w:val="0"/>
          <w:numId w:val="10"/>
        </w:numPr>
        <w:jc w:val="both"/>
        <w:rPr>
          <w:lang w:bidi="en-US"/>
        </w:rPr>
      </w:pPr>
      <w:r w:rsidRPr="009542F5">
        <w:rPr>
          <w:b/>
        </w:rPr>
        <w:t>Chapter 4:</w:t>
      </w:r>
      <w:r w:rsidRPr="009542F5">
        <w:t xml:space="preserve"> </w:t>
      </w:r>
      <w:r>
        <w:t>“</w:t>
      </w:r>
      <w:r w:rsidRPr="009542F5">
        <w:t xml:space="preserve">Improved Oil Recovery by </w:t>
      </w:r>
      <w:r>
        <w:t>Reducing Surfactant Adsorption w</w:t>
      </w:r>
      <w:r w:rsidRPr="009542F5">
        <w:t xml:space="preserve">ith Polyelectrolyte in </w:t>
      </w:r>
      <w:r>
        <w:t xml:space="preserve">High Saline Brine”. Will be submitted to </w:t>
      </w:r>
      <w:r w:rsidRPr="009542F5">
        <w:rPr>
          <w:bCs/>
          <w:lang w:bidi="en-US"/>
        </w:rPr>
        <w:t>“</w:t>
      </w:r>
      <w:r w:rsidRPr="009542F5">
        <w:rPr>
          <w:bCs/>
          <w:i/>
          <w:lang w:bidi="en-US"/>
        </w:rPr>
        <w:t xml:space="preserve">Colloid and Surfaces A: </w:t>
      </w:r>
      <w:r w:rsidRPr="009542F5">
        <w:rPr>
          <w:i/>
          <w:lang w:bidi="en-US"/>
        </w:rPr>
        <w:t>Physicochemical and Engineering Aspects</w:t>
      </w:r>
      <w:r w:rsidRPr="009542F5">
        <w:rPr>
          <w:lang w:bidi="en-US"/>
        </w:rPr>
        <w:t>”</w:t>
      </w:r>
    </w:p>
    <w:p w:rsidR="00407F03" w:rsidRPr="009542F5" w:rsidRDefault="00407F03" w:rsidP="009542F5">
      <w:pPr>
        <w:ind w:left="1500"/>
        <w:jc w:val="both"/>
      </w:pPr>
    </w:p>
    <w:p w:rsidR="00392A9D" w:rsidRDefault="00392A9D" w:rsidP="00AD5554">
      <w:pPr>
        <w:ind w:firstLine="720"/>
        <w:jc w:val="both"/>
      </w:pPr>
    </w:p>
    <w:p w:rsidR="004573A1" w:rsidRDefault="004573A1" w:rsidP="00AD5554">
      <w:pPr>
        <w:ind w:firstLine="720"/>
        <w:jc w:val="both"/>
        <w:sectPr w:rsidR="004573A1" w:rsidSect="00DA1971">
          <w:footerReference w:type="default" r:id="rId40"/>
          <w:pgSz w:w="12240" w:h="15840" w:code="1"/>
          <w:pgMar w:top="1440" w:right="1440" w:bottom="1440" w:left="2304" w:header="720" w:footer="720" w:gutter="0"/>
          <w:pgNumType w:start="1"/>
          <w:cols w:space="720"/>
          <w:docGrid w:linePitch="360"/>
        </w:sectPr>
      </w:pPr>
    </w:p>
    <w:p w:rsidR="0052566C" w:rsidRPr="00FD5E90" w:rsidRDefault="0052566C" w:rsidP="004511BE">
      <w:pPr>
        <w:pStyle w:val="Heading1"/>
        <w:rPr>
          <w:i/>
        </w:rPr>
      </w:pPr>
      <w:bookmarkStart w:id="10" w:name="_Toc426374007"/>
      <w:r w:rsidRPr="009B0C46">
        <w:rPr>
          <w:rFonts w:asciiTheme="minorHAnsi" w:hAnsiTheme="minorHAnsi"/>
          <w:szCs w:val="24"/>
        </w:rPr>
        <w:lastRenderedPageBreak/>
        <w:t xml:space="preserve">CHAPTER </w:t>
      </w:r>
      <w:r w:rsidRPr="009B0C46">
        <w:t>2</w:t>
      </w:r>
      <w:r w:rsidRPr="009B0C46">
        <w:rPr>
          <w:rFonts w:asciiTheme="minorHAnsi" w:hAnsiTheme="minorHAnsi"/>
          <w:szCs w:val="24"/>
        </w:rPr>
        <w:t>:</w:t>
      </w:r>
      <w:r w:rsidR="009B0C46" w:rsidRPr="009B0C46">
        <w:t xml:space="preserve"> Design of an Optimal Middle Phase Microemulsion for Ultra High Saline Brine using Hydrophilic Lipophilic Deviation (HLD) Method</w:t>
      </w:r>
      <w:bookmarkEnd w:id="10"/>
      <w:r w:rsidRPr="0052566C">
        <w:t xml:space="preserve"> </w:t>
      </w:r>
    </w:p>
    <w:p w:rsidR="00AD5554" w:rsidRDefault="002B39E5" w:rsidP="00C47C5C">
      <w:pPr>
        <w:pStyle w:val="Heading2"/>
      </w:pPr>
      <w:bookmarkStart w:id="11" w:name="_Toc426374008"/>
      <w:r>
        <w:t>Introduction</w:t>
      </w:r>
      <w:bookmarkEnd w:id="11"/>
    </w:p>
    <w:p w:rsidR="00E40E81" w:rsidRPr="00E40E81" w:rsidRDefault="00E40E81" w:rsidP="00E40E81">
      <w:pPr>
        <w:jc w:val="both"/>
      </w:pPr>
      <w:r w:rsidRPr="00E40E81">
        <w:t>The importance of the middle phase microemulsion and its relation to ultra-low interfacial tension and chemical enhanced oil recovery (cEOR) is well understood</w:t>
      </w:r>
      <w:r w:rsidRPr="00E40E81">
        <w:fldChar w:fldCharType="begin"/>
      </w:r>
      <w:r w:rsidR="00332C11">
        <w:instrText xml:space="preserve"> ADDIN EN.CITE &lt;EndNote&gt;&lt;Cite&gt;&lt;Author&gt;Salager&lt;/Author&gt;&lt;Year&gt;2013&lt;/Year&gt;&lt;RecNum&gt;78&lt;/RecNum&gt;&lt;DisplayText&gt;&lt;style face="superscript"&gt;28-29&lt;/style&gt;&lt;/DisplayText&gt;&lt;record&gt;&lt;rec-number&gt;78&lt;/rec-number&gt;&lt;foreign-keys&gt;&lt;key app="EN" db-id="a5zz9zdsp2tzdiedrdov0ztx9zwzps0patvs" timestamp="1425610894"&gt;78&lt;/key&gt;&lt;/foreign-keys&gt;&lt;ref-type name="Journal Article"&gt;17&lt;/ref-type&gt;&lt;contributors&gt;&lt;authors&gt;&lt;author&gt;Salager, Jean-Louis&lt;/author&gt;&lt;author&gt;Forgiarini, Ana M&lt;/author&gt;&lt;author&gt;Bullón, Johnny&lt;/author&gt;&lt;/authors&gt;&lt;/contributors&gt;&lt;titles&gt;&lt;title&gt;How to attain ultralow interfacial tension and three-phase behavior with surfactant formulation for enhanced oil recovery: a review. Part 1. Optimum formulation for simple surfactant–oil–water ternary systems&lt;/title&gt;&lt;secondary-title&gt;Journal of Surfactants and Detergents&lt;/secondary-title&gt;&lt;/titles&gt;&lt;periodical&gt;&lt;full-title&gt;Journal of Surfactants and Detergents&lt;/full-title&gt;&lt;/periodical&gt;&lt;pages&gt;449-472&lt;/pages&gt;&lt;volume&gt;16&lt;/volume&gt;&lt;number&gt;4&lt;/number&gt;&lt;dates&gt;&lt;year&gt;2013&lt;/year&gt;&lt;/dates&gt;&lt;isbn&gt;1097-3958&lt;/isbn&gt;&lt;urls&gt;&lt;/urls&gt;&lt;/record&gt;&lt;/Cite&gt;&lt;Cite&gt;&lt;Author&gt;Salager&lt;/Author&gt;&lt;Year&gt;2005&lt;/Year&gt;&lt;RecNum&gt;77&lt;/RecNum&gt;&lt;record&gt;&lt;rec-number&gt;77&lt;/rec-number&gt;&lt;foreign-keys&gt;&lt;key app="EN" db-id="a5zz9zdsp2tzdiedrdov0ztx9zwzps0patvs" timestamp="1425610674"&gt;77&lt;/key&gt;&lt;/foreign-keys&gt;&lt;ref-type name="Journal Article"&gt;17&lt;/ref-type&gt;&lt;contributors&gt;&lt;authors&gt;&lt;author&gt;Salager, Jean-Louis&lt;/author&gt;&lt;author&gt;Antón, Raquel E&lt;/author&gt;&lt;author&gt;Sabatini, David A&lt;/author&gt;&lt;author&gt;Harwell, Jeffrey H&lt;/author&gt;&lt;author&gt;Acosta, Edgar J&lt;/author&gt;&lt;author&gt;Tolosa, Laura I&lt;/author&gt;&lt;/authors&gt;&lt;/contributors&gt;&lt;titles&gt;&lt;title&gt;Enhancing solubilization in microemulsions—state of the art and current trends&lt;/title&gt;&lt;secondary-title&gt;Journal of surfactants and detergents&lt;/secondary-title&gt;&lt;/titles&gt;&lt;periodical&gt;&lt;full-title&gt;Journal of Surfactants and Detergents&lt;/full-title&gt;&lt;/periodical&gt;&lt;pages&gt;3-21&lt;/pages&gt;&lt;volume&gt;8&lt;/volume&gt;&lt;number&gt;1&lt;/number&gt;&lt;dates&gt;&lt;year&gt;2005&lt;/year&gt;&lt;/dates&gt;&lt;isbn&gt;1097-3958&lt;/isbn&gt;&lt;urls&gt;&lt;/urls&gt;&lt;/record&gt;&lt;/Cite&gt;&lt;/EndNote&gt;</w:instrText>
      </w:r>
      <w:r w:rsidRPr="00E40E81">
        <w:fldChar w:fldCharType="separate"/>
      </w:r>
      <w:r w:rsidR="00332C11" w:rsidRPr="00332C11">
        <w:rPr>
          <w:noProof/>
          <w:vertAlign w:val="superscript"/>
        </w:rPr>
        <w:t>28-29</w:t>
      </w:r>
      <w:r w:rsidRPr="00E40E81">
        <w:fldChar w:fldCharType="end"/>
      </w:r>
      <w:r w:rsidRPr="00E40E81">
        <w:t>. Many researchers have extensively studied this area and have developed surfactants that can produce this type of microemulsion at different reservoir conditions</w:t>
      </w:r>
      <w:r w:rsidRPr="00E40E81">
        <w:fldChar w:fldCharType="begin"/>
      </w:r>
      <w:r w:rsidR="00332C11">
        <w:instrText xml:space="preserve"> ADDIN EN.CITE &lt;EndNote&gt;&lt;Cite&gt;&lt;Author&gt;Puerto&lt;/Author&gt;&lt;Year&gt;2014&lt;/Year&gt;&lt;RecNum&gt;81&lt;/RecNum&gt;&lt;DisplayText&gt;&lt;style face="superscript"&gt;17, 30&lt;/style&gt;&lt;/DisplayText&gt;&lt;record&gt;&lt;rec-number&gt;81&lt;/rec-number&gt;&lt;foreign-keys&gt;&lt;key app="EN" db-id="a5zz9zdsp2tzdiedrdov0ztx9zwzps0patvs" timestamp="1428963320"&gt;81&lt;/key&gt;&lt;/foreign-keys&gt;&lt;ref-type name="Conference Proceedings"&gt;10&lt;/ref-type&gt;&lt;contributors&gt;&lt;authors&gt;&lt;author&gt;Puerto, Maura C&lt;/author&gt;&lt;author&gt;Hirasaki, George J&lt;/author&gt;&lt;author&gt;Miller, Clarence A&lt;/author&gt;&lt;author&gt;Reznik, Carmen&lt;/author&gt;&lt;author&gt;Dubey, Sheila&lt;/author&gt;&lt;author&gt;Barnes, Julian R&lt;/author&gt;&lt;author&gt;vanKuijk, Sjoerd&lt;/author&gt;&lt;/authors&gt;&lt;/contributors&gt;&lt;titles&gt;&lt;title&gt;Effects of Hardness and Cosurfactant on Phase Behavior of Alcohol-free Alkyl Propoxylated Sulfate Systems&lt;/title&gt;&lt;secondary-title&gt;SPE Improved Oil Recovery Symposium&lt;/secondary-title&gt;&lt;/titles&gt;&lt;dates&gt;&lt;year&gt;2014&lt;/year&gt;&lt;/dates&gt;&lt;publisher&gt;Society of Petroleum Engineers&lt;/publisher&gt;&lt;isbn&gt;1613993099&lt;/isbn&gt;&lt;urls&gt;&lt;/urls&gt;&lt;/record&gt;&lt;/Cite&gt;&lt;Cite&gt;&lt;Author&gt;Chiu&lt;/Author&gt;&lt;Year&gt;1987&lt;/Year&gt;&lt;RecNum&gt;103&lt;/RecNum&gt;&lt;record&gt;&lt;rec-number&gt;103&lt;/rec-number&gt;&lt;foreign-keys&gt;&lt;key app="EN" db-id="a5zz9zdsp2tzdiedrdov0ztx9zwzps0patvs" timestamp="1432869714"&gt;103&lt;/key&gt;&lt;/foreign-keys&gt;&lt;ref-type name="Journal Article"&gt;17&lt;/ref-type&gt;&lt;contributors&gt;&lt;authors&gt;&lt;author&gt;Chiu, YC&lt;/author&gt;&lt;author&gt;Hwang, HJ&lt;/author&gt;&lt;/authors&gt;&lt;/contributors&gt;&lt;titles&gt;&lt;title&gt;The use of carboxymethyl ethoxylates in enhanced oil recovery&lt;/title&gt;&lt;secondary-title&gt;Colloids and surfaces&lt;/secondary-title&gt;&lt;/titles&gt;&lt;periodical&gt;&lt;full-title&gt;Colloids and surfaces&lt;/full-title&gt;&lt;/periodical&gt;&lt;pages&gt;53-65&lt;/pages&gt;&lt;volume&gt;28&lt;/volume&gt;&lt;dates&gt;&lt;year&gt;1987&lt;/year&gt;&lt;/dates&gt;&lt;isbn&gt;0166-6622&lt;/isbn&gt;&lt;urls&gt;&lt;/urls&gt;&lt;/record&gt;&lt;/Cite&gt;&lt;/EndNote&gt;</w:instrText>
      </w:r>
      <w:r w:rsidRPr="00E40E81">
        <w:fldChar w:fldCharType="separate"/>
      </w:r>
      <w:r w:rsidR="00332C11" w:rsidRPr="00332C11">
        <w:rPr>
          <w:noProof/>
          <w:vertAlign w:val="superscript"/>
        </w:rPr>
        <w:t>17, 30</w:t>
      </w:r>
      <w:r w:rsidRPr="00E40E81">
        <w:fldChar w:fldCharType="end"/>
      </w:r>
      <w:r w:rsidRPr="00E40E81">
        <w:t>. However, developing a surfactant formulation for sandstone reservoirs containing high total dissolved solids (TDS) brine (&gt;200,000 ppm) is a challenging task. Shown in Figure 1 is the effect of high TDS on homogeneous single phase surfactant solution. The presence of monovalent and divalent cations, such as Na</w:t>
      </w:r>
      <w:r w:rsidRPr="00E40E81">
        <w:rPr>
          <w:vertAlign w:val="superscript"/>
        </w:rPr>
        <w:t>+</w:t>
      </w:r>
      <w:r w:rsidRPr="00E40E81">
        <w:t>, K</w:t>
      </w:r>
      <w:r w:rsidRPr="00E40E81">
        <w:rPr>
          <w:vertAlign w:val="superscript"/>
        </w:rPr>
        <w:t>+</w:t>
      </w:r>
      <w:r w:rsidRPr="00E40E81">
        <w:t>, Ca</w:t>
      </w:r>
      <w:r w:rsidRPr="00E40E81">
        <w:rPr>
          <w:vertAlign w:val="superscript"/>
        </w:rPr>
        <w:t>++</w:t>
      </w:r>
      <w:r w:rsidRPr="00E40E81">
        <w:t>, and Mg</w:t>
      </w:r>
      <w:r w:rsidRPr="00E40E81">
        <w:rPr>
          <w:vertAlign w:val="superscript"/>
        </w:rPr>
        <w:t>++</w:t>
      </w:r>
      <w:r w:rsidRPr="00E40E81">
        <w:t>, in the reservoir brine creates an unsuitable environment for the anionic surfactant by inducing surfactant precipitation or a two phase aqueous micellar solution</w:t>
      </w:r>
      <w:r w:rsidRPr="00E40E81">
        <w:fldChar w:fldCharType="begin"/>
      </w:r>
      <w:r w:rsidR="00332C11">
        <w:instrText xml:space="preserve"> ADDIN EN.CITE &lt;EndNote&gt;&lt;Cite&gt;&lt;Author&gt;Bansal&lt;/Author&gt;&lt;Year&gt;1978&lt;/Year&gt;&lt;RecNum&gt;4&lt;/RecNum&gt;&lt;DisplayText&gt;&lt;style face="superscript"&gt;14-15&lt;/style&gt;&lt;/DisplayText&gt;&lt;record&gt;&lt;rec-number&gt;4&lt;/rec-number&gt;&lt;foreign-keys&gt;&lt;key app="EN" db-id="a5zz9zdsp2tzdiedrdov0ztx9zwzps0patvs" timestamp="1424741048"&gt;4&lt;/key&gt;&lt;/foreign-keys&gt;&lt;ref-type name="Journal Article"&gt;17&lt;/ref-type&gt;&lt;contributors&gt;&lt;authors&gt;&lt;author&gt;Bansal, VK&lt;/author&gt;&lt;author&gt;Shah, DO&lt;/author&gt;&lt;/authors&gt;&lt;/contributors&gt;&lt;titles&gt;&lt;title&gt;The effect of divalent cations (Ca++ and Mg++) on the optimal salinity and salt tolerance of petroleum sulfonate and ethoxylated sulfonate mixtures in relation to improved oil recovery&lt;/title&gt;&lt;secondary-title&gt;Journal of the American Oil Chemists’ Society&lt;/secondary-title&gt;&lt;/titles&gt;&lt;periodical&gt;&lt;full-title&gt;Journal of the American Oil Chemists’ Society&lt;/full-title&gt;&lt;/periodical&gt;&lt;pages&gt;367-370&lt;/pages&gt;&lt;volume&gt;55&lt;/volume&gt;&lt;number&gt;3&lt;/number&gt;&lt;dates&gt;&lt;year&gt;1978&lt;/year&gt;&lt;/dates&gt;&lt;isbn&gt;0003-021X&lt;/isbn&gt;&lt;urls&gt;&lt;/urls&gt;&lt;/record&gt;&lt;/Cite&gt;&lt;Cite&gt;&lt;Author&gt;Noïk&lt;/Author&gt;&lt;Year&gt;1987&lt;/Year&gt;&lt;RecNum&gt;29&lt;/RecNum&gt;&lt;record&gt;&lt;rec-number&gt;29&lt;/rec-number&gt;&lt;foreign-keys&gt;&lt;key app="EN" db-id="a5zz9zdsp2tzdiedrdov0ztx9zwzps0patvs" timestamp="1424741471"&gt;29&lt;/key&gt;&lt;/foreign-keys&gt;&lt;ref-type name="Journal Article"&gt;17&lt;/ref-type&gt;&lt;contributors&gt;&lt;authors&gt;&lt;author&gt;Noïk, Christine&lt;/author&gt;&lt;author&gt;Bavière, Marc&lt;/author&gt;&lt;author&gt;Defives, Daniel&lt;/author&gt;&lt;/authors&gt;&lt;/contributors&gt;&lt;titles&gt;&lt;title&gt;Anionic surfactant precipitation in hard water&lt;/title&gt;&lt;secondary-title&gt;Journal of colloid and interface science&lt;/secondary-title&gt;&lt;/titles&gt;&lt;periodical&gt;&lt;full-title&gt;Journal of colloid and interface science&lt;/full-title&gt;&lt;/periodical&gt;&lt;pages&gt;36-45&lt;/pages&gt;&lt;volume&gt;115&lt;/volume&gt;&lt;number&gt;1&lt;/number&gt;&lt;dates&gt;&lt;year&gt;1987&lt;/year&gt;&lt;/dates&gt;&lt;isbn&gt;0021-9797&lt;/isbn&gt;&lt;urls&gt;&lt;/urls&gt;&lt;/record&gt;&lt;/Cite&gt;&lt;/EndNote&gt;</w:instrText>
      </w:r>
      <w:r w:rsidRPr="00E40E81">
        <w:fldChar w:fldCharType="separate"/>
      </w:r>
      <w:r w:rsidR="00332C11" w:rsidRPr="00332C11">
        <w:rPr>
          <w:noProof/>
          <w:vertAlign w:val="superscript"/>
        </w:rPr>
        <w:t>14-15</w:t>
      </w:r>
      <w:r w:rsidRPr="00E40E81">
        <w:fldChar w:fldCharType="end"/>
      </w:r>
      <w:r w:rsidRPr="00E40E81">
        <w:t>. Surfactant precipitation is the most common problem encountered at high TDS conditions. The counter-ions present in the aqueous solution may result in surfactant precipitation</w:t>
      </w:r>
      <w:r w:rsidRPr="00E40E81">
        <w:fldChar w:fldCharType="begin"/>
      </w:r>
      <w:r w:rsidR="00332C11">
        <w:instrText xml:space="preserve"> ADDIN EN.CITE &lt;EndNote&gt;&lt;Cite&gt;&lt;Author&gt;Stellner&lt;/Author&gt;&lt;Year&gt;1989&lt;/Year&gt;&lt;RecNum&gt;39&lt;/RecNum&gt;&lt;DisplayText&gt;&lt;style face="superscript"&gt;31&lt;/style&gt;&lt;/DisplayText&gt;&lt;record&gt;&lt;rec-number&gt;39&lt;/rec-number&gt;&lt;foreign-keys&gt;&lt;key app="EN" db-id="a5zz9zdsp2tzdiedrdov0ztx9zwzps0patvs" timestamp="1424741473"&gt;39&lt;/key&gt;&lt;/foreign-keys&gt;&lt;ref-type name="Journal Article"&gt;17&lt;/ref-type&gt;&lt;contributors&gt;&lt;authors&gt;&lt;author&gt;Stellner, Kevin L&lt;/author&gt;&lt;author&gt;Scamehorn, John F&lt;/author&gt;&lt;/authors&gt;&lt;/contributors&gt;&lt;titles&gt;&lt;title&gt;Hardness tolerance of anionic surfactant solutions. 2. Effect of added nonionic surfactant&lt;/title&gt;&lt;secondary-title&gt;Langmuir&lt;/secondary-title&gt;&lt;/titles&gt;&lt;periodical&gt;&lt;full-title&gt;Langmuir&lt;/full-title&gt;&lt;/periodical&gt;&lt;pages&gt;77-84&lt;/pages&gt;&lt;volume&gt;5&lt;/volume&gt;&lt;number&gt;1&lt;/number&gt;&lt;dates&gt;&lt;year&gt;1989&lt;/year&gt;&lt;/dates&gt;&lt;isbn&gt;0743-7463&lt;/isbn&gt;&lt;urls&gt;&lt;/urls&gt;&lt;/record&gt;&lt;/Cite&gt;&lt;/EndNote&gt;</w:instrText>
      </w:r>
      <w:r w:rsidRPr="00E40E81">
        <w:fldChar w:fldCharType="separate"/>
      </w:r>
      <w:r w:rsidR="00332C11" w:rsidRPr="00332C11">
        <w:rPr>
          <w:noProof/>
          <w:vertAlign w:val="superscript"/>
        </w:rPr>
        <w:t>31</w:t>
      </w:r>
      <w:r w:rsidRPr="00E40E81">
        <w:fldChar w:fldCharType="end"/>
      </w:r>
      <w:r w:rsidRPr="00E40E81">
        <w:t>. This situation can be exacerbated in the presence of a high concentration of divalent cations making it completely ineffective for cEOR application. The salting out of micelles or the formation of two phase aqueous micellar solution having both micelle rich and micelle poor phases can also be encountered at high salinity conditions</w:t>
      </w:r>
      <w:r w:rsidRPr="00E40E81">
        <w:fldChar w:fldCharType="begin"/>
      </w:r>
      <w:r w:rsidR="00332C11">
        <w:instrText xml:space="preserve"> ADDIN EN.CITE &lt;EndNote&gt;&lt;Cite&gt;&lt;Author&gt;Cacace&lt;/Author&gt;&lt;Year&gt;1997&lt;/Year&gt;&lt;RecNum&gt;59&lt;/RecNum&gt;&lt;DisplayText&gt;&lt;style face="superscript"&gt;32&lt;/style&gt;&lt;/DisplayText&gt;&lt;record&gt;&lt;rec-number&gt;59&lt;/rec-number&gt;&lt;foreign-keys&gt;&lt;key app="EN" db-id="a5zz9zdsp2tzdiedrdov0ztx9zwzps0patvs" timestamp="1425595017"&gt;59&lt;/key&gt;&lt;/foreign-keys&gt;&lt;ref-type name="Journal Article"&gt;17&lt;/ref-type&gt;&lt;contributors&gt;&lt;authors&gt;&lt;author&gt;Cacace, MG&lt;/author&gt;&lt;author&gt;Landau, EM&lt;/author&gt;&lt;author&gt;Ramsden, JJ&lt;/author&gt;&lt;/authors&gt;&lt;/contributors&gt;&lt;titles&gt;&lt;title&gt;The Hofmeister series: salt and solvent effects on interfacial phenomena&lt;/title&gt;&lt;secondary-title&gt;Quarterly reviews of biophysics&lt;/secondary-title&gt;&lt;/titles&gt;&lt;periodical&gt;&lt;full-title&gt;Quarterly reviews of biophysics&lt;/full-title&gt;&lt;/periodical&gt;&lt;pages&gt;241-277&lt;/pages&gt;&lt;volume&gt;30&lt;/volume&gt;&lt;number&gt;03&lt;/number&gt;&lt;dates&gt;&lt;year&gt;1997&lt;/year&gt;&lt;/dates&gt;&lt;isbn&gt;1469-8994&lt;/isbn&gt;&lt;urls&gt;&lt;/urls&gt;&lt;/record&gt;&lt;/Cite&gt;&lt;/EndNote&gt;</w:instrText>
      </w:r>
      <w:r w:rsidRPr="00E40E81">
        <w:fldChar w:fldCharType="separate"/>
      </w:r>
      <w:r w:rsidR="00332C11" w:rsidRPr="00332C11">
        <w:rPr>
          <w:noProof/>
          <w:vertAlign w:val="superscript"/>
        </w:rPr>
        <w:t>32</w:t>
      </w:r>
      <w:r w:rsidRPr="00E40E81">
        <w:fldChar w:fldCharType="end"/>
      </w:r>
      <w:r w:rsidRPr="00E40E81">
        <w:t>. Even though, at such condition, the surfactants are soluble in brine, it is highly undesirable for cEOR as it increases the IFT of the oil-water interface.</w:t>
      </w:r>
    </w:p>
    <w:p w:rsidR="00E40E81" w:rsidRDefault="00E40E81" w:rsidP="00E40E81">
      <w:pPr>
        <w:jc w:val="both"/>
      </w:pPr>
      <w:r w:rsidRPr="00E40E81">
        <w:t>In recent years, surfactant formulations for high TDS brine are gaining popularity among industries because of growing onshore and offshore cEOR opportunities</w:t>
      </w:r>
      <w:r w:rsidRPr="00E40E81">
        <w:fldChar w:fldCharType="begin"/>
      </w:r>
      <w:r w:rsidR="00332C11">
        <w:instrText xml:space="preserve"> ADDIN EN.CITE &lt;EndNote&gt;&lt;Cite&gt;&lt;Author&gt;Puerto&lt;/Author&gt;&lt;Year&gt;2014&lt;/Year&gt;&lt;RecNum&gt;81&lt;/RecNum&gt;&lt;DisplayText&gt;&lt;style face="superscript"&gt;17&lt;/style&gt;&lt;/DisplayText&gt;&lt;record&gt;&lt;rec-number&gt;81&lt;/rec-number&gt;&lt;foreign-keys&gt;&lt;key app="EN" db-id="a5zz9zdsp2tzdiedrdov0ztx9zwzps0patvs" timestamp="1428963320"&gt;81&lt;/key&gt;&lt;/foreign-keys&gt;&lt;ref-type name="Conference Proceedings"&gt;10&lt;/ref-type&gt;&lt;contributors&gt;&lt;authors&gt;&lt;author&gt;Puerto, Maura C&lt;/author&gt;&lt;author&gt;Hirasaki, George J&lt;/author&gt;&lt;author&gt;Miller, Clarence A&lt;/author&gt;&lt;author&gt;Reznik, Carmen&lt;/author&gt;&lt;author&gt;Dubey, Sheila&lt;/author&gt;&lt;author&gt;Barnes, Julian R&lt;/author&gt;&lt;author&gt;vanKuijk, Sjoerd&lt;/author&gt;&lt;/authors&gt;&lt;/contributors&gt;&lt;titles&gt;&lt;title&gt;Effects of Hardness and Cosurfactant on Phase Behavior of Alcohol-free Alkyl Propoxylated Sulfate Systems&lt;/title&gt;&lt;secondary-title&gt;SPE Improved Oil Recovery Symposium&lt;/secondary-title&gt;&lt;/titles&gt;&lt;dates&gt;&lt;year&gt;2014&lt;/year&gt;&lt;/dates&gt;&lt;publisher&gt;Society of Petroleum Engineers&lt;/publisher&gt;&lt;isbn&gt;1613993099&lt;/isbn&gt;&lt;urls&gt;&lt;/urls&gt;&lt;/record&gt;&lt;/Cite&gt;&lt;/EndNote&gt;</w:instrText>
      </w:r>
      <w:r w:rsidRPr="00E40E81">
        <w:fldChar w:fldCharType="separate"/>
      </w:r>
      <w:r w:rsidR="00332C11" w:rsidRPr="00332C11">
        <w:rPr>
          <w:noProof/>
          <w:vertAlign w:val="superscript"/>
        </w:rPr>
        <w:t>17</w:t>
      </w:r>
      <w:r w:rsidRPr="00E40E81">
        <w:fldChar w:fldCharType="end"/>
      </w:r>
      <w:r w:rsidRPr="00E40E81">
        <w:t xml:space="preserve">. Industries </w:t>
      </w:r>
      <w:r w:rsidRPr="00E40E81">
        <w:lastRenderedPageBreak/>
        <w:t xml:space="preserve">prefer to use the produced reservoir brine or available water sources (for example, seawater in offshore) for cEOR technique. However, surfactants cannot survive high TDS of the produced reservoir brine or sea water and thus requires brine softening facility. This increases the overall project cost making cEOR projects less attractive for industries. There is, therefore, a need for an innovation of surfactant formulation for high TDS brine </w:t>
      </w:r>
      <w:r w:rsidR="00BA2D85" w:rsidRPr="00281856">
        <w:rPr>
          <w:rFonts w:ascii="Times New Roman" w:eastAsia="Calibri" w:hAnsi="Times New Roman"/>
          <w:noProof/>
        </w:rPr>
        <w:drawing>
          <wp:anchor distT="0" distB="0" distL="114300" distR="114300" simplePos="0" relativeHeight="251659264" behindDoc="0" locked="0" layoutInCell="1" allowOverlap="1" wp14:anchorId="0B00296E" wp14:editId="204224C6">
            <wp:simplePos x="0" y="0"/>
            <wp:positionH relativeFrom="column">
              <wp:posOffset>3810</wp:posOffset>
            </wp:positionH>
            <wp:positionV relativeFrom="paragraph">
              <wp:posOffset>2124075</wp:posOffset>
            </wp:positionV>
            <wp:extent cx="5334000" cy="245808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1">
                      <a:extLst>
                        <a:ext uri="{28A0092B-C50C-407E-A947-70E740481C1C}">
                          <a14:useLocalDpi xmlns:a14="http://schemas.microsoft.com/office/drawing/2010/main" val="0"/>
                        </a:ext>
                      </a:extLst>
                    </a:blip>
                    <a:srcRect l="2157" r="10780"/>
                    <a:stretch/>
                  </pic:blipFill>
                  <pic:spPr bwMode="auto">
                    <a:xfrm>
                      <a:off x="0" y="0"/>
                      <a:ext cx="5334000" cy="24580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1856">
        <w:rPr>
          <w:noProof/>
        </w:rPr>
        <mc:AlternateContent>
          <mc:Choice Requires="wps">
            <w:drawing>
              <wp:anchor distT="0" distB="0" distL="114300" distR="114300" simplePos="0" relativeHeight="251661312" behindDoc="0" locked="0" layoutInCell="1" allowOverlap="1" wp14:anchorId="2489822B" wp14:editId="4A5374FA">
                <wp:simplePos x="0" y="0"/>
                <wp:positionH relativeFrom="column">
                  <wp:posOffset>3810</wp:posOffset>
                </wp:positionH>
                <wp:positionV relativeFrom="paragraph">
                  <wp:posOffset>4743450</wp:posOffset>
                </wp:positionV>
                <wp:extent cx="5558790"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5558790" cy="635"/>
                        </a:xfrm>
                        <a:prstGeom prst="rect">
                          <a:avLst/>
                        </a:prstGeom>
                        <a:solidFill>
                          <a:prstClr val="white"/>
                        </a:solidFill>
                        <a:ln>
                          <a:noFill/>
                        </a:ln>
                        <a:effectLst/>
                      </wps:spPr>
                      <wps:txbx>
                        <w:txbxContent>
                          <w:p w:rsidR="005C410D" w:rsidRPr="00844EEF" w:rsidRDefault="005C410D" w:rsidP="00281856">
                            <w:pPr>
                              <w:pStyle w:val="Caption"/>
                              <w:jc w:val="center"/>
                              <w:rPr>
                                <w:szCs w:val="24"/>
                                <w:lang w:bidi="en-US"/>
                              </w:rPr>
                            </w:pPr>
                            <w:bookmarkStart w:id="12" w:name="_Toc426967293"/>
                            <w:r>
                              <w:t xml:space="preserve">Figure </w:t>
                            </w:r>
                            <w:r w:rsidR="001C58A2">
                              <w:fldChar w:fldCharType="begin"/>
                            </w:r>
                            <w:r w:rsidR="001C58A2">
                              <w:instrText xml:space="preserve"> S</w:instrText>
                            </w:r>
                            <w:r w:rsidR="001C58A2">
                              <w:instrText xml:space="preserve">EQ Figure \* ARABIC </w:instrText>
                            </w:r>
                            <w:r w:rsidR="001C58A2">
                              <w:fldChar w:fldCharType="separate"/>
                            </w:r>
                            <w:r w:rsidR="003F7947">
                              <w:rPr>
                                <w:noProof/>
                              </w:rPr>
                              <w:t>1</w:t>
                            </w:r>
                            <w:r w:rsidR="001C58A2">
                              <w:rPr>
                                <w:noProof/>
                              </w:rPr>
                              <w:fldChar w:fldCharType="end"/>
                            </w:r>
                            <w:r>
                              <w:t xml:space="preserve">. </w:t>
                            </w:r>
                            <w:r w:rsidRPr="00BA2D85">
                              <w:rPr>
                                <w:rFonts w:ascii="Times New Roman" w:eastAsia="Calibri" w:hAnsi="Times New Roman"/>
                                <w:b w:val="0"/>
                                <w:bCs w:val="0"/>
                                <w:szCs w:val="24"/>
                              </w:rPr>
                              <w:t>Effect of High TDS on homogeneous single phase micellar solution</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489822B" id="_x0000_t202" coordsize="21600,21600" o:spt="202" path="m,l,21600r21600,l21600,xe">
                <v:stroke joinstyle="miter"/>
                <v:path gradientshapeok="t" o:connecttype="rect"/>
              </v:shapetype>
              <v:shape id="Text Box 3" o:spid="_x0000_s1026" type="#_x0000_t202" style="position:absolute;left:0;text-align:left;margin-left:.3pt;margin-top:373.5pt;width:437.7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" stroked="f">
                <v:textbox style="mso-fit-shape-to-text:t" inset="0,0,0,0">
                  <w:txbxContent>
                    <w:p w:rsidR="005C410D" w:rsidRPr="00844EEF" w:rsidRDefault="005C410D" w:rsidP="00281856">
                      <w:pPr>
                        <w:pStyle w:val="Caption"/>
                        <w:jc w:val="center"/>
                        <w:rPr>
                          <w:szCs w:val="24"/>
                          <w:lang w:bidi="en-US"/>
                        </w:rPr>
                      </w:pPr>
                      <w:bookmarkStart w:id="14" w:name="_Toc426967293"/>
                      <w:r>
                        <w:t xml:space="preserve">Figure </w:t>
                      </w:r>
                      <w:fldSimple w:instr=" SEQ Figure \* ARABIC ">
                        <w:r w:rsidR="003F7947">
                          <w:rPr>
                            <w:noProof/>
                          </w:rPr>
                          <w:t>1</w:t>
                        </w:r>
                      </w:fldSimple>
                      <w:r>
                        <w:t xml:space="preserve">. </w:t>
                      </w:r>
                      <w:r w:rsidRPr="00BA2D85">
                        <w:rPr>
                          <w:rFonts w:ascii="Times New Roman" w:eastAsia="Calibri" w:hAnsi="Times New Roman"/>
                          <w:b w:val="0"/>
                          <w:bCs w:val="0"/>
                          <w:szCs w:val="24"/>
                        </w:rPr>
                        <w:t>Effect of High TDS on homogeneous single phase micellar solution</w:t>
                      </w:r>
                      <w:bookmarkEnd w:id="14"/>
                    </w:p>
                  </w:txbxContent>
                </v:textbox>
                <w10:wrap type="topAndBottom"/>
              </v:shape>
            </w:pict>
          </mc:Fallback>
        </mc:AlternateContent>
      </w:r>
      <w:r w:rsidRPr="00E40E81">
        <w:t xml:space="preserve">condition.  </w:t>
      </w:r>
    </w:p>
    <w:p w:rsidR="00281856" w:rsidRPr="00E40E81" w:rsidRDefault="00281856" w:rsidP="00E40E81">
      <w:pPr>
        <w:jc w:val="both"/>
      </w:pPr>
    </w:p>
    <w:p w:rsidR="00E40E81" w:rsidRPr="00E40E81" w:rsidRDefault="00E40E81" w:rsidP="00E40E81">
      <w:pPr>
        <w:jc w:val="both"/>
      </w:pPr>
      <w:r w:rsidRPr="00E40E81">
        <w:t>It is well known that the sodium alkyl alkoxy sulfate surfactants, also known as extended surfactants, are suitable for high salinity brines</w:t>
      </w:r>
      <w:r w:rsidRPr="00E40E81">
        <w:fldChar w:fldCharType="begin">
          <w:fldData xml:space="preserve">PEVuZE5vdGU+PENpdGU+PEF1dGhvcj5NaW5hbmEtUGVyZXo8L0F1dGhvcj48WWVhcj4xOTk2PC9Z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</w:fldData>
        </w:fldChar>
      </w:r>
      <w:r w:rsidR="00332C11">
        <w:instrText xml:space="preserve"> ADDIN EN.CITE </w:instrText>
      </w:r>
      <w:r w:rsidR="00332C11">
        <w:fldChar w:fldCharType="begin">
          <w:fldData xml:space="preserve">PEVuZE5vdGU+PENpdGU+PEF1dGhvcj5NaW5hbmEtUGVyZXo8L0F1dGhvcj48WWVhcj4xOTk2PC9Z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</w:fldData>
        </w:fldChar>
      </w:r>
      <w:r w:rsidR="00332C11">
        <w:instrText xml:space="preserve"> ADDIN EN.CITE.DATA </w:instrText>
      </w:r>
      <w:r w:rsidR="00332C11">
        <w:fldChar w:fldCharType="end"/>
      </w:r>
      <w:r w:rsidRPr="00E40E81">
        <w:fldChar w:fldCharType="separate"/>
      </w:r>
      <w:r w:rsidR="00332C11" w:rsidRPr="00332C11">
        <w:rPr>
          <w:noProof/>
          <w:vertAlign w:val="superscript"/>
        </w:rPr>
        <w:t>11, 17, 33</w:t>
      </w:r>
      <w:r w:rsidRPr="00E40E81">
        <w:fldChar w:fldCharType="end"/>
      </w:r>
      <w:r w:rsidRPr="00E40E81">
        <w:t>. By definition, extended surfactants have polypropylene oxides (POs) or a mixture of polyethylene oxides (EOs) and polypropylene oxides (POs) inserted between the hydrophilic heads and lipophilic</w:t>
      </w:r>
      <w:r>
        <w:t xml:space="preserve"> tails</w:t>
      </w:r>
      <w:r w:rsidRPr="00E40E81">
        <w:fldChar w:fldCharType="begin"/>
      </w:r>
      <w:r w:rsidR="00332C11">
        <w:instrText xml:space="preserve"> ADDIN EN.CITE &lt;EndNote&gt;&lt;Cite&gt;&lt;Author&gt;Witthayapanyanon&lt;/Author&gt;&lt;Year&gt;2006&lt;/Year&gt;&lt;RecNum&gt;62&lt;/RecNum&gt;&lt;DisplayText&gt;&lt;style face="superscript"&gt;34&lt;/style&gt;&lt;/DisplayText&gt;&lt;record&gt;&lt;rec-number&gt;62&lt;/rec-number&gt;&lt;foreign-keys&gt;&lt;key app="EN" db-id="a5zz9zdsp2tzdiedrdov0ztx9zwzps0patvs" timestamp="1425596937"&gt;62&lt;/key&gt;&lt;/foreign-keys&gt;&lt;ref-type name="Journal Article"&gt;17&lt;/ref-type&gt;&lt;contributors&gt;&lt;authors&gt;&lt;author&gt;Witthayapanyanon, A&lt;/author&gt;&lt;author&gt;Acosta, EJ&lt;/author&gt;&lt;author&gt;Harwell, JH&lt;/author&gt;&lt;author&gt;Sabatini, DA&lt;/author&gt;&lt;/authors&gt;&lt;/contributors&gt;&lt;titles&gt;&lt;title&gt;Formulation of ultralow interfacial tension systems using extended surfactants&lt;/title&gt;&lt;secondary-title&gt;Journal of surfactants and detergents&lt;/secondary-title&gt;&lt;/titles&gt;&lt;periodical&gt;&lt;full-title&gt;Journal of Surfactants and Detergents&lt;/full-title&gt;&lt;/periodical&gt;&lt;pages&gt;331-339&lt;/pages&gt;&lt;volume&gt;9&lt;/volume&gt;&lt;number&gt;4&lt;/number&gt;&lt;dates&gt;&lt;year&gt;2006&lt;/year&gt;&lt;/dates&gt;&lt;isbn&gt;1097-3958&lt;/isbn&gt;&lt;urls&gt;&lt;/urls&gt;&lt;/record&gt;&lt;/Cite&gt;&lt;/EndNote&gt;</w:instrText>
      </w:r>
      <w:r w:rsidRPr="00E40E81">
        <w:fldChar w:fldCharType="separate"/>
      </w:r>
      <w:r w:rsidR="00332C11" w:rsidRPr="00332C11">
        <w:rPr>
          <w:noProof/>
          <w:vertAlign w:val="superscript"/>
        </w:rPr>
        <w:t>34</w:t>
      </w:r>
      <w:r w:rsidRPr="00E40E81">
        <w:fldChar w:fldCharType="end"/>
      </w:r>
      <w:r w:rsidRPr="00E40E81">
        <w:t>. According to Winsor’s R ratio</w:t>
      </w:r>
      <w:r w:rsidRPr="00E40E81">
        <w:fldChar w:fldCharType="begin"/>
      </w:r>
      <w:r w:rsidR="00332C11">
        <w:instrText xml:space="preserve"> ADDIN EN.CITE &lt;EndNote&gt;&lt;Cite&gt;&lt;Author&gt;Winsor&lt;/Author&gt;&lt;Year&gt;1954&lt;/Year&gt;&lt;RecNum&gt;63&lt;/RecNum&gt;&lt;DisplayText&gt;&lt;style face="superscript"&gt;35&lt;/style&gt;&lt;/DisplayText&gt;&lt;record&gt;&lt;rec-number&gt;63&lt;/rec-number&gt;&lt;foreign-keys&gt;&lt;key app="EN" db-id="a5zz9zdsp2tzdiedrdov0ztx9zwzps0patvs" timestamp="1425597074"&gt;63&lt;/key&gt;&lt;/foreign-keys&gt;&lt;ref-type name="Book"&gt;6&lt;/ref-type&gt;&lt;contributors&gt;&lt;authors&gt;&lt;author&gt;Winsor, Philip Alan&lt;/author&gt;&lt;/authors&gt;&lt;/contributors&gt;&lt;titles&gt;&lt;title&gt;Solvent properties of amphiphilic compounds&lt;/title&gt;&lt;/titles&gt;&lt;dates&gt;&lt;year&gt;1954&lt;/year&gt;&lt;/dates&gt;&lt;publisher&gt;Butterworths Scientific Publications&lt;/publisher&gt;&lt;urls&gt;&lt;/urls&gt;&lt;/record&gt;&lt;/Cite&gt;&lt;/EndNote&gt;</w:instrText>
      </w:r>
      <w:r w:rsidRPr="00E40E81">
        <w:fldChar w:fldCharType="separate"/>
      </w:r>
      <w:r w:rsidR="00332C11" w:rsidRPr="00332C11">
        <w:rPr>
          <w:noProof/>
          <w:vertAlign w:val="superscript"/>
        </w:rPr>
        <w:t>35</w:t>
      </w:r>
      <w:r w:rsidRPr="00E40E81">
        <w:fldChar w:fldCharType="end"/>
      </w:r>
      <w:r w:rsidRPr="00E40E81">
        <w:t xml:space="preserve">, the best way to generate an optimal middle phase microemulsion, Type III, having equal amount of oil and water solubilized in the middle phase is to equally enhance surfactant-oil and surfactant-water interactions. These two interactions can be enhanced by making the surfactant’s head group more hydrophilic and </w:t>
      </w:r>
      <w:r w:rsidRPr="00E40E81">
        <w:lastRenderedPageBreak/>
        <w:t>tail group more hydrophobic. However, there is a possibility  a conventional surfactant loses water solubility because of increased tail group hydrophobicity</w:t>
      </w:r>
      <w:r w:rsidRPr="00E40E81">
        <w:fldChar w:fldCharType="begin"/>
      </w:r>
      <w:r w:rsidR="00332C11">
        <w:instrText xml:space="preserve"> ADDIN EN.CITE &lt;EndNote&gt;&lt;Cite&gt;&lt;Author&gt;Salager&lt;/Author&gt;&lt;Year&gt;2005&lt;/Year&gt;&lt;RecNum&gt;77&lt;/RecNum&gt;&lt;DisplayText&gt;&lt;style face="superscript"&gt;29&lt;/style&gt;&lt;/DisplayText&gt;&lt;record&gt;&lt;rec-number&gt;77&lt;/rec-number&gt;&lt;foreign-keys&gt;&lt;key app="EN" db-id="a5zz9zdsp2tzdiedrdov0ztx9zwzps0patvs" timestamp="1425610674"&gt;77&lt;/key&gt;&lt;/foreign-keys&gt;&lt;ref-type name="Journal Article"&gt;17&lt;/ref-type&gt;&lt;contributors&gt;&lt;authors&gt;&lt;author&gt;Salager, Jean-Louis&lt;/author&gt;&lt;author&gt;Antón, Raquel E&lt;/author&gt;&lt;author&gt;Sabatini, David A&lt;/author&gt;&lt;author&gt;Harwell, Jeffrey H&lt;/author&gt;&lt;author&gt;Acosta, Edgar J&lt;/author&gt;&lt;author&gt;Tolosa, Laura I&lt;/author&gt;&lt;/authors&gt;&lt;/contributors&gt;&lt;titles&gt;&lt;title&gt;Enhancing solubilization in microemulsions—state of the art and current trends&lt;/title&gt;&lt;secondary-title&gt;Journal of surfactants and detergents&lt;/secondary-title&gt;&lt;/titles&gt;&lt;periodical&gt;&lt;full-title&gt;Journal of Surfactants and Detergents&lt;/full-title&gt;&lt;/periodical&gt;&lt;pages&gt;3-21&lt;/pages&gt;&lt;volume&gt;8&lt;/volume&gt;&lt;number&gt;1&lt;/number&gt;&lt;dates&gt;&lt;year&gt;2005&lt;/year&gt;&lt;/dates&gt;&lt;isbn&gt;1097-3958&lt;/isbn&gt;&lt;urls&gt;&lt;/urls&gt;&lt;/record&gt;&lt;/Cite&gt;&lt;/EndNote&gt;</w:instrText>
      </w:r>
      <w:r w:rsidRPr="00E40E81">
        <w:fldChar w:fldCharType="separate"/>
      </w:r>
      <w:r w:rsidR="00332C11" w:rsidRPr="00332C11">
        <w:rPr>
          <w:noProof/>
          <w:vertAlign w:val="superscript"/>
        </w:rPr>
        <w:t>29</w:t>
      </w:r>
      <w:r w:rsidRPr="00E40E81">
        <w:fldChar w:fldCharType="end"/>
      </w:r>
      <w:r w:rsidRPr="00E40E81">
        <w:t xml:space="preserve"> and is not desirable for cEOR application</w:t>
      </w:r>
      <w:r w:rsidRPr="00E40E81">
        <w:fldChar w:fldCharType="begin"/>
      </w:r>
      <w:r w:rsidR="00332C11">
        <w:instrText xml:space="preserve"> ADDIN EN.CITE &lt;EndNote&gt;&lt;Cite&gt;&lt;Author&gt;Puerto&lt;/Author&gt;&lt;Year&gt;2012&lt;/Year&gt;&lt;RecNum&gt;31&lt;/RecNum&gt;&lt;DisplayText&gt;&lt;style face="superscript"&gt;11&lt;/style&gt;&lt;/DisplayText&gt;&lt;record&gt;&lt;rec-number&gt;31&lt;/rec-number&gt;&lt;foreign-keys&gt;&lt;key app="EN" db-id="a5zz9zdsp2tzdiedrdov0ztx9zwzps0patvs" timestamp="1424741471"&gt;31&lt;/key&gt;&lt;/foreign-keys&gt;&lt;ref-type name="Journal Article"&gt;17&lt;/ref-type&gt;&lt;contributors&gt;&lt;authors&gt;&lt;author&gt;Puerto, Maura&lt;/author&gt;&lt;author&gt;Hirasaki, George J&lt;/author&gt;&lt;author&gt;Miller, Clarence A&lt;/author&gt;&lt;author&gt;Barnes, Julian R&lt;/author&gt;&lt;/authors&gt;&lt;/contributors&gt;&lt;titles&gt;&lt;title&gt;Surfactant systems for EOR in high-temperature, high-salinity environments&lt;/title&gt;&lt;secondary-title&gt;SPE J&lt;/secondary-title&gt;&lt;/titles&gt;&lt;periodical&gt;&lt;full-title&gt;SPE J&lt;/full-title&gt;&lt;/periodical&gt;&lt;pages&gt;11-19&lt;/pages&gt;&lt;volume&gt;17&lt;/volume&gt;&lt;number&gt;1&lt;/number&gt;&lt;dates&gt;&lt;year&gt;2012&lt;/year&gt;&lt;/dates&gt;&lt;urls&gt;&lt;/urls&gt;&lt;/record&gt;&lt;/Cite&gt;&lt;/EndNote&gt;</w:instrText>
      </w:r>
      <w:r w:rsidRPr="00E40E81">
        <w:fldChar w:fldCharType="separate"/>
      </w:r>
      <w:r w:rsidR="00332C11" w:rsidRPr="00332C11">
        <w:rPr>
          <w:noProof/>
          <w:vertAlign w:val="superscript"/>
        </w:rPr>
        <w:t>11</w:t>
      </w:r>
      <w:r w:rsidRPr="00E40E81">
        <w:fldChar w:fldCharType="end"/>
      </w:r>
      <w:r w:rsidRPr="00E40E81">
        <w:t>. In contrast, extended surfactants can maintain their stronger interaction with both water and oil phase while generating ultra-low IFT and without losing water solubility due to the presence of polar groups in the EOs and POs</w:t>
      </w:r>
      <w:r w:rsidR="00864A8F">
        <w:t>.</w:t>
      </w:r>
      <w:r w:rsidRPr="00E40E81">
        <w:fldChar w:fldCharType="begin"/>
      </w:r>
      <w:r w:rsidR="00332C11">
        <w:instrText xml:space="preserve"> ADDIN EN.CITE &lt;EndNote&gt;&lt;Cite&gt;&lt;Author&gt;Puerto&lt;/Author&gt;&lt;Year&gt;2012&lt;/Year&gt;&lt;RecNum&gt;31&lt;/RecNum&gt;&lt;DisplayText&gt;&lt;style face="superscript"&gt;11&lt;/style&gt;&lt;/DisplayText&gt;&lt;record&gt;&lt;rec-number&gt;31&lt;/rec-number&gt;&lt;foreign-keys&gt;&lt;key app="EN" db-id="a5zz9zdsp2tzdiedrdov0ztx9zwzps0patvs" timestamp="1424741471"&gt;31&lt;/key&gt;&lt;/foreign-keys&gt;&lt;ref-type name="Journal Article"&gt;17&lt;/ref-type&gt;&lt;contributors&gt;&lt;authors&gt;&lt;author&gt;Puerto, Maura&lt;/author&gt;&lt;author&gt;Hirasaki, George J&lt;/author&gt;&lt;author&gt;Miller, Clarence A&lt;/author&gt;&lt;author&gt;Barnes, Julian R&lt;/author&gt;&lt;/authors&gt;&lt;/contributors&gt;&lt;titles&gt;&lt;title&gt;Surfactant systems for EOR in high-temperature, high-salinity environments&lt;/title&gt;&lt;secondary-title&gt;SPE J&lt;/secondary-title&gt;&lt;/titles&gt;&lt;periodical&gt;&lt;full-title&gt;SPE J&lt;/full-title&gt;&lt;/periodical&gt;&lt;pages&gt;11-19&lt;/pages&gt;&lt;volume&gt;17&lt;/volume&gt;&lt;number&gt;1&lt;/number&gt;&lt;dates&gt;&lt;year&gt;2012&lt;/year&gt;&lt;/dates&gt;&lt;urls&gt;&lt;/urls&gt;&lt;/record&gt;&lt;/Cite&gt;&lt;/EndNote&gt;</w:instrText>
      </w:r>
      <w:r w:rsidRPr="00E40E81">
        <w:fldChar w:fldCharType="separate"/>
      </w:r>
      <w:r w:rsidR="00332C11" w:rsidRPr="00332C11">
        <w:rPr>
          <w:noProof/>
          <w:vertAlign w:val="superscript"/>
        </w:rPr>
        <w:t>11</w:t>
      </w:r>
      <w:r w:rsidRPr="00E40E81">
        <w:fldChar w:fldCharType="end"/>
      </w:r>
      <w:r w:rsidR="00864A8F">
        <w:t xml:space="preserve"> </w:t>
      </w:r>
      <w:r w:rsidRPr="00E40E81">
        <w:t>One of the drawbacks of extended surfactant is the hydrolysis of sulfur-to-oxygen (S-O) bond, which is present between its sulfate head group and alkoxy chain, above 60 °C</w:t>
      </w:r>
      <w:r w:rsidRPr="00E40E81">
        <w:fldChar w:fldCharType="begin"/>
      </w:r>
      <w:r w:rsidR="00332C11">
        <w:instrText xml:space="preserve"> ADDIN EN.CITE &lt;EndNote&gt;&lt;Cite&gt;&lt;Author&gt;Talley&lt;/Author&gt;&lt;Year&gt;1988&lt;/Year&gt;&lt;RecNum&gt;7&lt;/RecNum&gt;&lt;DisplayText&gt;&lt;style face="superscript"&gt;36&lt;/style&gt;&lt;/DisplayText&gt;&lt;record&gt;&lt;rec-number&gt;7&lt;/rec-number&gt;&lt;foreign-keys&gt;&lt;key app="EN" db-id="a5zz9zdsp2tzdiedrdov0ztx9zwzps0patvs" timestamp="1424741048"&gt;7&lt;/key&gt;&lt;/foreign-keys&gt;&lt;ref-type name="Journal Article"&gt;17&lt;/ref-type&gt;&lt;contributors&gt;&lt;authors&gt;&lt;author&gt;Talley, Larry D&lt;/author&gt;&lt;/authors&gt;&lt;/contributors&gt;&lt;titles&gt;&lt;title&gt;Hydrolytic stability of alkylethoxy sulfates&lt;/title&gt;&lt;secondary-title&gt;SPE Reservoir Engineering&lt;/secondary-title&gt;&lt;/titles&gt;&lt;periodical&gt;&lt;full-title&gt;SPE Reservoir Engineering&lt;/full-title&gt;&lt;/periodical&gt;&lt;pages&gt;235-242&lt;/pages&gt;&lt;volume&gt;3&lt;/volume&gt;&lt;number&gt;01&lt;/number&gt;&lt;dates&gt;&lt;year&gt;1988&lt;/year&gt;&lt;/dates&gt;&lt;isbn&gt;0885-9248&lt;/isbn&gt;&lt;urls&gt;&lt;/urls&gt;&lt;/record&gt;&lt;/Cite&gt;&lt;/EndNote&gt;</w:instrText>
      </w:r>
      <w:r w:rsidRPr="00E40E81">
        <w:fldChar w:fldCharType="separate"/>
      </w:r>
      <w:r w:rsidR="00332C11" w:rsidRPr="00332C11">
        <w:rPr>
          <w:noProof/>
          <w:vertAlign w:val="superscript"/>
        </w:rPr>
        <w:t>36</w:t>
      </w:r>
      <w:r w:rsidRPr="00E40E81">
        <w:fldChar w:fldCharType="end"/>
      </w:r>
      <w:r w:rsidRPr="00E40E81">
        <w:t>. Therefore, surfactants having sulfonate or carboxylate head groups are suggested for reservoirs with higher temperature conditions</w:t>
      </w:r>
      <w:r w:rsidRPr="00E40E81">
        <w:fldChar w:fldCharType="begin"/>
      </w:r>
      <w:r w:rsidR="00332C11">
        <w:instrText xml:space="preserve"> ADDIN EN.CITE &lt;EndNote&gt;&lt;Cite&gt;&lt;Author&gt;Lu&lt;/Author&gt;&lt;Year&gt;2014&lt;/Year&gt;&lt;RecNum&gt;64&lt;/RecNum&gt;&lt;DisplayText&gt;&lt;style face="superscript"&gt;37&lt;/style&gt;&lt;/DisplayText&gt;&lt;record&gt;&lt;rec-number&gt;64&lt;/rec-number&gt;&lt;foreign-keys&gt;&lt;key app="EN" db-id="a5zz9zdsp2tzdiedrdov0ztx9zwzps0patvs" timestamp="1425598524"&gt;64&lt;/key&gt;&lt;/foreign-keys&gt;&lt;ref-type name="Journal Article"&gt;17&lt;/ref-type&gt;&lt;contributors&gt;&lt;authors&gt;&lt;author&gt;Lu, Jun&lt;/author&gt;&lt;author&gt;Britton, Christopher&lt;/author&gt;&lt;author&gt;Solairaj, Sriram&lt;/author&gt;&lt;author&gt;Liyanage, Pathma J&lt;/author&gt;&lt;author&gt;Kim, Do Hoon&lt;/author&gt;&lt;author&gt;Adkins, Stephanie&lt;/author&gt;&lt;author&gt;Arachchilage, Gayani WP&lt;/author&gt;&lt;author&gt;Weerasooriya, Upali&lt;/author&gt;&lt;author&gt;Pope, Gary A&lt;/author&gt;&lt;/authors&gt;&lt;/contributors&gt;&lt;titles&gt;&lt;title&gt;Novel large-hydrophobe alkoxy carboxylate surfactants for enhanced oil recovery&lt;/title&gt;&lt;secondary-title&gt;SPE Journal&lt;/secondary-title&gt;&lt;/titles&gt;&lt;periodical&gt;&lt;full-title&gt;SPE Journal&lt;/full-title&gt;&lt;/periodical&gt;&lt;number&gt;Preprint&lt;/number&gt;&lt;dates&gt;&lt;year&gt;2014&lt;/year&gt;&lt;/dates&gt;&lt;isbn&gt;1086-055X&lt;/isbn&gt;&lt;urls&gt;&lt;/urls&gt;&lt;/record&gt;&lt;/Cite&gt;&lt;/EndNote&gt;</w:instrText>
      </w:r>
      <w:r w:rsidRPr="00E40E81">
        <w:fldChar w:fldCharType="separate"/>
      </w:r>
      <w:r w:rsidR="00332C11" w:rsidRPr="00332C11">
        <w:rPr>
          <w:noProof/>
          <w:vertAlign w:val="superscript"/>
        </w:rPr>
        <w:t>37</w:t>
      </w:r>
      <w:r w:rsidRPr="00E40E81">
        <w:fldChar w:fldCharType="end"/>
      </w:r>
      <w:r w:rsidRPr="00E40E81">
        <w:t>. Another class of surfactant, that is sodium alkyl ethoxy sulfate</w:t>
      </w:r>
      <w:r w:rsidRPr="00E40E81">
        <w:fldChar w:fldCharType="begin"/>
      </w:r>
      <w:r w:rsidR="00332C11">
        <w:instrText xml:space="preserve"> ADDIN EN.CITE &lt;EndNote&gt;&lt;Cite&gt;&lt;Author&gt;Yang&lt;/Author&gt;&lt;Year&gt;2010&lt;/Year&gt;&lt;RecNum&gt;26&lt;/RecNum&gt;&lt;DisplayText&gt;&lt;style face="superscript"&gt;38&lt;/style&gt;&lt;/DisplayText&gt;&lt;record&gt;&lt;rec-number&gt;26&lt;/rec-number&gt;&lt;foreign-keys&gt;&lt;key app="EN" db-id="a5zz9zdsp2tzdiedrdov0ztx9zwzps0patvs" timestamp="1424741470"&gt;26&lt;/key&gt;&lt;/foreign-keys&gt;&lt;ref-type name="Conference Paper"&gt;47&lt;/ref-type&gt;&lt;contributors&gt;&lt;authors&gt;&lt;author&gt;Hyuntae Yang&lt;/author&gt;&lt;author&gt;Christopher Britton&lt;/author&gt;&lt;author&gt;Pathma, J Liyanage&lt;/author&gt;&lt;author&gt;Sriram Solairaj&lt;/author&gt;&lt;author&gt;Do Hoon Kim&lt;/author&gt;&lt;/authors&gt;&lt;/contributors&gt;&lt;titles&gt;&lt;title&gt;Low-cost, high-performance chemicals for enhanced oil recovery&lt;/title&gt;&lt;secondary-title&gt;In SPE Improved Oil Recovery Symposium&lt;/secondary-title&gt;&lt;/titles&gt;&lt;dates&gt;&lt;year&gt;2010&lt;/year&gt;&lt;/dates&gt;&lt;publisher&gt;Society of Petroleum Engineers&lt;/publisher&gt;&lt;urls&gt;&lt;/urls&gt;&lt;/record&gt;&lt;/Cite&gt;&lt;/EndNote&gt;</w:instrText>
      </w:r>
      <w:r w:rsidRPr="00E40E81">
        <w:fldChar w:fldCharType="separate"/>
      </w:r>
      <w:r w:rsidR="00332C11" w:rsidRPr="00332C11">
        <w:rPr>
          <w:noProof/>
          <w:vertAlign w:val="superscript"/>
        </w:rPr>
        <w:t>38</w:t>
      </w:r>
      <w:r w:rsidRPr="00E40E81">
        <w:fldChar w:fldCharType="end"/>
      </w:r>
      <w:r w:rsidRPr="00E40E81">
        <w:t>, is also reported to show promising results in high salinity brines. This class of surfactant is usually used as a co-surfactant in a surfactant mixture to enhance the overall hardness tolerance of surfactant mixture. Some authors also report the use of co-solvents such as short chain alcohols (sec-butanol and iso-propanol) to increase the solubility of surfactant in high salinity brine</w:t>
      </w:r>
      <w:r w:rsidRPr="00E40E81">
        <w:fldChar w:fldCharType="begin"/>
      </w:r>
      <w:r w:rsidR="00332C11">
        <w:instrText xml:space="preserve"> ADDIN EN.CITE &lt;EndNote&gt;&lt;Cite&gt;&lt;Author&gt;Shiau&lt;/Author&gt;&lt;Year&gt;2010&lt;/Year&gt;&lt;RecNum&gt;36&lt;/RecNum&gt;&lt;DisplayText&gt;&lt;style face="superscript"&gt;13, 39&lt;/style&gt;&lt;/DisplayText&gt;&lt;record&gt;&lt;rec-number&gt;36&lt;/rec-number&gt;&lt;foreign-keys&gt;&lt;key app="EN" db-id="a5zz9zdsp2tzdiedrdov0ztx9zwzps0patvs" timestamp="1424741472"&gt;36&lt;/key&gt;&lt;/foreign-keys&gt;&lt;ref-type name="Conference Proceedings"&gt;10&lt;/ref-type&gt;&lt;contributors&gt;&lt;authors&gt;&lt;author&gt;Shiau, Bo Jier Ben&lt;/author&gt;&lt;author&gt;Harwell, Jeffrey H&lt;/author&gt;&lt;author&gt;Lohateeraparp, Prapas&lt;/author&gt;&lt;author&gt;Dinh, Anh V&lt;/author&gt;&lt;author&gt;Roberts, Bruce Lynn&lt;/author&gt;&lt;author&gt;Hsu, Tzu-Ping&lt;/author&gt;&lt;author&gt;Anwuri, Ovinuchi Igbinosa&lt;/author&gt;&lt;/authors&gt;&lt;/contributors&gt;&lt;titles&gt;&lt;title&gt;Designing alcohol-free surfactant chemical flood for oil recovery&lt;/title&gt;&lt;secondary-title&gt;SPE EOR Conference at Oil &amp;amp; Gas West Asia&lt;/secondary-title&gt;&lt;/titles&gt;&lt;dates&gt;&lt;year&gt;2010&lt;/year&gt;&lt;/dates&gt;&lt;publisher&gt;Society of Petroleum Engineers&lt;/publisher&gt;&lt;isbn&gt;1555632858&lt;/isbn&gt;&lt;urls&gt;&lt;/urls&gt;&lt;/record&gt;&lt;/Cite&gt;&lt;Cite&gt;&lt;Author&gt;Sahni&lt;/Author&gt;&lt;Year&gt;2010&lt;/Year&gt;&lt;RecNum&gt;33&lt;/RecNum&gt;&lt;record&gt;&lt;rec-number&gt;33&lt;/rec-number&gt;&lt;foreign-keys&gt;&lt;key app="EN" db-id="a5zz9zdsp2tzdiedrdov0ztx9zwzps0patvs" timestamp="1424741472"&gt;33&lt;/key&gt;&lt;/foreign-keys&gt;&lt;ref-type name="Conference Proceedings"&gt;10&lt;/ref-type&gt;&lt;contributors&gt;&lt;authors&gt;&lt;author&gt;Sahni, Vinay&lt;/author&gt;&lt;author&gt;Dean, Robert Matthew&lt;/author&gt;&lt;author&gt;Britton, Chris&lt;/author&gt;&lt;author&gt;Kim, Do Hoon&lt;/author&gt;&lt;author&gt;Weerasooriya, Upali&lt;/author&gt;&lt;author&gt;Pope, Gary Arnold&lt;/author&gt;&lt;/authors&gt;&lt;/contributors&gt;&lt;titles&gt;&lt;title&gt;The role of co-solvents and co-surfactants in making chemical floods robust&lt;/title&gt;&lt;secondary-title&gt;SPE Improved Oil Recovery Symposium&lt;/secondary-title&gt;&lt;/titles&gt;&lt;dates&gt;&lt;year&gt;2010&lt;/year&gt;&lt;/dates&gt;&lt;publisher&gt;Society of Petroleum Engineers&lt;/publisher&gt;&lt;isbn&gt;1555632890&lt;/isbn&gt;&lt;urls&gt;&lt;/urls&gt;&lt;/record&gt;&lt;/Cite&gt;&lt;/EndNote&gt;</w:instrText>
      </w:r>
      <w:r w:rsidRPr="00E40E81">
        <w:fldChar w:fldCharType="separate"/>
      </w:r>
      <w:r w:rsidR="00332C11" w:rsidRPr="00332C11">
        <w:rPr>
          <w:noProof/>
          <w:vertAlign w:val="superscript"/>
        </w:rPr>
        <w:t>13, 39</w:t>
      </w:r>
      <w:r w:rsidRPr="00E40E81">
        <w:fldChar w:fldCharType="end"/>
      </w:r>
      <w:r w:rsidRPr="00E40E81">
        <w:t>. However, alcohols that are mostly used for eliminating gels/ liquid crystal formation in surfactant systems can adsorb together with the surfactant at the oil-water interface. In such cases, oil solubilization ability of the surfactant systems decreases and IFT increases which is undesirable for cEOR application</w:t>
      </w:r>
      <w:r w:rsidRPr="00E40E81">
        <w:fldChar w:fldCharType="begin"/>
      </w:r>
      <w:r w:rsidR="00332C11">
        <w:instrText xml:space="preserve"> ADDIN EN.CITE &lt;EndNote&gt;&lt;Cite&gt;&lt;Author&gt;Sanz&lt;/Author&gt;&lt;Year&gt;1995&lt;/Year&gt;&lt;RecNum&gt;60&lt;/RecNum&gt;&lt;DisplayText&gt;&lt;style face="superscript"&gt;40&lt;/style&gt;&lt;/DisplayText&gt;&lt;record&gt;&lt;rec-number&gt;60&lt;/rec-number&gt;&lt;foreign-keys&gt;&lt;key app="EN" db-id="a5zz9zdsp2tzdiedrdov0ztx9zwzps0patvs" timestamp="1425595686"&gt;60&lt;/key&gt;&lt;/foreign-keys&gt;&lt;ref-type name="Conference Proceedings"&gt;10&lt;/ref-type&gt;&lt;contributors&gt;&lt;authors&gt;&lt;author&gt;Sanz, CA&lt;/author&gt;&lt;author&gt;Pope, GA&lt;/author&gt;&lt;/authors&gt;&lt;/contributors&gt;&lt;titles&gt;&lt;title&gt;Alcohol-free chemical flooding: from surfactant screening to coreflood design&lt;/title&gt;&lt;secondary-title&gt;Paper SPE 28956, presented at the International Symposium on Oilfield Chemistry, San Antonio, Texas&lt;/secondary-title&gt;&lt;/titles&gt;&lt;pages&gt;14-17&lt;/pages&gt;&lt;dates&gt;&lt;year&gt;1995&lt;/year&gt;&lt;/dates&gt;&lt;urls&gt;&lt;/urls&gt;&lt;/record&gt;&lt;/Cite&gt;&lt;/EndNote&gt;</w:instrText>
      </w:r>
      <w:r w:rsidRPr="00E40E81">
        <w:fldChar w:fldCharType="separate"/>
      </w:r>
      <w:r w:rsidR="00332C11" w:rsidRPr="00332C11">
        <w:rPr>
          <w:noProof/>
          <w:vertAlign w:val="superscript"/>
        </w:rPr>
        <w:t>40</w:t>
      </w:r>
      <w:r w:rsidRPr="00E40E81">
        <w:fldChar w:fldCharType="end"/>
      </w:r>
      <w:r w:rsidRPr="00E40E81">
        <w:t>. Therefore, a careful consideration should be given in selecting surfactants and ingredients with the correct structure as this plays an important role in developing surfactant formulation for any cEOR process.</w:t>
      </w:r>
    </w:p>
    <w:p w:rsidR="00E40E81" w:rsidRPr="00E40E81" w:rsidRDefault="00E40E81" w:rsidP="00281856">
      <w:pPr>
        <w:jc w:val="both"/>
      </w:pPr>
      <w:r w:rsidRPr="00E40E81">
        <w:t>Most of the suggested formulations for high salinity brines are developed either for brines up to 21 wt % NaCl without hardness</w:t>
      </w:r>
      <w:r w:rsidRPr="00E40E81">
        <w:fldChar w:fldCharType="begin"/>
      </w:r>
      <w:r w:rsidR="00332C11">
        <w:instrText xml:space="preserve"> ADDIN EN.CITE &lt;EndNote&gt;&lt;Cite&gt;&lt;Author&gt;Yang&lt;/Author&gt;&lt;Year&gt;2010&lt;/Year&gt;&lt;RecNum&gt;26&lt;/RecNum&gt;&lt;DisplayText&gt;&lt;style face="superscript"&gt;38&lt;/style&gt;&lt;/DisplayText&gt;&lt;record&gt;&lt;rec-number&gt;26&lt;/rec-number&gt;&lt;foreign-keys&gt;&lt;key app="EN" db-id="a5zz9zdsp2tzdiedrdov0ztx9zwzps0patvs" timestamp="1424741470"&gt;26&lt;/key&gt;&lt;/foreign-keys&gt;&lt;ref-type name="Conference Paper"&gt;47&lt;/ref-type&gt;&lt;contributors&gt;&lt;authors&gt;&lt;author&gt;Hyuntae Yang&lt;/author&gt;&lt;author&gt;Christopher Britton&lt;/author&gt;&lt;author&gt;Pathma, J Liyanage&lt;/author&gt;&lt;author&gt;Sriram Solairaj&lt;/author&gt;&lt;author&gt;Do Hoon Kim&lt;/author&gt;&lt;/authors&gt;&lt;/contributors&gt;&lt;titles&gt;&lt;title&gt;Low-cost, high-performance chemicals for enhanced oil recovery&lt;/title&gt;&lt;secondary-title&gt;In SPE Improved Oil Recovery Symposium&lt;/secondary-title&gt;&lt;/titles&gt;&lt;dates&gt;&lt;year&gt;2010&lt;/year&gt;&lt;/dates&gt;&lt;publisher&gt;Society of Petroleum Engineers&lt;/publisher&gt;&lt;urls&gt;&lt;/urls&gt;&lt;/record&gt;&lt;/Cite&gt;&lt;/EndNote&gt;</w:instrText>
      </w:r>
      <w:r w:rsidRPr="00E40E81">
        <w:fldChar w:fldCharType="separate"/>
      </w:r>
      <w:r w:rsidR="00332C11" w:rsidRPr="00332C11">
        <w:rPr>
          <w:noProof/>
          <w:vertAlign w:val="superscript"/>
        </w:rPr>
        <w:t>38</w:t>
      </w:r>
      <w:r w:rsidRPr="00E40E81">
        <w:fldChar w:fldCharType="end"/>
      </w:r>
      <w:r w:rsidRPr="00E40E81">
        <w:t xml:space="preserve"> or brines containing hardness up to 8,500 mg/l with a total TDS of 165,000 mg/l</w:t>
      </w:r>
      <w:r w:rsidRPr="00E40E81">
        <w:fldChar w:fldCharType="begin"/>
      </w:r>
      <w:r w:rsidR="00332C11">
        <w:instrText xml:space="preserve"> ADDIN EN.CITE &lt;EndNote&gt;&lt;Cite&gt;&lt;Author&gt;Hsu&lt;/Author&gt;&lt;Year&gt;2012&lt;/Year&gt;&lt;RecNum&gt;41&lt;/RecNum&gt;&lt;DisplayText&gt;&lt;style face="superscript"&gt;41&lt;/style&gt;&lt;/DisplayText&gt;&lt;record&gt;&lt;rec-number&gt;41&lt;/rec-number&gt;&lt;foreign-keys&gt;&lt;key app="EN" db-id="a5zz9zdsp2tzdiedrdov0ztx9zwzps0patvs" timestamp="1424741473"&gt;41&lt;/key&gt;&lt;/foreign-keys&gt;&lt;ref-type name="Conference Paper"&gt;47&lt;/ref-type&gt;&lt;contributors&gt;&lt;authors&gt;&lt;author&gt;Tzu-Ping Hsu&lt;/author&gt;&lt;author&gt;Prapas, Lohateeraparp&lt;/author&gt;&lt;author&gt;Xiaoguang Wang&lt;/author&gt;&lt;author&gt;Budhathoki, Mahesh&lt;/author&gt;&lt;author&gt;Shiau, BJ Ben&lt;/author&gt;&lt;/authors&gt;&lt;/contributors&gt;&lt;titles&gt;&lt;title&gt;Improved oil recovery by chemical flood from high salinity reservoirs-single-well surfactant injection test&lt;/title&gt;&lt;secondary-title&gt;In SPE EOR Conference at Oil and Gas West Asia&lt;/secondary-title&gt;&lt;/titles&gt;&lt;dates&gt;&lt;year&gt;2012&lt;/year&gt;&lt;/dates&gt;&lt;publisher&gt;Society of Petroleum Engineers&lt;/publisher&gt;&lt;urls&gt;&lt;/urls&gt;&lt;/record&gt;&lt;/Cite&gt;&lt;/EndNote&gt;</w:instrText>
      </w:r>
      <w:r w:rsidRPr="00E40E81">
        <w:fldChar w:fldCharType="separate"/>
      </w:r>
      <w:r w:rsidR="00332C11" w:rsidRPr="00332C11">
        <w:rPr>
          <w:noProof/>
          <w:vertAlign w:val="superscript"/>
        </w:rPr>
        <w:t>41</w:t>
      </w:r>
      <w:r w:rsidRPr="00E40E81">
        <w:fldChar w:fldCharType="end"/>
      </w:r>
      <w:r w:rsidRPr="00E40E81">
        <w:t xml:space="preserve">. In this work, surfactant formulations for reservoir </w:t>
      </w:r>
      <w:r w:rsidRPr="00E40E81">
        <w:lastRenderedPageBreak/>
        <w:t xml:space="preserve">brine having total TDS of </w:t>
      </w:r>
      <w:bookmarkStart w:id="13" w:name="OLE_LINK17"/>
      <w:bookmarkStart w:id="14" w:name="OLE_LINK18"/>
      <w:bookmarkStart w:id="15" w:name="OLE_LINK19"/>
      <w:r w:rsidR="00356F8D">
        <w:t>over 300,000</w:t>
      </w:r>
      <w:r w:rsidRPr="00E40E81">
        <w:t xml:space="preserve"> mg/l with the total hardness of </w:t>
      </w:r>
      <w:r w:rsidR="00356F8D">
        <w:t>about 13</w:t>
      </w:r>
      <w:r w:rsidRPr="00E40E81">
        <w:t>,</w:t>
      </w:r>
      <w:r w:rsidR="00356F8D">
        <w:t>000</w:t>
      </w:r>
      <w:r w:rsidRPr="00E40E81">
        <w:t xml:space="preserve"> mg/l</w:t>
      </w:r>
      <w:bookmarkEnd w:id="13"/>
      <w:bookmarkEnd w:id="14"/>
      <w:bookmarkEnd w:id="15"/>
      <w:r w:rsidRPr="00E40E81">
        <w:t xml:space="preserve"> are reported. To date, this is the highest TDS brine that has ever been addressed. The alcohol free binary mixtures of extended surfactants and sodium alkyl ethoxylate surfactant (sodium laureth sulfate) with three EOs are evaluated through phase behavior studies, IFT measurements, and sand-pack tests at reservoir conditions. Moreover, the concept of hydrophilic lipophilic deviation (HLD) equation is used as the pre-screening tool for the purposed surfactant systems.</w:t>
      </w:r>
    </w:p>
    <w:p w:rsidR="00E40E81" w:rsidRPr="002B39E5" w:rsidRDefault="002B39E5" w:rsidP="00BF7BCE">
      <w:pPr>
        <w:pStyle w:val="Heading3"/>
      </w:pPr>
      <w:bookmarkStart w:id="16" w:name="_Toc426374009"/>
      <w:r w:rsidRPr="002B39E5">
        <w:t>Hydro</w:t>
      </w:r>
      <w:r>
        <w:t>p</w:t>
      </w:r>
      <w:r w:rsidR="00CF5567">
        <w:t>hilic Lipophilic D</w:t>
      </w:r>
      <w:r>
        <w:t>eviation (HLD</w:t>
      </w:r>
      <w:r w:rsidR="00CF5567">
        <w:t>) C</w:t>
      </w:r>
      <w:r w:rsidRPr="002B39E5">
        <w:t>oncept</w:t>
      </w:r>
      <w:bookmarkEnd w:id="16"/>
    </w:p>
    <w:p w:rsidR="00281856" w:rsidRPr="00281856" w:rsidRDefault="00281856" w:rsidP="00281856">
      <w:pPr>
        <w:jc w:val="both"/>
        <w:rPr>
          <w:lang w:bidi="en-US"/>
        </w:rPr>
      </w:pPr>
      <w:r w:rsidRPr="00281856">
        <w:rPr>
          <w:lang w:bidi="en-US"/>
        </w:rPr>
        <w:t xml:space="preserve">Salager </w:t>
      </w:r>
      <w:r>
        <w:rPr>
          <w:i/>
        </w:rPr>
        <w:t>et al.</w:t>
      </w:r>
      <w:r w:rsidRPr="00281856">
        <w:rPr>
          <w:lang w:bidi="en-US"/>
        </w:rPr>
        <w:fldChar w:fldCharType="begin"/>
      </w:r>
      <w:r w:rsidR="00332C11">
        <w:rPr>
          <w:lang w:bidi="en-US"/>
        </w:rPr>
        <w:instrText xml:space="preserve"> ADDIN EN.CITE &lt;EndNote&gt;&lt;Cite&gt;&lt;Author&gt;Salager&lt;/Author&gt;&lt;Year&gt;1979&lt;/Year&gt;&lt;RecNum&gt;34&lt;/RecNum&gt;&lt;DisplayText&gt;&lt;style face="superscript"&gt;24&lt;/style&gt;&lt;/DisplayText&gt;&lt;record&gt;&lt;rec-number&gt;34&lt;/rec-number&gt;&lt;foreign-keys&gt;&lt;key app="EN" db-id="a5zz9zdsp2tzdiedrdov0ztx9zwzps0patvs" timestamp="1424741472"&gt;34&lt;/key&gt;&lt;/foreign-keys&gt;&lt;ref-type name="Journal Article"&gt;17&lt;/ref-type&gt;&lt;contributors&gt;&lt;authors&gt;&lt;author&gt;Salager, JL&lt;/author&gt;&lt;author&gt;Morgan, JC&lt;/author&gt;&lt;author&gt;Schechter, RS&lt;/author&gt;&lt;author&gt;Wade, WH&lt;/author&gt;&lt;author&gt;Vasquez, E&lt;/author&gt;&lt;/authors&gt;&lt;/contributors&gt;&lt;titles&gt;&lt;title&gt;Optimum formulation of surfactant/water/oil systems for minimum interfacial tension or phase behavior&lt;/title&gt;&lt;secondary-title&gt;Soc. Pet. Eng. J&lt;/secondary-title&gt;&lt;/titles&gt;&lt;periodical&gt;&lt;full-title&gt;Soc. Pet. Eng. J&lt;/full-title&gt;&lt;/periodical&gt;&lt;pages&gt;107-115&lt;/pages&gt;&lt;volume&gt;19&lt;/volume&gt;&lt;number&gt;2&lt;/number&gt;&lt;dates&gt;&lt;year&gt;1979&lt;/year&gt;&lt;/dates&gt;&lt;urls&gt;&lt;/urls&gt;&lt;/record&gt;&lt;/Cite&gt;&lt;/EndNote&gt;</w:instrText>
      </w:r>
      <w:r w:rsidRPr="00281856">
        <w:rPr>
          <w:lang w:bidi="en-US"/>
        </w:rPr>
        <w:fldChar w:fldCharType="separate"/>
      </w:r>
      <w:r w:rsidR="00332C11" w:rsidRPr="00332C11">
        <w:rPr>
          <w:noProof/>
          <w:vertAlign w:val="superscript"/>
          <w:lang w:bidi="en-US"/>
        </w:rPr>
        <w:t>24</w:t>
      </w:r>
      <w:r w:rsidRPr="00281856">
        <w:rPr>
          <w:lang w:bidi="en-US"/>
        </w:rPr>
        <w:fldChar w:fldCharType="end"/>
      </w:r>
      <w:r w:rsidRPr="00281856">
        <w:rPr>
          <w:lang w:bidi="en-US"/>
        </w:rPr>
        <w:t xml:space="preserve"> first proposed the HLD concept as the thermodynamically derived correlation to describe microemulsion systems at the formulation conditions. Although, there are other correlations such as Winsor R ratio and HLB equation</w:t>
      </w:r>
      <w:r w:rsidRPr="00281856">
        <w:rPr>
          <w:lang w:bidi="en-US"/>
        </w:rPr>
        <w:fldChar w:fldCharType="begin"/>
      </w:r>
      <w:r w:rsidR="00332C11">
        <w:rPr>
          <w:lang w:bidi="en-US"/>
        </w:rPr>
        <w:instrText xml:space="preserve"> ADDIN EN.CITE &lt;EndNote&gt;&lt;Cite&gt;&lt;Author&gt;Davies&lt;/Author&gt;&lt;Year&gt;1957&lt;/Year&gt;&lt;RecNum&gt;67&lt;/RecNum&gt;&lt;DisplayText&gt;&lt;style face="superscript"&gt;42&lt;/style&gt;&lt;/DisplayText&gt;&lt;record&gt;&lt;rec-number&gt;67&lt;/rec-number&gt;&lt;foreign-keys&gt;&lt;key app="EN" db-id="a5zz9zdsp2tzdiedrdov0ztx9zwzps0patvs" timestamp="1425599081"&gt;67&lt;/key&gt;&lt;/foreign-keys&gt;&lt;ref-type name="Conference Proceedings"&gt;10&lt;/ref-type&gt;&lt;contributors&gt;&lt;authors&gt;&lt;author&gt;Davies, JT&lt;/author&gt;&lt;/authors&gt;&lt;/contributors&gt;&lt;titles&gt;&lt;title&gt;A quantitative kinetic theory of emulsion type, I. Physical chemistry of the emulsifying agent&lt;/title&gt;&lt;secondary-title&gt;Gas/Liquid and Liquid/Liquid Interface. Proceedings of the International Congress of Surface Activity&lt;/secondary-title&gt;&lt;/titles&gt;&lt;pages&gt;426-438&lt;/pages&gt;&lt;dates&gt;&lt;year&gt;1957&lt;/year&gt;&lt;/dates&gt;&lt;urls&gt;&lt;/urls&gt;&lt;/record&gt;&lt;/Cite&gt;&lt;/EndNote&gt;</w:instrText>
      </w:r>
      <w:r w:rsidRPr="00281856">
        <w:rPr>
          <w:lang w:bidi="en-US"/>
        </w:rPr>
        <w:fldChar w:fldCharType="separate"/>
      </w:r>
      <w:r w:rsidR="00332C11" w:rsidRPr="00332C11">
        <w:rPr>
          <w:noProof/>
          <w:vertAlign w:val="superscript"/>
          <w:lang w:bidi="en-US"/>
        </w:rPr>
        <w:t>42</w:t>
      </w:r>
      <w:r w:rsidRPr="00281856">
        <w:rPr>
          <w:lang w:bidi="en-US"/>
        </w:rPr>
        <w:fldChar w:fldCharType="end"/>
      </w:r>
      <w:r w:rsidRPr="00281856">
        <w:rPr>
          <w:lang w:bidi="en-US"/>
        </w:rPr>
        <w:t xml:space="preserve"> to describe emulsion and </w:t>
      </w:r>
      <w:r w:rsidR="00DA2319" w:rsidRPr="00281856">
        <w:rPr>
          <w:lang w:bidi="en-US"/>
        </w:rPr>
        <w:t>microemulsion</w:t>
      </w:r>
      <w:r w:rsidRPr="00281856">
        <w:rPr>
          <w:lang w:bidi="en-US"/>
        </w:rPr>
        <w:t xml:space="preserve"> systems as well as the overall hydrophilic-lipophilic attraction of the surfactants, the practical applications of such correlations are still limited. For example, the parameters of Winsor R ratio are almost impossible to estimate, whereas the HLB concept has its own limitations of not taking into account of both equilibrium and formulation conditions. The HLD equation closes this gap by overcoming the limitations of both the Winsor R ratio and HLB equation. The negative, positive and zero values of HLD represents Type I, II and III microemulsion systems, respectively. There are two forms of the HLD equation, one form of the HLD equation is for ionic surfactants and the other form of the HLD equation is for nonionic surfactants </w:t>
      </w:r>
      <w:r w:rsidRPr="00281856">
        <w:rPr>
          <w:lang w:bidi="en-US"/>
        </w:rPr>
        <w:fldChar w:fldCharType="begin"/>
      </w:r>
      <w:r w:rsidR="00332C11">
        <w:rPr>
          <w:lang w:bidi="en-US"/>
        </w:rPr>
        <w:instrText xml:space="preserve"> ADDIN EN.CITE &lt;EndNote&gt;&lt;Cite&gt;&lt;Author&gt;Salager&lt;/Author&gt;&lt;Year&gt;1979&lt;/Year&gt;&lt;RecNum&gt;34&lt;/RecNum&gt;&lt;DisplayText&gt;&lt;style face="superscript"&gt;24&lt;/style&gt;&lt;/DisplayText&gt;&lt;record&gt;&lt;rec-number&gt;34&lt;/rec-number&gt;&lt;foreign-keys&gt;&lt;key app="EN" db-id="a5zz9zdsp2tzdiedrdov0ztx9zwzps0patvs" timestamp="1424741472"&gt;34&lt;/key&gt;&lt;/foreign-keys&gt;&lt;ref-type name="Journal Article"&gt;17&lt;/ref-type&gt;&lt;contributors&gt;&lt;authors&gt;&lt;author&gt;Salager, JL&lt;/author&gt;&lt;author&gt;Morgan, JC&lt;/author&gt;&lt;author&gt;Schechter, RS&lt;/author&gt;&lt;author&gt;Wade, WH&lt;/author&gt;&lt;author&gt;Vasquez, E&lt;/author&gt;&lt;/authors&gt;&lt;/contributors&gt;&lt;titles&gt;&lt;title&gt;Optimum formulation of surfactant/water/oil systems for minimum interfacial tension or phase behavior&lt;/title&gt;&lt;secondary-title&gt;Soc. Pet. Eng. J&lt;/secondary-title&gt;&lt;/titles&gt;&lt;periodical&gt;&lt;full-title&gt;Soc. Pet. Eng. J&lt;/full-title&gt;&lt;/periodical&gt;&lt;pages&gt;107-115&lt;/pages&gt;&lt;volume&gt;19&lt;/volume&gt;&lt;number&gt;2&lt;/number&gt;&lt;dates&gt;&lt;year&gt;1979&lt;/year&gt;&lt;/dates&gt;&lt;urls&gt;&lt;/urls&gt;&lt;/record&gt;&lt;/Cite&gt;&lt;/EndNote&gt;</w:instrText>
      </w:r>
      <w:r w:rsidRPr="00281856">
        <w:rPr>
          <w:lang w:bidi="en-US"/>
        </w:rPr>
        <w:fldChar w:fldCharType="separate"/>
      </w:r>
      <w:r w:rsidR="00332C11" w:rsidRPr="00332C11">
        <w:rPr>
          <w:noProof/>
          <w:vertAlign w:val="superscript"/>
          <w:lang w:bidi="en-US"/>
        </w:rPr>
        <w:t>24</w:t>
      </w:r>
      <w:r w:rsidRPr="00281856">
        <w:rPr>
          <w:lang w:bidi="en-US"/>
        </w:rPr>
        <w:fldChar w:fldCharType="end"/>
      </w:r>
      <w:r w:rsidRPr="00281856">
        <w:rPr>
          <w:lang w:bidi="en-US"/>
        </w:rPr>
        <w:t>. Since the surfactants that are used in this research are anionic, the HLD equation is written as:</w:t>
      </w:r>
    </w:p>
    <w:p w:rsidR="00281856" w:rsidRPr="00281856" w:rsidRDefault="00281856" w:rsidP="00281856">
      <w:pPr>
        <w:jc w:val="both"/>
        <w:rPr>
          <w:lang w:bidi="en-US"/>
        </w:rPr>
      </w:pPr>
      <m:oMath>
        <m:r>
          <w:rPr>
            <w:rFonts w:ascii="Cambria Math" w:hAnsi="Cambria Math"/>
          </w:rPr>
          <m:t>HLD=Cc+</m:t>
        </m:r>
        <m:func>
          <m:funcPr>
            <m:ctrlPr>
              <w:rPr>
                <w:rFonts w:ascii="Cambria Math" w:hAnsi="Cambria Math"/>
                <w:lang w:bidi="en-US"/>
              </w:rPr>
            </m:ctrlPr>
          </m:funcPr>
          <m:fName>
            <m:r>
              <m:rPr>
                <m:sty m:val="p"/>
              </m:rPr>
              <w:rPr>
                <w:rFonts w:ascii="Cambria Math" w:hAnsi="Cambria Math"/>
              </w:rPr>
              <m:t>ln</m:t>
            </m:r>
          </m:fName>
          <m:e>
            <m:d>
              <m:dPr>
                <m:ctrlPr>
                  <w:rPr>
                    <w:rFonts w:ascii="Cambria Math" w:hAnsi="Cambria Math"/>
                    <w:i/>
                    <w:lang w:bidi="en-US"/>
                  </w:rPr>
                </m:ctrlPr>
              </m:dPr>
              <m:e>
                <m:r>
                  <w:rPr>
                    <w:rFonts w:ascii="Cambria Math" w:hAnsi="Cambria Math"/>
                  </w:rPr>
                  <m:t>S</m:t>
                </m:r>
              </m:e>
            </m:d>
          </m:e>
        </m:func>
        <m:r>
          <w:rPr>
            <w:rFonts w:ascii="Cambria Math" w:hAnsi="Cambria Math"/>
          </w:rPr>
          <m:t>-K</m:t>
        </m:r>
        <m:d>
          <m:dPr>
            <m:ctrlPr>
              <w:rPr>
                <w:rFonts w:ascii="Cambria Math" w:hAnsi="Cambria Math"/>
                <w:i/>
                <w:lang w:bidi="en-US"/>
              </w:rPr>
            </m:ctrlPr>
          </m:dPr>
          <m:e>
            <m:r>
              <w:rPr>
                <w:rFonts w:ascii="Cambria Math" w:hAnsi="Cambria Math"/>
              </w:rPr>
              <m:t>EACN</m:t>
            </m:r>
          </m:e>
        </m:d>
        <m:r>
          <w:rPr>
            <w:rFonts w:ascii="Cambria Math" w:hAnsi="Cambria Math"/>
          </w:rPr>
          <m:t>-f</m:t>
        </m:r>
        <m:d>
          <m:dPr>
            <m:ctrlPr>
              <w:rPr>
                <w:rFonts w:ascii="Cambria Math" w:hAnsi="Cambria Math"/>
                <w:i/>
                <w:lang w:bidi="en-US"/>
              </w:rPr>
            </m:ctrlPr>
          </m:dPr>
          <m:e>
            <m:r>
              <w:rPr>
                <w:rFonts w:ascii="Cambria Math" w:hAnsi="Cambria Math"/>
              </w:rPr>
              <m:t>A</m:t>
            </m:r>
          </m:e>
        </m:d>
        <m:r>
          <w:rPr>
            <w:rFonts w:ascii="Cambria Math" w:hAnsi="Cambria Math"/>
          </w:rPr>
          <m:t>-</m:t>
        </m:r>
        <m:sSub>
          <m:sSubPr>
            <m:ctrlPr>
              <w:rPr>
                <w:rFonts w:ascii="Cambria Math" w:hAnsi="Cambria Math"/>
                <w:i/>
                <w:lang w:bidi="en-US"/>
              </w:rPr>
            </m:ctrlPr>
          </m:sSubPr>
          <m:e>
            <m:r>
              <w:rPr>
                <w:rFonts w:ascii="Cambria Math" w:hAnsi="Cambria Math"/>
              </w:rPr>
              <m:t>α</m:t>
            </m:r>
          </m:e>
          <m:sub>
            <m:r>
              <w:rPr>
                <w:rFonts w:ascii="Cambria Math" w:hAnsi="Cambria Math"/>
              </w:rPr>
              <m:t>T</m:t>
            </m:r>
          </m:sub>
        </m:sSub>
        <m:r>
          <w:rPr>
            <w:rFonts w:ascii="Cambria Math" w:hAnsi="Cambria Math"/>
          </w:rPr>
          <m:t>(∆T)</m:t>
        </m:r>
      </m:oMath>
      <w:r w:rsidRPr="00281856">
        <w:rPr>
          <w:lang w:bidi="en-US"/>
        </w:rPr>
        <w:tab/>
      </w:r>
      <w:r w:rsidRPr="00281856">
        <w:rPr>
          <w:lang w:bidi="en-US"/>
        </w:rPr>
        <w:tab/>
        <w:t>(Equation 1)</w:t>
      </w:r>
    </w:p>
    <w:p w:rsidR="00281856" w:rsidRPr="00281856" w:rsidRDefault="00961EE9" w:rsidP="00281856">
      <w:pPr>
        <w:jc w:val="both"/>
        <w:rPr>
          <w:lang w:bidi="en-US"/>
        </w:rPr>
      </w:pPr>
      <w:r>
        <w:rPr>
          <w:lang w:bidi="en-US"/>
        </w:rPr>
        <w:lastRenderedPageBreak/>
        <w:t>w</w:t>
      </w:r>
      <w:r w:rsidR="00281856" w:rsidRPr="00281856">
        <w:rPr>
          <w:lang w:bidi="en-US"/>
        </w:rPr>
        <w:t>here Cc determines the hydrophobicity of a surfactant, S is the salinity of the aqueous phase in grams of NaCl per 100 ml. of solution, K is the constant whose value depends on surfact</w:t>
      </w:r>
      <w:r w:rsidR="00422003">
        <w:rPr>
          <w:lang w:bidi="en-US"/>
        </w:rPr>
        <w:t>ant head group and its hydrophil</w:t>
      </w:r>
      <w:r w:rsidR="00281856" w:rsidRPr="00281856">
        <w:rPr>
          <w:lang w:bidi="en-US"/>
        </w:rPr>
        <w:t>icity, EACN is the equivalent alkane carbon number of the oil used, f (A) is the alcohol constant, α</w:t>
      </w:r>
      <w:r w:rsidR="00281856" w:rsidRPr="00281856">
        <w:rPr>
          <w:vertAlign w:val="subscript"/>
          <w:lang w:bidi="en-US"/>
        </w:rPr>
        <w:t>T</w:t>
      </w:r>
      <w:r w:rsidR="00281856" w:rsidRPr="00281856">
        <w:rPr>
          <w:lang w:bidi="en-US"/>
        </w:rPr>
        <w:t xml:space="preserve"> is a temperature constant, and ΔT is the difference between formulation temperature, T, and the reference temperature, T</w:t>
      </w:r>
      <w:r w:rsidR="00281856" w:rsidRPr="00281856">
        <w:rPr>
          <w:vertAlign w:val="subscript"/>
          <w:lang w:bidi="en-US"/>
        </w:rPr>
        <w:t>ref.</w:t>
      </w:r>
      <w:r w:rsidR="00281856" w:rsidRPr="00281856">
        <w:rPr>
          <w:lang w:bidi="en-US"/>
        </w:rPr>
        <w:t xml:space="preserve"> = 25°C. </w:t>
      </w:r>
    </w:p>
    <w:p w:rsidR="00281856" w:rsidRPr="00281856" w:rsidRDefault="00281856" w:rsidP="00281856">
      <w:pPr>
        <w:jc w:val="both"/>
        <w:rPr>
          <w:lang w:bidi="en-US"/>
        </w:rPr>
      </w:pPr>
      <w:r w:rsidRPr="00281856">
        <w:rPr>
          <w:lang w:bidi="en-US"/>
        </w:rPr>
        <w:t>Some researchers have reported that a change in system pressure results in changes to the optimal salinities</w:t>
      </w:r>
      <w:r w:rsidRPr="00281856">
        <w:rPr>
          <w:lang w:bidi="en-US"/>
        </w:rPr>
        <w:fldChar w:fldCharType="begin"/>
      </w:r>
      <w:r w:rsidR="00332C11">
        <w:rPr>
          <w:lang w:bidi="en-US"/>
        </w:rPr>
        <w:instrText xml:space="preserve"> ADDIN EN.CITE &lt;EndNote&gt;&lt;Cite&gt;&lt;Author&gt;Skauge&lt;/Author&gt;&lt;Year&gt;1990&lt;/Year&gt;&lt;RecNum&gt;68&lt;/RecNum&gt;&lt;DisplayText&gt;&lt;style face="superscript"&gt;43&lt;/style&gt;&lt;/DisplayText&gt;&lt;record&gt;&lt;rec-number&gt;68&lt;/rec-number&gt;&lt;foreign-keys&gt;&lt;key app="EN" db-id="a5zz9zdsp2tzdiedrdov0ztx9zwzps0patvs" timestamp="1425600745"&gt;68&lt;/key&gt;&lt;/foreign-keys&gt;&lt;ref-type name="Journal Article"&gt;17&lt;/ref-type&gt;&lt;contributors&gt;&lt;authors&gt;&lt;author&gt;Skauge, Arne&lt;/author&gt;&lt;author&gt;Fotland, Per&lt;/author&gt;&lt;/authors&gt;&lt;/contributors&gt;&lt;titles&gt;&lt;title&gt;Effect of pressure and temperature on the phase behavior of microemulsions&lt;/title&gt;&lt;secondary-title&gt;SPE Reservoir Engineering&lt;/secondary-title&gt;&lt;/titles&gt;&lt;periodical&gt;&lt;full-title&gt;SPE Reservoir Engineering&lt;/full-title&gt;&lt;/periodical&gt;&lt;pages&gt;601-608&lt;/pages&gt;&lt;volume&gt;5&lt;/volume&gt;&lt;number&gt;04&lt;/number&gt;&lt;dates&gt;&lt;year&gt;1990&lt;/year&gt;&lt;/dates&gt;&lt;isbn&gt;0885-9248&lt;/isbn&gt;&lt;urls&gt;&lt;/urls&gt;&lt;/record&gt;&lt;/Cite&gt;&lt;/EndNote&gt;</w:instrText>
      </w:r>
      <w:r w:rsidRPr="00281856">
        <w:rPr>
          <w:lang w:bidi="en-US"/>
        </w:rPr>
        <w:fldChar w:fldCharType="separate"/>
      </w:r>
      <w:r w:rsidR="00332C11" w:rsidRPr="00332C11">
        <w:rPr>
          <w:noProof/>
          <w:vertAlign w:val="superscript"/>
          <w:lang w:bidi="en-US"/>
        </w:rPr>
        <w:t>43</w:t>
      </w:r>
      <w:r w:rsidRPr="00281856">
        <w:rPr>
          <w:lang w:bidi="en-US"/>
        </w:rPr>
        <w:fldChar w:fldCharType="end"/>
      </w:r>
      <w:r w:rsidRPr="00281856">
        <w:rPr>
          <w:lang w:bidi="en-US"/>
        </w:rPr>
        <w:t xml:space="preserve"> and have incorporated pressure correction factor in the HLD equation</w:t>
      </w:r>
      <w:r w:rsidRPr="00281856">
        <w:rPr>
          <w:lang w:bidi="en-US"/>
        </w:rPr>
        <w:fldChar w:fldCharType="begin"/>
      </w:r>
      <w:r w:rsidR="00332C11">
        <w:rPr>
          <w:lang w:bidi="en-US"/>
        </w:rPr>
        <w:instrText xml:space="preserve"> ADDIN EN.CITE &lt;EndNote&gt;&lt;Cite&gt;&lt;Author&gt;Ghosh&lt;/Author&gt;&lt;Year&gt;2014&lt;/Year&gt;&lt;RecNum&gt;69&lt;/RecNum&gt;&lt;DisplayText&gt;&lt;style face="superscript"&gt;44&lt;/style&gt;&lt;/DisplayText&gt;&lt;record&gt;&lt;rec-number&gt;69&lt;/rec-number&gt;&lt;foreign-keys&gt;&lt;key app="EN" db-id="a5zz9zdsp2tzdiedrdov0ztx9zwzps0patvs" timestamp="1425600965"&gt;69&lt;/key&gt;&lt;/foreign-keys&gt;&lt;ref-type name="Conference Proceedings"&gt;10&lt;/ref-type&gt;&lt;contributors&gt;&lt;authors&gt;&lt;author&gt;Ghosh, Soumyadeep&lt;/author&gt;&lt;author&gt;Johns, Russell Taylor&lt;/author&gt;&lt;/authors&gt;&lt;/contributors&gt;&lt;titles&gt;&lt;title&gt;A New HLD-NAC Based EOS Approach to Predict Surfactant-Oil-Brine Phase Behavior for Live Oil at Reservoir Pressure and Temperature&lt;/title&gt;&lt;secondary-title&gt;SPE Annual Technical Conference and Exhibition&lt;/secondary-title&gt;&lt;/titles&gt;&lt;dates&gt;&lt;year&gt;2014&lt;/year&gt;&lt;/dates&gt;&lt;publisher&gt;Society of Petroleum Engineers&lt;/publisher&gt;&lt;isbn&gt;1613993188&lt;/isbn&gt;&lt;urls&gt;&lt;/urls&gt;&lt;/record&gt;&lt;/Cite&gt;&lt;/EndNote&gt;</w:instrText>
      </w:r>
      <w:r w:rsidRPr="00281856">
        <w:rPr>
          <w:lang w:bidi="en-US"/>
        </w:rPr>
        <w:fldChar w:fldCharType="separate"/>
      </w:r>
      <w:r w:rsidR="00332C11" w:rsidRPr="00332C11">
        <w:rPr>
          <w:noProof/>
          <w:vertAlign w:val="superscript"/>
          <w:lang w:bidi="en-US"/>
        </w:rPr>
        <w:t>44</w:t>
      </w:r>
      <w:r w:rsidRPr="00281856">
        <w:rPr>
          <w:lang w:bidi="en-US"/>
        </w:rPr>
        <w:fldChar w:fldCharType="end"/>
      </w:r>
      <w:r w:rsidRPr="00281856">
        <w:rPr>
          <w:lang w:bidi="en-US"/>
        </w:rPr>
        <w:t xml:space="preserve">. However, such an effect is found to be extremely small especially if the formulation condition is not very far, a few hundred bars, from atmospheric. Therefore the pressure term is neglected for this work. </w:t>
      </w:r>
    </w:p>
    <w:p w:rsidR="00281856" w:rsidRPr="00281856" w:rsidRDefault="00281856" w:rsidP="00281856">
      <w:pPr>
        <w:jc w:val="both"/>
        <w:rPr>
          <w:lang w:bidi="en-US"/>
        </w:rPr>
      </w:pPr>
      <w:r w:rsidRPr="00281856">
        <w:rPr>
          <w:lang w:bidi="en-US"/>
        </w:rPr>
        <w:t>At optimal condition, HLD is equal to zero and the salinity ‘S’ represents the optimal salinity ‘S*’. Assuming T = T</w:t>
      </w:r>
      <w:r w:rsidRPr="00281856">
        <w:rPr>
          <w:vertAlign w:val="subscript"/>
          <w:lang w:bidi="en-US"/>
        </w:rPr>
        <w:t>ref</w:t>
      </w:r>
      <w:r w:rsidRPr="00281856">
        <w:rPr>
          <w:lang w:bidi="en-US"/>
        </w:rPr>
        <w:t xml:space="preserve"> = 25°C, and if no alcohol is used i.e. f (A) = 0, the HLD equation can be rewritten as:</w:t>
      </w:r>
    </w:p>
    <w:p w:rsidR="00281856" w:rsidRPr="00281856" w:rsidRDefault="00281856" w:rsidP="00281856">
      <w:pPr>
        <w:jc w:val="both"/>
        <w:rPr>
          <w:lang w:bidi="en-US"/>
        </w:rPr>
      </w:pPr>
      <w:r w:rsidRPr="00281856">
        <w:rPr>
          <w:lang w:bidi="en-US"/>
        </w:rPr>
        <w:t xml:space="preserve"> </w:t>
      </w:r>
      <m:oMath>
        <m:func>
          <m:funcPr>
            <m:ctrlPr>
              <w:rPr>
                <w:rFonts w:ascii="Cambria Math" w:hAnsi="Cambria Math"/>
                <w:i/>
                <w:lang w:bidi="en-US"/>
              </w:rPr>
            </m:ctrlPr>
          </m:funcPr>
          <m:fName>
            <m:r>
              <m:rPr>
                <m:sty m:val="p"/>
              </m:rPr>
              <w:rPr>
                <w:rFonts w:ascii="Cambria Math" w:hAnsi="Cambria Math"/>
              </w:rPr>
              <m:t>ln</m:t>
            </m:r>
          </m:fName>
          <m:e>
            <m:sSup>
              <m:sSupPr>
                <m:ctrlPr>
                  <w:rPr>
                    <w:rFonts w:ascii="Cambria Math" w:hAnsi="Cambria Math"/>
                    <w:i/>
                    <w:lang w:bidi="en-US"/>
                  </w:rPr>
                </m:ctrlPr>
              </m:sSupPr>
              <m:e>
                <m:r>
                  <w:rPr>
                    <w:rFonts w:ascii="Cambria Math" w:hAnsi="Cambria Math"/>
                  </w:rPr>
                  <m:t>S</m:t>
                </m:r>
              </m:e>
              <m:sup>
                <m:r>
                  <w:rPr>
                    <w:rFonts w:ascii="Cambria Math" w:hAnsi="Cambria Math"/>
                  </w:rPr>
                  <m:t>*</m:t>
                </m:r>
              </m:sup>
            </m:sSup>
          </m:e>
        </m:func>
        <m:r>
          <w:rPr>
            <w:rFonts w:ascii="Cambria Math" w:hAnsi="Cambria Math"/>
          </w:rPr>
          <m:t>=K</m:t>
        </m:r>
        <m:d>
          <m:dPr>
            <m:ctrlPr>
              <w:rPr>
                <w:rFonts w:ascii="Cambria Math" w:hAnsi="Cambria Math"/>
                <w:i/>
                <w:lang w:bidi="en-US"/>
              </w:rPr>
            </m:ctrlPr>
          </m:dPr>
          <m:e>
            <m:r>
              <w:rPr>
                <w:rFonts w:ascii="Cambria Math" w:hAnsi="Cambria Math"/>
              </w:rPr>
              <m:t>EACN</m:t>
            </m:r>
          </m:e>
        </m:d>
        <m:r>
          <w:rPr>
            <w:rFonts w:ascii="Cambria Math" w:hAnsi="Cambria Math"/>
          </w:rPr>
          <m:t>-Cc</m:t>
        </m:r>
      </m:oMath>
      <w:r w:rsidRPr="00281856">
        <w:rPr>
          <w:lang w:bidi="en-US"/>
        </w:rPr>
        <w:tab/>
      </w:r>
      <w:r w:rsidRPr="00281856">
        <w:rPr>
          <w:lang w:bidi="en-US"/>
        </w:rPr>
        <w:tab/>
      </w:r>
      <w:r w:rsidRPr="00281856">
        <w:rPr>
          <w:lang w:bidi="en-US"/>
        </w:rPr>
        <w:tab/>
      </w:r>
      <w:r w:rsidRPr="00281856">
        <w:rPr>
          <w:lang w:bidi="en-US"/>
        </w:rPr>
        <w:tab/>
      </w:r>
      <w:r w:rsidRPr="00281856">
        <w:rPr>
          <w:lang w:bidi="en-US"/>
        </w:rPr>
        <w:tab/>
        <w:t>(Equation 2)</w:t>
      </w:r>
    </w:p>
    <w:p w:rsidR="00281856" w:rsidRPr="00281856" w:rsidRDefault="00281856" w:rsidP="00281856">
      <w:pPr>
        <w:jc w:val="both"/>
        <w:rPr>
          <w:lang w:bidi="en-US"/>
        </w:rPr>
      </w:pPr>
      <w:r w:rsidRPr="00281856">
        <w:rPr>
          <w:lang w:bidi="en-US"/>
        </w:rPr>
        <w:t>If two or more different oil phases are used to determine the optimal salinities of a single surfactant syste</w:t>
      </w:r>
      <w:r w:rsidR="00870B1E">
        <w:rPr>
          <w:lang w:bidi="en-US"/>
        </w:rPr>
        <w:t>m, the slope of the plot (lnS* v</w:t>
      </w:r>
      <w:r w:rsidRPr="00281856">
        <w:rPr>
          <w:lang w:bidi="en-US"/>
        </w:rPr>
        <w:t xml:space="preserve">s EACN) is the K-value and the intercept is the Cc of that surfactant.  </w:t>
      </w:r>
    </w:p>
    <w:p w:rsidR="00281856" w:rsidRPr="00281856" w:rsidRDefault="00281856" w:rsidP="00281856">
      <w:pPr>
        <w:jc w:val="both"/>
        <w:rPr>
          <w:lang w:bidi="en-US"/>
        </w:rPr>
      </w:pPr>
      <w:r w:rsidRPr="00281856">
        <w:rPr>
          <w:lang w:bidi="en-US"/>
        </w:rPr>
        <w:t xml:space="preserve">Surfactants with a long straight tail are known to form viscous microemulsions, gels or liquid crystals with various oil phases even at the optimal condition. In this situation, the equilibration time can last up to three to four weeks and in some cases it becomes very challenging to </w:t>
      </w:r>
      <w:r w:rsidR="00961EE9">
        <w:rPr>
          <w:lang w:bidi="en-US"/>
        </w:rPr>
        <w:t>observe</w:t>
      </w:r>
      <w:r w:rsidRPr="00281856">
        <w:rPr>
          <w:lang w:bidi="en-US"/>
        </w:rPr>
        <w:t xml:space="preserve"> the actual middle phase microemulsions, making it extremely difficult to evaluate the HLD parameters. To overcome this, a linear surfactant mixing </w:t>
      </w:r>
      <w:r w:rsidRPr="00281856">
        <w:rPr>
          <w:lang w:bidi="en-US"/>
        </w:rPr>
        <w:lastRenderedPageBreak/>
        <w:t xml:space="preserve">rule proposed by Acosta </w:t>
      </w:r>
      <w:r w:rsidRPr="00281856">
        <w:rPr>
          <w:i/>
          <w:lang w:bidi="en-US"/>
        </w:rPr>
        <w:t>et al.</w:t>
      </w:r>
      <w:r w:rsidRPr="00281856">
        <w:rPr>
          <w:lang w:bidi="en-US"/>
        </w:rPr>
        <w:fldChar w:fldCharType="begin"/>
      </w:r>
      <w:r w:rsidR="00332C11">
        <w:rPr>
          <w:lang w:bidi="en-US"/>
        </w:rPr>
        <w:instrText xml:space="preserve"> ADDIN EN.CITE &lt;EndNote&gt;&lt;Cite&gt;&lt;Author&gt;Acosta&lt;/Author&gt;&lt;Year&gt;2008&lt;/Year&gt;&lt;RecNum&gt;49&lt;/RecNum&gt;&lt;DisplayText&gt;&lt;style face="superscript"&gt;45&lt;/style&gt;&lt;/DisplayText&gt;&lt;record&gt;&lt;rec-number&gt;49&lt;/rec-number&gt;&lt;foreign-keys&gt;&lt;key app="EN" db-id="a5zz9zdsp2tzdiedrdov0ztx9zwzps0patvs" timestamp="1424742346"&gt;49&lt;/key&gt;&lt;/foreign-keys&gt;&lt;ref-type name="Journal Article"&gt;17&lt;/ref-type&gt;&lt;contributors&gt;&lt;authors&gt;&lt;author&gt;Acosta, Edgar J&lt;/author&gt;&lt;author&gt;Yuan, Jessica Sh&lt;/author&gt;&lt;author&gt;Bhakta, Arti Sh&lt;/author&gt;&lt;/authors&gt;&lt;/contributors&gt;&lt;titles&gt;&lt;title&gt;The characteristic curvature of ionic surfactants&lt;/title&gt;&lt;secondary-title&gt;Journal of Surfactants and Detergents&lt;/secondary-title&gt;&lt;/titles&gt;&lt;periodical&gt;&lt;full-title&gt;Journal of Surfactants and Detergents&lt;/full-title&gt;&lt;/periodical&gt;&lt;pages&gt;145-158&lt;/pages&gt;&lt;volume&gt;11&lt;/volume&gt;&lt;number&gt;2&lt;/number&gt;&lt;dates&gt;&lt;year&gt;2008&lt;/year&gt;&lt;/dates&gt;&lt;isbn&gt;1097-3958&lt;/isbn&gt;&lt;urls&gt;&lt;/urls&gt;&lt;/record&gt;&lt;/Cite&gt;&lt;/EndNote&gt;</w:instrText>
      </w:r>
      <w:r w:rsidRPr="00281856">
        <w:rPr>
          <w:lang w:bidi="en-US"/>
        </w:rPr>
        <w:fldChar w:fldCharType="separate"/>
      </w:r>
      <w:r w:rsidR="00332C11" w:rsidRPr="00332C11">
        <w:rPr>
          <w:noProof/>
          <w:vertAlign w:val="superscript"/>
          <w:lang w:bidi="en-US"/>
        </w:rPr>
        <w:t>45</w:t>
      </w:r>
      <w:r w:rsidRPr="00281856">
        <w:rPr>
          <w:lang w:bidi="en-US"/>
        </w:rPr>
        <w:fldChar w:fldCharType="end"/>
      </w:r>
      <w:r w:rsidRPr="00281856">
        <w:rPr>
          <w:lang w:bidi="en-US"/>
        </w:rPr>
        <w:t xml:space="preserve"> is adapted to evaluate the parameters of the HLD equations. Sodium di-hexyl sulfosuccinate, AMA, is used as the reference surfactant. AMA is known to form translucent middle phase microemulsions with various oils, and when AMA is mixed with the surfactant of interest, visually translucent middle phases may form which makes it easier to estimate the HLD parameters of the surfactant of interest. Thus, Equation 2 can be conveniently written in the form of line</w:t>
      </w:r>
      <w:r w:rsidR="00961EE9">
        <w:rPr>
          <w:lang w:bidi="en-US"/>
        </w:rPr>
        <w:t>a</w:t>
      </w:r>
      <w:r w:rsidRPr="00281856">
        <w:rPr>
          <w:lang w:bidi="en-US"/>
        </w:rPr>
        <w:t>r mixing rules as:</w:t>
      </w:r>
    </w:p>
    <w:p w:rsidR="00281856" w:rsidRPr="00281856" w:rsidRDefault="001C58A2" w:rsidP="00281856">
      <w:pPr>
        <w:jc w:val="both"/>
        <w:rPr>
          <w:lang w:bidi="en-US"/>
        </w:rPr>
      </w:pPr>
      <m:oMath>
        <m:sSubSup>
          <m:sSubSupPr>
            <m:ctrlPr>
              <w:rPr>
                <w:rFonts w:ascii="Cambria Math" w:hAnsi="Cambria Math"/>
                <w:i/>
                <w:lang w:bidi="en-US"/>
              </w:rPr>
            </m:ctrlPr>
          </m:sSubSupPr>
          <m:e>
            <m:r>
              <w:rPr>
                <w:rFonts w:ascii="Cambria Math" w:hAnsi="Cambria Math"/>
              </w:rPr>
              <m:t>lnS</m:t>
            </m:r>
          </m:e>
          <m:sub>
            <m:r>
              <w:rPr>
                <w:rFonts w:ascii="Cambria Math" w:hAnsi="Cambria Math"/>
              </w:rPr>
              <m:t>mix</m:t>
            </m:r>
          </m:sub>
          <m:sup>
            <m:r>
              <w:rPr>
                <w:rFonts w:ascii="Cambria Math" w:hAnsi="Cambria Math"/>
              </w:rPr>
              <m:t>*</m:t>
            </m:r>
          </m:sup>
        </m:sSubSup>
        <m:r>
          <w:rPr>
            <w:rFonts w:ascii="Cambria Math" w:hAnsi="Cambria Math"/>
          </w:rPr>
          <m:t>=</m:t>
        </m:r>
        <m:sSub>
          <m:sSubPr>
            <m:ctrlPr>
              <w:rPr>
                <w:rFonts w:ascii="Cambria Math" w:hAnsi="Cambria Math"/>
                <w:i/>
                <w:lang w:bidi="en-US"/>
              </w:rPr>
            </m:ctrlPr>
          </m:sSubPr>
          <m:e>
            <m:r>
              <w:rPr>
                <w:rFonts w:ascii="Cambria Math" w:hAnsi="Cambria Math"/>
              </w:rPr>
              <m:t>K</m:t>
            </m:r>
          </m:e>
          <m:sub>
            <m:r>
              <w:rPr>
                <w:rFonts w:ascii="Cambria Math" w:hAnsi="Cambria Math"/>
              </w:rPr>
              <m:t>mix</m:t>
            </m:r>
          </m:sub>
        </m:sSub>
        <m:d>
          <m:dPr>
            <m:ctrlPr>
              <w:rPr>
                <w:rFonts w:ascii="Cambria Math" w:hAnsi="Cambria Math"/>
                <w:i/>
                <w:lang w:bidi="en-US"/>
              </w:rPr>
            </m:ctrlPr>
          </m:dPr>
          <m:e>
            <m:r>
              <w:rPr>
                <w:rFonts w:ascii="Cambria Math" w:hAnsi="Cambria Math"/>
              </w:rPr>
              <m:t>EACN</m:t>
            </m:r>
          </m:e>
        </m:d>
        <m:r>
          <w:rPr>
            <w:rFonts w:ascii="Cambria Math" w:hAnsi="Cambria Math"/>
          </w:rPr>
          <m:t>-</m:t>
        </m:r>
        <m:sSub>
          <m:sSubPr>
            <m:ctrlPr>
              <w:rPr>
                <w:rFonts w:ascii="Cambria Math" w:hAnsi="Cambria Math"/>
                <w:i/>
                <w:lang w:bidi="en-US"/>
              </w:rPr>
            </m:ctrlPr>
          </m:sSubPr>
          <m:e>
            <m:r>
              <w:rPr>
                <w:rFonts w:ascii="Cambria Math" w:hAnsi="Cambria Math"/>
              </w:rPr>
              <m:t>Cc</m:t>
            </m:r>
          </m:e>
          <m:sub>
            <m:r>
              <w:rPr>
                <w:rFonts w:ascii="Cambria Math" w:hAnsi="Cambria Math"/>
              </w:rPr>
              <m:t>mix</m:t>
            </m:r>
          </m:sub>
        </m:sSub>
      </m:oMath>
      <w:r w:rsidR="00281856" w:rsidRPr="00281856">
        <w:rPr>
          <w:lang w:bidi="en-US"/>
        </w:rPr>
        <w:t xml:space="preserve"> </w:t>
      </w:r>
      <w:r w:rsidR="00281856" w:rsidRPr="00281856">
        <w:rPr>
          <w:lang w:bidi="en-US"/>
        </w:rPr>
        <w:tab/>
      </w:r>
      <w:r w:rsidR="00281856" w:rsidRPr="00281856">
        <w:rPr>
          <w:lang w:bidi="en-US"/>
        </w:rPr>
        <w:tab/>
      </w:r>
      <w:r w:rsidR="00281856" w:rsidRPr="00281856">
        <w:rPr>
          <w:lang w:bidi="en-US"/>
        </w:rPr>
        <w:tab/>
      </w:r>
      <w:r w:rsidR="00281856" w:rsidRPr="00281856">
        <w:rPr>
          <w:lang w:bidi="en-US"/>
        </w:rPr>
        <w:tab/>
        <w:t xml:space="preserve">(Equation 3) </w:t>
      </w:r>
    </w:p>
    <w:p w:rsidR="00281856" w:rsidRPr="00281856" w:rsidRDefault="00281856" w:rsidP="00281856">
      <w:pPr>
        <w:jc w:val="both"/>
        <w:rPr>
          <w:lang w:bidi="en-US"/>
        </w:rPr>
      </w:pPr>
      <w:r w:rsidRPr="00281856">
        <w:rPr>
          <w:lang w:bidi="en-US"/>
        </w:rPr>
        <w:t xml:space="preserve">Where </w:t>
      </w:r>
      <m:oMath>
        <m:r>
          <w:rPr>
            <w:rFonts w:ascii="Cambria Math" w:hAnsi="Cambria Math"/>
          </w:rPr>
          <m:t>ln</m:t>
        </m:r>
        <m:sSubSup>
          <m:sSubSupPr>
            <m:ctrlPr>
              <w:rPr>
                <w:rFonts w:ascii="Cambria Math" w:hAnsi="Cambria Math"/>
                <w:i/>
                <w:lang w:bidi="en-US"/>
              </w:rPr>
            </m:ctrlPr>
          </m:sSubSupPr>
          <m:e>
            <m:r>
              <w:rPr>
                <w:rFonts w:ascii="Cambria Math" w:hAnsi="Cambria Math"/>
              </w:rPr>
              <m:t>S</m:t>
            </m:r>
          </m:e>
          <m:sub>
            <m:r>
              <w:rPr>
                <w:rFonts w:ascii="Cambria Math" w:hAnsi="Cambria Math"/>
              </w:rPr>
              <m:t>mix=</m:t>
            </m:r>
          </m:sub>
          <m:sup>
            <m:r>
              <w:rPr>
                <w:rFonts w:ascii="Cambria Math" w:hAnsi="Cambria Math"/>
              </w:rPr>
              <m:t>*</m:t>
            </m:r>
          </m:sup>
        </m:sSubSup>
        <m:nary>
          <m:naryPr>
            <m:chr m:val="∑"/>
            <m:limLoc m:val="undOvr"/>
            <m:subHide m:val="1"/>
            <m:supHide m:val="1"/>
            <m:ctrlPr>
              <w:rPr>
                <w:rFonts w:ascii="Cambria Math" w:hAnsi="Cambria Math"/>
                <w:i/>
                <w:lang w:bidi="en-US"/>
              </w:rPr>
            </m:ctrlPr>
          </m:naryPr>
          <m:sub/>
          <m:sup/>
          <m:e>
            <m:sSub>
              <m:sSubPr>
                <m:ctrlPr>
                  <w:rPr>
                    <w:rFonts w:ascii="Cambria Math" w:hAnsi="Cambria Math"/>
                    <w:i/>
                    <w:lang w:bidi="en-US"/>
                  </w:rPr>
                </m:ctrlPr>
              </m:sSubPr>
              <m:e>
                <m:r>
                  <w:rPr>
                    <w:rFonts w:ascii="Cambria Math" w:hAnsi="Cambria Math"/>
                  </w:rPr>
                  <m:t>x</m:t>
                </m:r>
              </m:e>
              <m:sub>
                <m:r>
                  <w:rPr>
                    <w:rFonts w:ascii="Cambria Math" w:hAnsi="Cambria Math"/>
                  </w:rPr>
                  <m:t>i</m:t>
                </m:r>
              </m:sub>
            </m:sSub>
          </m:e>
        </m:nary>
        <m:sSubSup>
          <m:sSubSupPr>
            <m:ctrlPr>
              <w:rPr>
                <w:rFonts w:ascii="Cambria Math" w:hAnsi="Cambria Math"/>
                <w:i/>
                <w:lang w:bidi="en-US"/>
              </w:rPr>
            </m:ctrlPr>
          </m:sSubSupPr>
          <m:e>
            <m:r>
              <w:rPr>
                <w:rFonts w:ascii="Cambria Math" w:hAnsi="Cambria Math"/>
              </w:rPr>
              <m:t>lnS</m:t>
            </m:r>
          </m:e>
          <m:sub>
            <m:r>
              <w:rPr>
                <w:rFonts w:ascii="Cambria Math" w:hAnsi="Cambria Math"/>
              </w:rPr>
              <m:t>i</m:t>
            </m:r>
          </m:sub>
          <m:sup>
            <m:r>
              <w:rPr>
                <w:rFonts w:ascii="Cambria Math" w:hAnsi="Cambria Math"/>
              </w:rPr>
              <m:t>*</m:t>
            </m:r>
          </m:sup>
        </m:sSubSup>
      </m:oMath>
      <w:r w:rsidRPr="00281856">
        <w:rPr>
          <w:lang w:bidi="en-US"/>
        </w:rPr>
        <w:t xml:space="preserve"> </w:t>
      </w:r>
      <w:r w:rsidRPr="00281856">
        <w:rPr>
          <w:lang w:bidi="en-US"/>
        </w:rPr>
        <w:tab/>
      </w:r>
      <w:r w:rsidRPr="00281856">
        <w:rPr>
          <w:lang w:bidi="en-US"/>
        </w:rPr>
        <w:tab/>
      </w:r>
      <w:r w:rsidRPr="00281856">
        <w:rPr>
          <w:lang w:bidi="en-US"/>
        </w:rPr>
        <w:tab/>
      </w:r>
      <w:r w:rsidRPr="00281856">
        <w:rPr>
          <w:lang w:bidi="en-US"/>
        </w:rPr>
        <w:tab/>
      </w:r>
      <w:r w:rsidRPr="00281856">
        <w:rPr>
          <w:lang w:bidi="en-US"/>
        </w:rPr>
        <w:tab/>
        <w:t xml:space="preserve">(Equation 4) </w:t>
      </w:r>
    </w:p>
    <w:p w:rsidR="00281856" w:rsidRPr="00281856" w:rsidRDefault="001C58A2" w:rsidP="00281856">
      <w:pPr>
        <w:jc w:val="both"/>
        <w:rPr>
          <w:lang w:bidi="en-US"/>
        </w:rPr>
      </w:pPr>
      <m:oMath>
        <m:sSub>
          <m:sSubPr>
            <m:ctrlPr>
              <w:rPr>
                <w:rFonts w:ascii="Cambria Math" w:hAnsi="Cambria Math"/>
                <w:i/>
                <w:lang w:bidi="en-US"/>
              </w:rPr>
            </m:ctrlPr>
          </m:sSubPr>
          <m:e>
            <m:r>
              <w:rPr>
                <w:rFonts w:ascii="Cambria Math" w:hAnsi="Cambria Math"/>
              </w:rPr>
              <m:t>K</m:t>
            </m:r>
          </m:e>
          <m:sub>
            <m:r>
              <w:rPr>
                <w:rFonts w:ascii="Cambria Math" w:hAnsi="Cambria Math"/>
              </w:rPr>
              <m:t>mix</m:t>
            </m:r>
          </m:sub>
        </m:sSub>
        <m:r>
          <w:rPr>
            <w:rFonts w:ascii="Cambria Math" w:hAnsi="Cambria Math"/>
          </w:rPr>
          <m:t>=</m:t>
        </m:r>
        <m:nary>
          <m:naryPr>
            <m:chr m:val="∑"/>
            <m:limLoc m:val="undOvr"/>
            <m:subHide m:val="1"/>
            <m:supHide m:val="1"/>
            <m:ctrlPr>
              <w:rPr>
                <w:rFonts w:ascii="Cambria Math" w:hAnsi="Cambria Math"/>
                <w:i/>
                <w:lang w:bidi="en-US"/>
              </w:rPr>
            </m:ctrlPr>
          </m:naryPr>
          <m:sub/>
          <m:sup/>
          <m:e>
            <m:sSub>
              <m:sSubPr>
                <m:ctrlPr>
                  <w:rPr>
                    <w:rFonts w:ascii="Cambria Math" w:hAnsi="Cambria Math"/>
                    <w:i/>
                    <w:lang w:bidi="en-US"/>
                  </w:rPr>
                </m:ctrlPr>
              </m:sSubPr>
              <m:e>
                <m:r>
                  <w:rPr>
                    <w:rFonts w:ascii="Cambria Math" w:hAnsi="Cambria Math"/>
                  </w:rPr>
                  <m:t>x</m:t>
                </m:r>
              </m:e>
              <m:sub>
                <m:r>
                  <w:rPr>
                    <w:rFonts w:ascii="Cambria Math" w:hAnsi="Cambria Math"/>
                  </w:rPr>
                  <m:t>i</m:t>
                </m:r>
              </m:sub>
            </m:sSub>
            <m:sSub>
              <m:sSubPr>
                <m:ctrlPr>
                  <w:rPr>
                    <w:rFonts w:ascii="Cambria Math" w:hAnsi="Cambria Math"/>
                    <w:i/>
                    <w:lang w:bidi="en-US"/>
                  </w:rPr>
                </m:ctrlPr>
              </m:sSubPr>
              <m:e>
                <m:r>
                  <w:rPr>
                    <w:rFonts w:ascii="Cambria Math" w:hAnsi="Cambria Math"/>
                  </w:rPr>
                  <m:t>K</m:t>
                </m:r>
              </m:e>
              <m:sub>
                <m:r>
                  <w:rPr>
                    <w:rFonts w:ascii="Cambria Math" w:hAnsi="Cambria Math"/>
                  </w:rPr>
                  <m:t>i</m:t>
                </m:r>
              </m:sub>
            </m:sSub>
          </m:e>
        </m:nary>
      </m:oMath>
      <w:r w:rsidR="00281856" w:rsidRPr="00281856">
        <w:rPr>
          <w:lang w:bidi="en-US"/>
        </w:rPr>
        <w:t xml:space="preserve"> </w:t>
      </w:r>
      <w:r w:rsidR="00281856" w:rsidRPr="00281856">
        <w:rPr>
          <w:lang w:bidi="en-US"/>
        </w:rPr>
        <w:tab/>
      </w:r>
      <w:r w:rsidR="00281856" w:rsidRPr="00281856">
        <w:rPr>
          <w:lang w:bidi="en-US"/>
        </w:rPr>
        <w:tab/>
      </w:r>
      <w:r w:rsidR="00281856" w:rsidRPr="00281856">
        <w:rPr>
          <w:lang w:bidi="en-US"/>
        </w:rPr>
        <w:tab/>
      </w:r>
      <w:r w:rsidR="00281856" w:rsidRPr="00281856">
        <w:rPr>
          <w:lang w:bidi="en-US"/>
        </w:rPr>
        <w:tab/>
      </w:r>
      <w:r w:rsidR="00281856" w:rsidRPr="00281856">
        <w:rPr>
          <w:lang w:bidi="en-US"/>
        </w:rPr>
        <w:tab/>
      </w:r>
      <w:r w:rsidR="00281856" w:rsidRPr="00281856">
        <w:rPr>
          <w:lang w:bidi="en-US"/>
        </w:rPr>
        <w:tab/>
        <w:t xml:space="preserve">(Equation 5) </w:t>
      </w:r>
    </w:p>
    <w:p w:rsidR="00281856" w:rsidRPr="00281856" w:rsidRDefault="001C58A2" w:rsidP="00281856">
      <w:pPr>
        <w:jc w:val="both"/>
        <w:rPr>
          <w:lang w:bidi="en-US"/>
        </w:rPr>
      </w:pPr>
      <m:oMath>
        <m:sSub>
          <m:sSubPr>
            <m:ctrlPr>
              <w:rPr>
                <w:rFonts w:ascii="Cambria Math" w:hAnsi="Cambria Math"/>
                <w:i/>
                <w:lang w:bidi="en-US"/>
              </w:rPr>
            </m:ctrlPr>
          </m:sSubPr>
          <m:e>
            <m:r>
              <w:rPr>
                <w:rFonts w:ascii="Cambria Math" w:hAnsi="Cambria Math"/>
              </w:rPr>
              <m:t>Cc</m:t>
            </m:r>
          </m:e>
          <m:sub>
            <m:r>
              <w:rPr>
                <w:rFonts w:ascii="Cambria Math" w:hAnsi="Cambria Math"/>
              </w:rPr>
              <m:t>mix</m:t>
            </m:r>
          </m:sub>
        </m:sSub>
        <m:r>
          <w:rPr>
            <w:rFonts w:ascii="Cambria Math" w:hAnsi="Cambria Math"/>
          </w:rPr>
          <m:t>=</m:t>
        </m:r>
        <m:nary>
          <m:naryPr>
            <m:chr m:val="∑"/>
            <m:limLoc m:val="undOvr"/>
            <m:subHide m:val="1"/>
            <m:supHide m:val="1"/>
            <m:ctrlPr>
              <w:rPr>
                <w:rFonts w:ascii="Cambria Math" w:hAnsi="Cambria Math"/>
                <w:i/>
                <w:lang w:bidi="en-US"/>
              </w:rPr>
            </m:ctrlPr>
          </m:naryPr>
          <m:sub/>
          <m:sup/>
          <m:e>
            <m:sSub>
              <m:sSubPr>
                <m:ctrlPr>
                  <w:rPr>
                    <w:rFonts w:ascii="Cambria Math" w:hAnsi="Cambria Math"/>
                    <w:i/>
                    <w:lang w:bidi="en-US"/>
                  </w:rPr>
                </m:ctrlPr>
              </m:sSubPr>
              <m:e>
                <m:r>
                  <w:rPr>
                    <w:rFonts w:ascii="Cambria Math" w:hAnsi="Cambria Math"/>
                  </w:rPr>
                  <m:t>x</m:t>
                </m:r>
              </m:e>
              <m:sub>
                <m:r>
                  <w:rPr>
                    <w:rFonts w:ascii="Cambria Math" w:hAnsi="Cambria Math"/>
                  </w:rPr>
                  <m:t>i</m:t>
                </m:r>
              </m:sub>
            </m:sSub>
          </m:e>
        </m:nary>
        <m:sSub>
          <m:sSubPr>
            <m:ctrlPr>
              <w:rPr>
                <w:rFonts w:ascii="Cambria Math" w:hAnsi="Cambria Math"/>
                <w:i/>
                <w:lang w:bidi="en-US"/>
              </w:rPr>
            </m:ctrlPr>
          </m:sSubPr>
          <m:e>
            <m:r>
              <w:rPr>
                <w:rFonts w:ascii="Cambria Math" w:hAnsi="Cambria Math"/>
              </w:rPr>
              <m:t>Cc</m:t>
            </m:r>
          </m:e>
          <m:sub>
            <m:r>
              <w:rPr>
                <w:rFonts w:ascii="Cambria Math" w:hAnsi="Cambria Math"/>
              </w:rPr>
              <m:t>i</m:t>
            </m:r>
          </m:sub>
        </m:sSub>
      </m:oMath>
      <w:r w:rsidR="00281856" w:rsidRPr="00281856">
        <w:rPr>
          <w:lang w:bidi="en-US"/>
        </w:rPr>
        <w:t xml:space="preserve"> </w:t>
      </w:r>
      <w:r w:rsidR="00281856" w:rsidRPr="00281856">
        <w:rPr>
          <w:lang w:bidi="en-US"/>
        </w:rPr>
        <w:tab/>
      </w:r>
      <w:r w:rsidR="00281856" w:rsidRPr="00281856">
        <w:rPr>
          <w:lang w:bidi="en-US"/>
        </w:rPr>
        <w:tab/>
      </w:r>
      <w:r w:rsidR="00281856" w:rsidRPr="00281856">
        <w:rPr>
          <w:lang w:bidi="en-US"/>
        </w:rPr>
        <w:tab/>
      </w:r>
      <w:r w:rsidR="00281856" w:rsidRPr="00281856">
        <w:rPr>
          <w:lang w:bidi="en-US"/>
        </w:rPr>
        <w:tab/>
      </w:r>
      <w:r w:rsidR="00281856" w:rsidRPr="00281856">
        <w:rPr>
          <w:lang w:bidi="en-US"/>
        </w:rPr>
        <w:tab/>
      </w:r>
      <w:r w:rsidR="00281856" w:rsidRPr="00281856">
        <w:rPr>
          <w:lang w:bidi="en-US"/>
        </w:rPr>
        <w:tab/>
        <w:t xml:space="preserve">(Equation 6) </w:t>
      </w:r>
    </w:p>
    <w:p w:rsidR="00281856" w:rsidRPr="00281856" w:rsidRDefault="00281856" w:rsidP="00281856">
      <w:pPr>
        <w:jc w:val="both"/>
        <w:rPr>
          <w:lang w:bidi="en-US"/>
        </w:rPr>
      </w:pPr>
      <w:r w:rsidRPr="00281856">
        <w:rPr>
          <w:lang w:bidi="en-US"/>
        </w:rPr>
        <w:t>Where ‘i’ represents the surfactant i in the mixture and ‘x</w:t>
      </w:r>
      <w:r w:rsidRPr="00281856">
        <w:rPr>
          <w:vertAlign w:val="subscript"/>
          <w:lang w:bidi="en-US"/>
        </w:rPr>
        <w:t>i</w:t>
      </w:r>
      <w:r w:rsidRPr="00281856">
        <w:rPr>
          <w:lang w:bidi="en-US"/>
        </w:rPr>
        <w:t>’ is the mole fraction of the surfactant i. For mixtures of binary surfactants (1 and 2) and at x</w:t>
      </w:r>
      <w:r w:rsidRPr="00281856">
        <w:rPr>
          <w:vertAlign w:val="subscript"/>
          <w:lang w:bidi="en-US"/>
        </w:rPr>
        <w:t xml:space="preserve">2 </w:t>
      </w:r>
      <w:r w:rsidRPr="00281856">
        <w:rPr>
          <w:lang w:bidi="en-US"/>
        </w:rPr>
        <w:t>= 1 - x</w:t>
      </w:r>
      <w:r w:rsidRPr="00281856">
        <w:rPr>
          <w:vertAlign w:val="subscript"/>
          <w:lang w:bidi="en-US"/>
        </w:rPr>
        <w:t>1</w:t>
      </w:r>
      <w:r w:rsidRPr="00281856">
        <w:rPr>
          <w:lang w:bidi="en-US"/>
        </w:rPr>
        <w:t>, Equation 4 is simplified and can be written as:</w:t>
      </w:r>
    </w:p>
    <w:p w:rsidR="00281856" w:rsidRPr="00281856" w:rsidRDefault="00281856" w:rsidP="00281856">
      <w:pPr>
        <w:jc w:val="both"/>
        <w:rPr>
          <w:lang w:bidi="en-US"/>
        </w:rPr>
      </w:pPr>
      <m:oMath>
        <m:r>
          <w:rPr>
            <w:rFonts w:ascii="Cambria Math" w:hAnsi="Cambria Math"/>
          </w:rPr>
          <m:t>ln</m:t>
        </m:r>
        <m:sSubSup>
          <m:sSubSupPr>
            <m:ctrlPr>
              <w:rPr>
                <w:rFonts w:ascii="Cambria Math" w:hAnsi="Cambria Math"/>
                <w:i/>
                <w:lang w:bidi="en-US"/>
              </w:rPr>
            </m:ctrlPr>
          </m:sSubSupPr>
          <m:e>
            <m:r>
              <w:rPr>
                <w:rFonts w:ascii="Cambria Math" w:hAnsi="Cambria Math"/>
              </w:rPr>
              <m:t>S</m:t>
            </m:r>
          </m:e>
          <m:sub>
            <m:r>
              <w:rPr>
                <w:rFonts w:ascii="Cambria Math" w:hAnsi="Cambria Math"/>
              </w:rPr>
              <m:t xml:space="preserve">mix </m:t>
            </m:r>
          </m:sub>
          <m:sup>
            <m:r>
              <w:rPr>
                <w:rFonts w:ascii="Cambria Math" w:hAnsi="Cambria Math"/>
              </w:rPr>
              <m:t>*</m:t>
            </m:r>
          </m:sup>
        </m:sSubSup>
        <m:r>
          <w:rPr>
            <w:rFonts w:ascii="Cambria Math" w:hAnsi="Cambria Math"/>
          </w:rPr>
          <m:t>=</m:t>
        </m:r>
        <m:d>
          <m:dPr>
            <m:begChr m:val="{"/>
            <m:endChr m:val="}"/>
            <m:ctrlPr>
              <w:rPr>
                <w:rFonts w:ascii="Cambria Math" w:hAnsi="Cambria Math"/>
                <w:i/>
                <w:lang w:bidi="en-US"/>
              </w:rPr>
            </m:ctrlPr>
          </m:dPr>
          <m:e>
            <m:d>
              <m:dPr>
                <m:ctrlPr>
                  <w:rPr>
                    <w:rFonts w:ascii="Cambria Math" w:hAnsi="Cambria Math"/>
                    <w:i/>
                    <w:lang w:bidi="en-US"/>
                  </w:rPr>
                </m:ctrlPr>
              </m:dPr>
              <m:e>
                <m:sSub>
                  <m:sSubPr>
                    <m:ctrlPr>
                      <w:rPr>
                        <w:rFonts w:ascii="Cambria Math" w:hAnsi="Cambria Math"/>
                        <w:i/>
                        <w:lang w:bidi="en-US"/>
                      </w:rPr>
                    </m:ctrlPr>
                  </m:sSubPr>
                  <m:e>
                    <m:r>
                      <w:rPr>
                        <w:rFonts w:ascii="Cambria Math" w:hAnsi="Cambria Math"/>
                      </w:rPr>
                      <m:t>Cc</m:t>
                    </m:r>
                  </m:e>
                  <m:sub>
                    <m:r>
                      <w:rPr>
                        <w:rFonts w:ascii="Cambria Math" w:hAnsi="Cambria Math"/>
                      </w:rPr>
                      <m:t>1</m:t>
                    </m:r>
                  </m:sub>
                </m:sSub>
                <m:r>
                  <w:rPr>
                    <w:rFonts w:ascii="Cambria Math" w:hAnsi="Cambria Math"/>
                  </w:rPr>
                  <m:t>-</m:t>
                </m:r>
                <m:sSub>
                  <m:sSubPr>
                    <m:ctrlPr>
                      <w:rPr>
                        <w:rFonts w:ascii="Cambria Math" w:hAnsi="Cambria Math"/>
                        <w:i/>
                        <w:lang w:bidi="en-US"/>
                      </w:rPr>
                    </m:ctrlPr>
                  </m:sSubPr>
                  <m:e>
                    <m:r>
                      <w:rPr>
                        <w:rFonts w:ascii="Cambria Math" w:hAnsi="Cambria Math"/>
                      </w:rPr>
                      <m:t>Cc</m:t>
                    </m:r>
                  </m:e>
                  <m:sub>
                    <m:r>
                      <w:rPr>
                        <w:rFonts w:ascii="Cambria Math" w:hAnsi="Cambria Math"/>
                      </w:rPr>
                      <m:t>2</m:t>
                    </m:r>
                  </m:sub>
                </m:sSub>
              </m:e>
            </m:d>
            <m:r>
              <w:rPr>
                <w:rFonts w:ascii="Cambria Math" w:hAnsi="Cambria Math"/>
              </w:rPr>
              <m:t>+</m:t>
            </m:r>
            <m:d>
              <m:dPr>
                <m:ctrlPr>
                  <w:rPr>
                    <w:rFonts w:ascii="Cambria Math" w:hAnsi="Cambria Math"/>
                    <w:i/>
                    <w:lang w:bidi="en-US"/>
                  </w:rPr>
                </m:ctrlPr>
              </m:dPr>
              <m:e>
                <m:sSub>
                  <m:sSubPr>
                    <m:ctrlPr>
                      <w:rPr>
                        <w:rFonts w:ascii="Cambria Math" w:hAnsi="Cambria Math"/>
                        <w:i/>
                        <w:lang w:bidi="en-US"/>
                      </w:rPr>
                    </m:ctrlPr>
                  </m:sSubPr>
                  <m:e>
                    <m:r>
                      <w:rPr>
                        <w:rFonts w:ascii="Cambria Math" w:hAnsi="Cambria Math"/>
                      </w:rPr>
                      <m:t>K</m:t>
                    </m:r>
                  </m:e>
                  <m:sub>
                    <m:r>
                      <w:rPr>
                        <w:rFonts w:ascii="Cambria Math" w:hAnsi="Cambria Math"/>
                      </w:rPr>
                      <m:t>2</m:t>
                    </m:r>
                  </m:sub>
                </m:sSub>
                <m:r>
                  <w:rPr>
                    <w:rFonts w:ascii="Cambria Math" w:hAnsi="Cambria Math"/>
                  </w:rPr>
                  <m:t>-</m:t>
                </m:r>
                <m:sSub>
                  <m:sSubPr>
                    <m:ctrlPr>
                      <w:rPr>
                        <w:rFonts w:ascii="Cambria Math" w:hAnsi="Cambria Math"/>
                        <w:i/>
                        <w:lang w:bidi="en-US"/>
                      </w:rPr>
                    </m:ctrlPr>
                  </m:sSubPr>
                  <m:e>
                    <m:r>
                      <w:rPr>
                        <w:rFonts w:ascii="Cambria Math" w:hAnsi="Cambria Math"/>
                      </w:rPr>
                      <m:t>K</m:t>
                    </m:r>
                  </m:e>
                  <m:sub>
                    <m:r>
                      <w:rPr>
                        <w:rFonts w:ascii="Cambria Math" w:hAnsi="Cambria Math"/>
                      </w:rPr>
                      <m:t>1</m:t>
                    </m:r>
                  </m:sub>
                </m:sSub>
                <m:r>
                  <w:rPr>
                    <w:rFonts w:ascii="Cambria Math" w:hAnsi="Cambria Math"/>
                  </w:rPr>
                  <m:t xml:space="preserve"> </m:t>
                </m:r>
              </m:e>
            </m:d>
            <m:d>
              <m:dPr>
                <m:ctrlPr>
                  <w:rPr>
                    <w:rFonts w:ascii="Cambria Math" w:hAnsi="Cambria Math"/>
                    <w:i/>
                    <w:lang w:bidi="en-US"/>
                  </w:rPr>
                </m:ctrlPr>
              </m:dPr>
              <m:e>
                <m:r>
                  <w:rPr>
                    <w:rFonts w:ascii="Cambria Math" w:hAnsi="Cambria Math"/>
                  </w:rPr>
                  <m:t>EACN</m:t>
                </m:r>
              </m:e>
            </m:d>
          </m:e>
        </m:d>
        <m:sSub>
          <m:sSubPr>
            <m:ctrlPr>
              <w:rPr>
                <w:rFonts w:ascii="Cambria Math" w:hAnsi="Cambria Math"/>
                <w:i/>
                <w:lang w:bidi="en-US"/>
              </w:rPr>
            </m:ctrlPr>
          </m:sSubPr>
          <m:e>
            <m:r>
              <w:rPr>
                <w:rFonts w:ascii="Cambria Math" w:hAnsi="Cambria Math"/>
              </w:rPr>
              <m:t>x</m:t>
            </m:r>
          </m:e>
          <m:sub>
            <m:r>
              <w:rPr>
                <w:rFonts w:ascii="Cambria Math" w:hAnsi="Cambria Math"/>
              </w:rPr>
              <m:t>2</m:t>
            </m:r>
          </m:sub>
        </m:sSub>
        <m:r>
          <w:rPr>
            <w:rFonts w:ascii="Cambria Math" w:hAnsi="Cambria Math"/>
          </w:rPr>
          <m:t>+ln</m:t>
        </m:r>
        <m:sSubSup>
          <m:sSubSupPr>
            <m:ctrlPr>
              <w:rPr>
                <w:rFonts w:ascii="Cambria Math" w:hAnsi="Cambria Math"/>
                <w:i/>
                <w:lang w:bidi="en-US"/>
              </w:rPr>
            </m:ctrlPr>
          </m:sSubSupPr>
          <m:e>
            <m:r>
              <w:rPr>
                <w:rFonts w:ascii="Cambria Math" w:hAnsi="Cambria Math"/>
              </w:rPr>
              <m:t>S</m:t>
            </m:r>
          </m:e>
          <m:sub>
            <m:r>
              <w:rPr>
                <w:rFonts w:ascii="Cambria Math" w:hAnsi="Cambria Math"/>
              </w:rPr>
              <m:t>1</m:t>
            </m:r>
          </m:sub>
          <m:sup>
            <m:r>
              <w:rPr>
                <w:rFonts w:ascii="Cambria Math" w:hAnsi="Cambria Math"/>
              </w:rPr>
              <m:t>*</m:t>
            </m:r>
          </m:sup>
        </m:sSubSup>
      </m:oMath>
      <w:r w:rsidRPr="00281856">
        <w:rPr>
          <w:lang w:bidi="en-US"/>
        </w:rPr>
        <w:t xml:space="preserve"> </w:t>
      </w:r>
      <w:r w:rsidRPr="00281856">
        <w:rPr>
          <w:lang w:bidi="en-US"/>
        </w:rPr>
        <w:tab/>
        <w:t>(Equation 7)</w:t>
      </w:r>
    </w:p>
    <w:p w:rsidR="00281856" w:rsidRPr="00281856" w:rsidRDefault="00281856" w:rsidP="00281856">
      <w:pPr>
        <w:jc w:val="both"/>
        <w:rPr>
          <w:lang w:bidi="en-US"/>
        </w:rPr>
      </w:pPr>
      <w:r w:rsidRPr="00281856">
        <w:rPr>
          <w:lang w:bidi="en-US"/>
        </w:rPr>
        <w:t>The plot of lnS</w:t>
      </w:r>
      <w:r w:rsidRPr="00281856">
        <w:rPr>
          <w:vertAlign w:val="superscript"/>
          <w:lang w:bidi="en-US"/>
        </w:rPr>
        <w:t>*</w:t>
      </w:r>
      <w:r w:rsidRPr="00281856">
        <w:rPr>
          <w:vertAlign w:val="subscript"/>
          <w:lang w:bidi="en-US"/>
        </w:rPr>
        <w:t>mix</w:t>
      </w:r>
      <w:r w:rsidRPr="00281856">
        <w:rPr>
          <w:lang w:bidi="en-US"/>
        </w:rPr>
        <w:t xml:space="preserve"> vs. x</w:t>
      </w:r>
      <w:r w:rsidRPr="00281856">
        <w:rPr>
          <w:vertAlign w:val="subscript"/>
          <w:lang w:bidi="en-US"/>
        </w:rPr>
        <w:t>2</w:t>
      </w:r>
      <w:r w:rsidRPr="00281856">
        <w:rPr>
          <w:lang w:bidi="en-US"/>
        </w:rPr>
        <w:t xml:space="preserve"> gives a straight line with slope and intercept as follows:</w:t>
      </w:r>
    </w:p>
    <w:p w:rsidR="00281856" w:rsidRPr="00281856" w:rsidRDefault="00281856" w:rsidP="00281856">
      <w:pPr>
        <w:jc w:val="both"/>
        <w:rPr>
          <w:lang w:bidi="en-US"/>
        </w:rPr>
      </w:pPr>
      <m:oMath>
        <m:r>
          <w:rPr>
            <w:rFonts w:ascii="Cambria Math" w:hAnsi="Cambria Math"/>
          </w:rPr>
          <m:t>slope=</m:t>
        </m:r>
        <m:d>
          <m:dPr>
            <m:begChr m:val="{"/>
            <m:endChr m:val="}"/>
            <m:ctrlPr>
              <w:rPr>
                <w:rFonts w:ascii="Cambria Math" w:hAnsi="Cambria Math"/>
                <w:i/>
                <w:lang w:bidi="en-US"/>
              </w:rPr>
            </m:ctrlPr>
          </m:dPr>
          <m:e>
            <m:d>
              <m:dPr>
                <m:ctrlPr>
                  <w:rPr>
                    <w:rFonts w:ascii="Cambria Math" w:hAnsi="Cambria Math"/>
                    <w:i/>
                    <w:lang w:bidi="en-US"/>
                  </w:rPr>
                </m:ctrlPr>
              </m:dPr>
              <m:e>
                <m:sSub>
                  <m:sSubPr>
                    <m:ctrlPr>
                      <w:rPr>
                        <w:rFonts w:ascii="Cambria Math" w:hAnsi="Cambria Math"/>
                        <w:i/>
                        <w:lang w:bidi="en-US"/>
                      </w:rPr>
                    </m:ctrlPr>
                  </m:sSubPr>
                  <m:e>
                    <m:r>
                      <w:rPr>
                        <w:rFonts w:ascii="Cambria Math" w:hAnsi="Cambria Math"/>
                      </w:rPr>
                      <m:t>Cc</m:t>
                    </m:r>
                  </m:e>
                  <m:sub>
                    <m:r>
                      <w:rPr>
                        <w:rFonts w:ascii="Cambria Math" w:hAnsi="Cambria Math"/>
                      </w:rPr>
                      <m:t>1</m:t>
                    </m:r>
                  </m:sub>
                </m:sSub>
                <m:r>
                  <w:rPr>
                    <w:rFonts w:ascii="Cambria Math" w:hAnsi="Cambria Math"/>
                  </w:rPr>
                  <m:t>-</m:t>
                </m:r>
                <m:sSub>
                  <m:sSubPr>
                    <m:ctrlPr>
                      <w:rPr>
                        <w:rFonts w:ascii="Cambria Math" w:hAnsi="Cambria Math"/>
                        <w:i/>
                        <w:lang w:bidi="en-US"/>
                      </w:rPr>
                    </m:ctrlPr>
                  </m:sSubPr>
                  <m:e>
                    <m:r>
                      <w:rPr>
                        <w:rFonts w:ascii="Cambria Math" w:hAnsi="Cambria Math"/>
                      </w:rPr>
                      <m:t>Cc</m:t>
                    </m:r>
                  </m:e>
                  <m:sub>
                    <m:r>
                      <w:rPr>
                        <w:rFonts w:ascii="Cambria Math" w:hAnsi="Cambria Math"/>
                      </w:rPr>
                      <m:t>2</m:t>
                    </m:r>
                  </m:sub>
                </m:sSub>
              </m:e>
            </m:d>
            <m:r>
              <w:rPr>
                <w:rFonts w:ascii="Cambria Math" w:hAnsi="Cambria Math"/>
              </w:rPr>
              <m:t>+</m:t>
            </m:r>
            <m:d>
              <m:dPr>
                <m:ctrlPr>
                  <w:rPr>
                    <w:rFonts w:ascii="Cambria Math" w:hAnsi="Cambria Math"/>
                    <w:i/>
                    <w:lang w:bidi="en-US"/>
                  </w:rPr>
                </m:ctrlPr>
              </m:dPr>
              <m:e>
                <m:sSub>
                  <m:sSubPr>
                    <m:ctrlPr>
                      <w:rPr>
                        <w:rFonts w:ascii="Cambria Math" w:hAnsi="Cambria Math"/>
                        <w:i/>
                        <w:lang w:bidi="en-US"/>
                      </w:rPr>
                    </m:ctrlPr>
                  </m:sSubPr>
                  <m:e>
                    <m:r>
                      <w:rPr>
                        <w:rFonts w:ascii="Cambria Math" w:hAnsi="Cambria Math"/>
                      </w:rPr>
                      <m:t>K</m:t>
                    </m:r>
                  </m:e>
                  <m:sub>
                    <m:r>
                      <w:rPr>
                        <w:rFonts w:ascii="Cambria Math" w:hAnsi="Cambria Math"/>
                      </w:rPr>
                      <m:t>2</m:t>
                    </m:r>
                  </m:sub>
                </m:sSub>
                <m:r>
                  <w:rPr>
                    <w:rFonts w:ascii="Cambria Math" w:hAnsi="Cambria Math"/>
                  </w:rPr>
                  <m:t>-</m:t>
                </m:r>
                <m:sSub>
                  <m:sSubPr>
                    <m:ctrlPr>
                      <w:rPr>
                        <w:rFonts w:ascii="Cambria Math" w:hAnsi="Cambria Math"/>
                        <w:i/>
                        <w:lang w:bidi="en-US"/>
                      </w:rPr>
                    </m:ctrlPr>
                  </m:sSubPr>
                  <m:e>
                    <m:r>
                      <w:rPr>
                        <w:rFonts w:ascii="Cambria Math" w:hAnsi="Cambria Math"/>
                      </w:rPr>
                      <m:t>K</m:t>
                    </m:r>
                  </m:e>
                  <m:sub>
                    <m:r>
                      <w:rPr>
                        <w:rFonts w:ascii="Cambria Math" w:hAnsi="Cambria Math"/>
                      </w:rPr>
                      <m:t>1</m:t>
                    </m:r>
                  </m:sub>
                </m:sSub>
                <m:r>
                  <w:rPr>
                    <w:rFonts w:ascii="Cambria Math" w:hAnsi="Cambria Math"/>
                  </w:rPr>
                  <m:t xml:space="preserve"> </m:t>
                </m:r>
              </m:e>
            </m:d>
            <m:d>
              <m:dPr>
                <m:ctrlPr>
                  <w:rPr>
                    <w:rFonts w:ascii="Cambria Math" w:hAnsi="Cambria Math"/>
                    <w:i/>
                    <w:lang w:bidi="en-US"/>
                  </w:rPr>
                </m:ctrlPr>
              </m:dPr>
              <m:e>
                <m:r>
                  <w:rPr>
                    <w:rFonts w:ascii="Cambria Math" w:hAnsi="Cambria Math"/>
                  </w:rPr>
                  <m:t>EACN</m:t>
                </m:r>
              </m:e>
            </m:d>
          </m:e>
        </m:d>
      </m:oMath>
      <w:r w:rsidRPr="00281856">
        <w:rPr>
          <w:lang w:bidi="en-US"/>
        </w:rPr>
        <w:t xml:space="preserve"> </w:t>
      </w:r>
      <w:r w:rsidRPr="00281856">
        <w:rPr>
          <w:lang w:bidi="en-US"/>
        </w:rPr>
        <w:tab/>
      </w:r>
      <w:r w:rsidRPr="00281856">
        <w:rPr>
          <w:lang w:bidi="en-US"/>
        </w:rPr>
        <w:tab/>
        <w:t>(Equation 8)</w:t>
      </w:r>
    </w:p>
    <w:p w:rsidR="00281856" w:rsidRPr="00281856" w:rsidRDefault="00281856" w:rsidP="00281856">
      <w:pPr>
        <w:jc w:val="both"/>
        <w:rPr>
          <w:lang w:bidi="en-US"/>
        </w:rPr>
      </w:pPr>
      <m:oMath>
        <m:r>
          <w:rPr>
            <w:rFonts w:ascii="Cambria Math" w:hAnsi="Cambria Math"/>
          </w:rPr>
          <m:t>intercept=ln</m:t>
        </m:r>
        <m:sSubSup>
          <m:sSubSupPr>
            <m:ctrlPr>
              <w:rPr>
                <w:rFonts w:ascii="Cambria Math" w:hAnsi="Cambria Math"/>
                <w:i/>
                <w:lang w:bidi="en-US"/>
              </w:rPr>
            </m:ctrlPr>
          </m:sSubSupPr>
          <m:e>
            <m:r>
              <w:rPr>
                <w:rFonts w:ascii="Cambria Math" w:hAnsi="Cambria Math"/>
              </w:rPr>
              <m:t>S</m:t>
            </m:r>
          </m:e>
          <m:sub>
            <m:r>
              <w:rPr>
                <w:rFonts w:ascii="Cambria Math" w:hAnsi="Cambria Math"/>
              </w:rPr>
              <m:t>1</m:t>
            </m:r>
          </m:sub>
          <m:sup>
            <m:r>
              <w:rPr>
                <w:rFonts w:ascii="Cambria Math" w:hAnsi="Cambria Math"/>
              </w:rPr>
              <m:t>*</m:t>
            </m:r>
          </m:sup>
        </m:sSubSup>
        <m:r>
          <w:rPr>
            <w:rFonts w:ascii="Cambria Math" w:hAnsi="Cambria Math"/>
          </w:rPr>
          <m:t>=</m:t>
        </m:r>
        <m:sSub>
          <m:sSubPr>
            <m:ctrlPr>
              <w:rPr>
                <w:rFonts w:ascii="Cambria Math" w:hAnsi="Cambria Math"/>
                <w:i/>
                <w:lang w:bidi="en-US"/>
              </w:rPr>
            </m:ctrlPr>
          </m:sSubPr>
          <m:e>
            <m:r>
              <w:rPr>
                <w:rFonts w:ascii="Cambria Math" w:hAnsi="Cambria Math"/>
              </w:rPr>
              <m:t>K</m:t>
            </m:r>
          </m:e>
          <m:sub>
            <m:r>
              <w:rPr>
                <w:rFonts w:ascii="Cambria Math" w:hAnsi="Cambria Math"/>
              </w:rPr>
              <m:t>1</m:t>
            </m:r>
          </m:sub>
        </m:sSub>
        <m:d>
          <m:dPr>
            <m:ctrlPr>
              <w:rPr>
                <w:rFonts w:ascii="Cambria Math" w:hAnsi="Cambria Math"/>
                <w:i/>
                <w:lang w:bidi="en-US"/>
              </w:rPr>
            </m:ctrlPr>
          </m:dPr>
          <m:e>
            <m:r>
              <w:rPr>
                <w:rFonts w:ascii="Cambria Math" w:hAnsi="Cambria Math"/>
              </w:rPr>
              <m:t>EACN</m:t>
            </m:r>
          </m:e>
        </m:d>
        <m:r>
          <w:rPr>
            <w:rFonts w:ascii="Cambria Math" w:hAnsi="Cambria Math"/>
          </w:rPr>
          <m:t>-</m:t>
        </m:r>
        <m:sSub>
          <m:sSubPr>
            <m:ctrlPr>
              <w:rPr>
                <w:rFonts w:ascii="Cambria Math" w:hAnsi="Cambria Math"/>
                <w:i/>
                <w:lang w:bidi="en-US"/>
              </w:rPr>
            </m:ctrlPr>
          </m:sSubPr>
          <m:e>
            <m:r>
              <w:rPr>
                <w:rFonts w:ascii="Cambria Math" w:hAnsi="Cambria Math"/>
              </w:rPr>
              <m:t>Cc</m:t>
            </m:r>
          </m:e>
          <m:sub>
            <m:r>
              <w:rPr>
                <w:rFonts w:ascii="Cambria Math" w:hAnsi="Cambria Math"/>
              </w:rPr>
              <m:t>1</m:t>
            </m:r>
          </m:sub>
        </m:sSub>
      </m:oMath>
      <w:r w:rsidRPr="00281856">
        <w:rPr>
          <w:lang w:bidi="en-US"/>
        </w:rPr>
        <w:t xml:space="preserve"> </w:t>
      </w:r>
      <w:r w:rsidRPr="00281856">
        <w:rPr>
          <w:lang w:bidi="en-US"/>
        </w:rPr>
        <w:tab/>
      </w:r>
      <w:r w:rsidRPr="00281856">
        <w:rPr>
          <w:lang w:bidi="en-US"/>
        </w:rPr>
        <w:tab/>
      </w:r>
      <w:r w:rsidRPr="00281856">
        <w:rPr>
          <w:lang w:bidi="en-US"/>
        </w:rPr>
        <w:tab/>
        <w:t>(Equation 9)</w:t>
      </w:r>
    </w:p>
    <w:p w:rsidR="00281856" w:rsidRPr="00281856" w:rsidRDefault="00281856" w:rsidP="00281856">
      <w:pPr>
        <w:jc w:val="both"/>
        <w:rPr>
          <w:lang w:bidi="en-US"/>
        </w:rPr>
      </w:pPr>
      <w:r w:rsidRPr="00281856">
        <w:rPr>
          <w:lang w:bidi="en-US"/>
        </w:rPr>
        <w:t>The HLD parameters (Cc, K, and α</w:t>
      </w:r>
      <w:r w:rsidRPr="00281856">
        <w:rPr>
          <w:vertAlign w:val="subscript"/>
          <w:lang w:bidi="en-US"/>
        </w:rPr>
        <w:t>T</w:t>
      </w:r>
      <w:r w:rsidRPr="00281856">
        <w:rPr>
          <w:lang w:bidi="en-US"/>
        </w:rPr>
        <w:t>) of the reference surfactant, AMA, are reported in the literature</w:t>
      </w:r>
      <w:r w:rsidRPr="00281856">
        <w:rPr>
          <w:lang w:bidi="en-US"/>
        </w:rPr>
        <w:fldChar w:fldCharType="begin"/>
      </w:r>
      <w:r w:rsidR="00332C11">
        <w:rPr>
          <w:lang w:bidi="en-US"/>
        </w:rPr>
        <w:instrText xml:space="preserve"> ADDIN EN.CITE &lt;EndNote&gt;&lt;Cite&gt;&lt;Author&gt;Acosta&lt;/Author&gt;&lt;Year&gt;2008&lt;/Year&gt;&lt;RecNum&gt;49&lt;/RecNum&gt;&lt;DisplayText&gt;&lt;style face="superscript"&gt;45&lt;/style&gt;&lt;/DisplayText&gt;&lt;record&gt;&lt;rec-number&gt;49&lt;/rec-number&gt;&lt;foreign-keys&gt;&lt;key app="EN" db-id="a5zz9zdsp2tzdiedrdov0ztx9zwzps0patvs" timestamp="1424742346"&gt;49&lt;/key&gt;&lt;/foreign-keys&gt;&lt;ref-type name="Journal Article"&gt;17&lt;/ref-type&gt;&lt;contributors&gt;&lt;authors&gt;&lt;author&gt;Acosta, Edgar J&lt;/author&gt;&lt;author&gt;Yuan, Jessica Sh&lt;/author&gt;&lt;author&gt;Bhakta, Arti Sh&lt;/author&gt;&lt;/authors&gt;&lt;/contributors&gt;&lt;titles&gt;&lt;title&gt;The characteristic curvature of ionic surfactants&lt;/title&gt;&lt;secondary-title&gt;Journal of Surfactants and Detergents&lt;/secondary-title&gt;&lt;/titles&gt;&lt;periodical&gt;&lt;full-title&gt;Journal of Surfactants and Detergents&lt;/full-title&gt;&lt;/periodical&gt;&lt;pages&gt;145-158&lt;/pages&gt;&lt;volume&gt;11&lt;/volume&gt;&lt;number&gt;2&lt;/number&gt;&lt;dates&gt;&lt;year&gt;2008&lt;/year&gt;&lt;/dates&gt;&lt;isbn&gt;1097-3958&lt;/isbn&gt;&lt;urls&gt;&lt;/urls&gt;&lt;/record&gt;&lt;/Cite&gt;&lt;/EndNote&gt;</w:instrText>
      </w:r>
      <w:r w:rsidRPr="00281856">
        <w:rPr>
          <w:lang w:bidi="en-US"/>
        </w:rPr>
        <w:fldChar w:fldCharType="separate"/>
      </w:r>
      <w:r w:rsidR="00332C11" w:rsidRPr="00332C11">
        <w:rPr>
          <w:noProof/>
          <w:vertAlign w:val="superscript"/>
          <w:lang w:bidi="en-US"/>
        </w:rPr>
        <w:t>45</w:t>
      </w:r>
      <w:r w:rsidRPr="00281856">
        <w:rPr>
          <w:lang w:bidi="en-US"/>
        </w:rPr>
        <w:fldChar w:fldCharType="end"/>
      </w:r>
      <w:r w:rsidRPr="00281856">
        <w:rPr>
          <w:lang w:bidi="en-US"/>
        </w:rPr>
        <w:t>. By knowing the parameter ‘K</w:t>
      </w:r>
      <w:r w:rsidRPr="00281856">
        <w:rPr>
          <w:vertAlign w:val="subscript"/>
          <w:lang w:bidi="en-US"/>
        </w:rPr>
        <w:t>2</w:t>
      </w:r>
      <w:r w:rsidRPr="00281856">
        <w:rPr>
          <w:lang w:bidi="en-US"/>
        </w:rPr>
        <w:t>’ of the surfactant of interest, its Cc-value is calculated using Equation 8.</w:t>
      </w:r>
    </w:p>
    <w:p w:rsidR="00281856" w:rsidRPr="00281856" w:rsidRDefault="00281856" w:rsidP="00281856">
      <w:pPr>
        <w:jc w:val="both"/>
        <w:rPr>
          <w:lang w:bidi="en-US"/>
        </w:rPr>
      </w:pPr>
      <w:r w:rsidRPr="00281856">
        <w:rPr>
          <w:lang w:bidi="en-US"/>
        </w:rPr>
        <w:t xml:space="preserve">Even though the HLD equation is based on equilibrium conditions and its parameters are relatively easy to estimate, to date very limited work has been done to design a surfactant </w:t>
      </w:r>
      <w:r w:rsidRPr="00281856">
        <w:rPr>
          <w:lang w:bidi="en-US"/>
        </w:rPr>
        <w:lastRenderedPageBreak/>
        <w:t xml:space="preserve">formulation for cEOR applications by using the HLD concept. Recently, Tarahan </w:t>
      </w:r>
      <w:r w:rsidRPr="00281856">
        <w:rPr>
          <w:i/>
          <w:lang w:bidi="en-US"/>
        </w:rPr>
        <w:t>et al.</w:t>
      </w:r>
      <w:r w:rsidRPr="00281856">
        <w:rPr>
          <w:lang w:bidi="en-US"/>
        </w:rPr>
        <w:fldChar w:fldCharType="begin"/>
      </w:r>
      <w:r w:rsidR="00332C11">
        <w:rPr>
          <w:lang w:bidi="en-US"/>
        </w:rPr>
        <w:instrText xml:space="preserve"> ADDIN EN.CITE &lt;EndNote&gt;&lt;Cite&gt;&lt;Author&gt;Trahan&lt;/Author&gt;&lt;Year&gt;2015&lt;/Year&gt;&lt;RecNum&gt;84&lt;/RecNum&gt;&lt;DisplayText&gt;&lt;style face="superscript"&gt;46&lt;/style&gt;&lt;/DisplayText&gt;&lt;record&gt;&lt;rec-number&gt;84&lt;/rec-number&gt;&lt;foreign-keys&gt;&lt;key app="EN" db-id="a5zz9zdsp2tzdiedrdov0ztx9zwzps0patvs" timestamp="1429909234"&gt;84&lt;/key&gt;&lt;/foreign-keys&gt;&lt;ref-type name="Conference Proceedings"&gt;10&lt;/ref-type&gt;&lt;contributors&gt;&lt;authors&gt;&lt;author&gt;Trahan, G&lt;/author&gt;&lt;author&gt;Nguyen, T&lt;/author&gt;&lt;author&gt;Jakobs-Sauter, B&lt;/author&gt;&lt;/authors&gt;&lt;/contributors&gt;&lt;titles&gt;&lt;title&gt;Applying the Hydrophilic–Lipophilic Deviation (HLD) Concept to Chemical EOR Formulations&lt;/title&gt;&lt;secondary-title&gt;IOR 2015-18th European Symposium on Improved Oil Recovery&lt;/secondary-title&gt;&lt;/titles&gt;&lt;dates&gt;&lt;year&gt;2015&lt;/year&gt;&lt;/dates&gt;&lt;isbn&gt;2214-4609&lt;/isbn&gt;&lt;urls&gt;&lt;/urls&gt;&lt;/record&gt;&lt;/Cite&gt;&lt;/EndNote&gt;</w:instrText>
      </w:r>
      <w:r w:rsidRPr="00281856">
        <w:rPr>
          <w:lang w:bidi="en-US"/>
        </w:rPr>
        <w:fldChar w:fldCharType="separate"/>
      </w:r>
      <w:r w:rsidR="00332C11" w:rsidRPr="00332C11">
        <w:rPr>
          <w:noProof/>
          <w:vertAlign w:val="superscript"/>
          <w:lang w:bidi="en-US"/>
        </w:rPr>
        <w:t>46</w:t>
      </w:r>
      <w:r w:rsidRPr="00281856">
        <w:rPr>
          <w:lang w:bidi="en-US"/>
        </w:rPr>
        <w:fldChar w:fldCharType="end"/>
      </w:r>
      <w:r w:rsidRPr="00281856">
        <w:rPr>
          <w:lang w:bidi="en-US"/>
        </w:rPr>
        <w:t xml:space="preserve"> observe that the surfactants of the extended surfactant family having similar Cc-values give comparable phase behavior and coreflood results. However, depending on the surfactant family and structure, each surfactant behaves differently at different formulation conditions. Also most of the developed cEOR surfactant formulations incorporate binary or ternary blends of different class of surfactants. Therefore, in this work, besides the Cc-values, the surfactant temperature dependence parameter, α</w:t>
      </w:r>
      <w:r w:rsidRPr="00281856">
        <w:rPr>
          <w:vertAlign w:val="subscript"/>
          <w:lang w:bidi="en-US"/>
        </w:rPr>
        <w:t xml:space="preserve">T, </w:t>
      </w:r>
      <w:r w:rsidRPr="00281856">
        <w:rPr>
          <w:lang w:bidi="en-US"/>
        </w:rPr>
        <w:t>as well as the surfactant head dependent parameter, the K-value, o</w:t>
      </w:r>
      <w:r w:rsidR="00961EE9">
        <w:rPr>
          <w:lang w:bidi="en-US"/>
        </w:rPr>
        <w:t>f the HLD equation are taken in</w:t>
      </w:r>
      <w:r w:rsidRPr="00281856">
        <w:rPr>
          <w:lang w:bidi="en-US"/>
        </w:rPr>
        <w:t>to account for designing high TDS surfactant formulations at the targeted reservoir condi</w:t>
      </w:r>
      <w:r w:rsidR="00961EE9">
        <w:rPr>
          <w:lang w:bidi="en-US"/>
        </w:rPr>
        <w:t>tions. The HLD equation is used:</w:t>
      </w:r>
      <w:r w:rsidRPr="00281856">
        <w:rPr>
          <w:lang w:bidi="en-US"/>
        </w:rPr>
        <w:t xml:space="preserve"> to estimate the required Cc at which the optimal Type III microemulsion is formed at the reservoir condition, to predict the desired ratio of surfactant/co-surfactant by using Equation 6 in order to match similar Cc</w:t>
      </w:r>
      <w:r w:rsidR="00CD17BC">
        <w:rPr>
          <w:lang w:bidi="en-US"/>
        </w:rPr>
        <w:t>-</w:t>
      </w:r>
      <w:r w:rsidRPr="00281856">
        <w:rPr>
          <w:lang w:bidi="en-US"/>
        </w:rPr>
        <w:t>value as calculated by Equation 1, and to eventually compare the accuracy of these correlations with the experimental results obtained independently through phase behavior studies and IFT measurements.</w:t>
      </w:r>
    </w:p>
    <w:p w:rsidR="00281856" w:rsidRDefault="002B39E5" w:rsidP="00C47C5C">
      <w:pPr>
        <w:pStyle w:val="Heading2"/>
      </w:pPr>
      <w:bookmarkStart w:id="17" w:name="_Toc426374010"/>
      <w:r w:rsidRPr="003D0164">
        <w:t>Experimental</w:t>
      </w:r>
      <w:bookmarkEnd w:id="17"/>
    </w:p>
    <w:p w:rsidR="003D0164" w:rsidRPr="003D0164" w:rsidRDefault="002B39E5" w:rsidP="00BF7BCE">
      <w:pPr>
        <w:pStyle w:val="Heading3"/>
      </w:pPr>
      <w:bookmarkStart w:id="18" w:name="_Toc426374011"/>
      <w:r w:rsidRPr="003D0164">
        <w:t>Materials</w:t>
      </w:r>
      <w:bookmarkEnd w:id="18"/>
    </w:p>
    <w:p w:rsidR="003D0164" w:rsidRPr="003D0164" w:rsidRDefault="003D0164" w:rsidP="003D0164">
      <w:pPr>
        <w:jc w:val="both"/>
        <w:rPr>
          <w:b/>
          <w:lang w:bidi="en-US"/>
        </w:rPr>
      </w:pPr>
      <w:r w:rsidRPr="003D0164">
        <w:rPr>
          <w:lang w:bidi="en-US"/>
        </w:rPr>
        <w:t xml:space="preserve">The extended surfactants used in this study were kindly provided by Sasol North America </w:t>
      </w:r>
      <w:r w:rsidR="00DA2319" w:rsidRPr="003D0164">
        <w:rPr>
          <w:lang w:bidi="en-US"/>
        </w:rPr>
        <w:t>Inc.</w:t>
      </w:r>
      <w:r w:rsidR="00DA2319">
        <w:rPr>
          <w:lang w:bidi="en-US"/>
        </w:rPr>
        <w:t xml:space="preserve">, </w:t>
      </w:r>
      <w:r w:rsidR="00DA2319" w:rsidRPr="003D0164">
        <w:rPr>
          <w:lang w:bidi="en-US"/>
        </w:rPr>
        <w:t>Lake</w:t>
      </w:r>
      <w:r w:rsidRPr="003D0164">
        <w:rPr>
          <w:lang w:bidi="en-US"/>
        </w:rPr>
        <w:t xml:space="preserve"> Charl</w:t>
      </w:r>
      <w:r w:rsidR="00870B1E">
        <w:rPr>
          <w:lang w:bidi="en-US"/>
        </w:rPr>
        <w:t>es, LA. The co-surfactant i.e., s</w:t>
      </w:r>
      <w:r w:rsidRPr="003D0164">
        <w:rPr>
          <w:lang w:bidi="en-US"/>
        </w:rPr>
        <w:t>odium laureth sulfate, trade name Steol</w:t>
      </w:r>
      <w:r w:rsidR="00961EE9">
        <w:rPr>
          <w:lang w:bidi="en-US"/>
        </w:rPr>
        <w:t xml:space="preserve"> Cs460, was purchased from Step</w:t>
      </w:r>
      <w:r w:rsidR="00870B1E">
        <w:rPr>
          <w:lang w:bidi="en-US"/>
        </w:rPr>
        <w:t>an Chemical Inc. s</w:t>
      </w:r>
      <w:r w:rsidRPr="003D0164">
        <w:rPr>
          <w:lang w:bidi="en-US"/>
        </w:rPr>
        <w:t>odium dihexyl sulfosuccinate (Aeroso</w:t>
      </w:r>
      <w:r w:rsidR="00870B1E">
        <w:rPr>
          <w:lang w:bidi="en-US"/>
        </w:rPr>
        <w:t>l-MA, AMA), sodium chloride (&gt;99%), toluene (&gt;99.8%), limonene, hexane, octane (&gt;99.5%), d</w:t>
      </w:r>
      <w:r w:rsidRPr="003D0164">
        <w:rPr>
          <w:lang w:bidi="en-US"/>
        </w:rPr>
        <w:t>ecane (&gt;98%) were purchased from Sigma Aldrich. All the surfactants and oils were used as received. Detailed information of individual surfactants can be found in Table 1.</w:t>
      </w:r>
    </w:p>
    <w:p w:rsidR="00E30E44" w:rsidRPr="0036292C" w:rsidRDefault="00E30E44" w:rsidP="00BA2D85">
      <w:pPr>
        <w:pStyle w:val="Caption"/>
        <w:keepNext/>
        <w:spacing w:line="360" w:lineRule="auto"/>
      </w:pPr>
      <w:bookmarkStart w:id="19" w:name="_Toc426967279"/>
      <w:r w:rsidRPr="0036292C">
        <w:lastRenderedPageBreak/>
        <w:t xml:space="preserve">Table </w:t>
      </w:r>
      <w:r w:rsidR="001C58A2">
        <w:fldChar w:fldCharType="begin"/>
      </w:r>
      <w:r w:rsidR="001C58A2">
        <w:instrText xml:space="preserve"> SEQ Table \* ARABIC </w:instrText>
      </w:r>
      <w:r w:rsidR="001C58A2">
        <w:fldChar w:fldCharType="separate"/>
      </w:r>
      <w:r w:rsidR="003F7947">
        <w:rPr>
          <w:noProof/>
        </w:rPr>
        <w:t>1</w:t>
      </w:r>
      <w:r w:rsidR="001C58A2">
        <w:rPr>
          <w:noProof/>
        </w:rPr>
        <w:fldChar w:fldCharType="end"/>
      </w:r>
      <w:r w:rsidRPr="0036292C">
        <w:t xml:space="preserve">. </w:t>
      </w:r>
      <w:r w:rsidRPr="0036292C">
        <w:rPr>
          <w:b w:val="0"/>
        </w:rPr>
        <w:t>Surfactant Properties</w:t>
      </w:r>
      <w:bookmarkEnd w:id="19"/>
    </w:p>
    <w:tbl>
      <w:tblPr>
        <w:tblW w:w="5000" w:type="pct"/>
        <w:tblCellMar>
          <w:left w:w="0" w:type="dxa"/>
          <w:right w:w="0" w:type="dxa"/>
        </w:tblCellMar>
        <w:tblLook w:val="0600" w:firstRow="0" w:lastRow="0" w:firstColumn="0" w:lastColumn="0" w:noHBand="1" w:noVBand="1"/>
      </w:tblPr>
      <w:tblGrid>
        <w:gridCol w:w="2252"/>
        <w:gridCol w:w="1992"/>
        <w:gridCol w:w="620"/>
        <w:gridCol w:w="620"/>
        <w:gridCol w:w="1157"/>
        <w:gridCol w:w="861"/>
        <w:gridCol w:w="994"/>
      </w:tblGrid>
      <w:tr w:rsidR="00E30E44" w:rsidRPr="00E30E44" w:rsidTr="00BA2D85">
        <w:trPr>
          <w:trHeight w:val="543"/>
        </w:trPr>
        <w:tc>
          <w:tcPr>
            <w:tcW w:w="1325"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b/>
                <w:sz w:val="22"/>
                <w:szCs w:val="36"/>
              </w:rPr>
            </w:pPr>
            <w:r w:rsidRPr="00E30E44">
              <w:rPr>
                <w:rFonts w:ascii="Times New Roman" w:hAnsi="Times New Roman"/>
                <w:b/>
                <w:bCs/>
                <w:kern w:val="24"/>
                <w:sz w:val="22"/>
              </w:rPr>
              <w:t>Surfactants</w:t>
            </w:r>
          </w:p>
        </w:tc>
        <w:tc>
          <w:tcPr>
            <w:tcW w:w="1172"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b/>
                <w:sz w:val="22"/>
                <w:szCs w:val="36"/>
              </w:rPr>
            </w:pPr>
            <w:r w:rsidRPr="00E30E44">
              <w:rPr>
                <w:rFonts w:ascii="Times New Roman" w:hAnsi="Times New Roman"/>
                <w:b/>
                <w:bCs/>
                <w:kern w:val="24"/>
                <w:sz w:val="22"/>
              </w:rPr>
              <w:t>Commercial name/</w:t>
            </w:r>
          </w:p>
          <w:p w:rsidR="00E30E44" w:rsidRPr="00E30E44" w:rsidRDefault="00E30E44" w:rsidP="00E30E44">
            <w:pPr>
              <w:spacing w:line="240" w:lineRule="auto"/>
              <w:jc w:val="center"/>
              <w:textAlignment w:val="bottom"/>
              <w:rPr>
                <w:rFonts w:ascii="Arial" w:hAnsi="Arial" w:cs="Arial"/>
                <w:b/>
                <w:sz w:val="22"/>
                <w:szCs w:val="36"/>
              </w:rPr>
            </w:pPr>
            <w:r w:rsidRPr="00E30E44">
              <w:rPr>
                <w:rFonts w:ascii="Times New Roman" w:hAnsi="Times New Roman"/>
                <w:b/>
                <w:bCs/>
                <w:kern w:val="24"/>
                <w:sz w:val="22"/>
              </w:rPr>
              <w:t>Trade name</w:t>
            </w:r>
          </w:p>
        </w:tc>
        <w:tc>
          <w:tcPr>
            <w:tcW w:w="365"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b/>
                <w:sz w:val="22"/>
                <w:szCs w:val="36"/>
              </w:rPr>
            </w:pPr>
            <w:r w:rsidRPr="00E30E44">
              <w:rPr>
                <w:rFonts w:ascii="Times New Roman" w:hAnsi="Times New Roman"/>
                <w:b/>
                <w:bCs/>
                <w:kern w:val="24"/>
                <w:sz w:val="22"/>
              </w:rPr>
              <w:t># of EOs</w:t>
            </w:r>
          </w:p>
        </w:tc>
        <w:tc>
          <w:tcPr>
            <w:tcW w:w="365"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b/>
                <w:sz w:val="22"/>
                <w:szCs w:val="36"/>
              </w:rPr>
            </w:pPr>
            <w:r w:rsidRPr="00E30E44">
              <w:rPr>
                <w:rFonts w:ascii="Times New Roman" w:hAnsi="Times New Roman"/>
                <w:b/>
                <w:bCs/>
                <w:kern w:val="24"/>
                <w:sz w:val="22"/>
              </w:rPr>
              <w:t># of POs</w:t>
            </w:r>
          </w:p>
        </w:tc>
        <w:tc>
          <w:tcPr>
            <w:tcW w:w="681"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b/>
                <w:sz w:val="22"/>
                <w:szCs w:val="36"/>
              </w:rPr>
            </w:pPr>
            <w:r w:rsidRPr="00E30E44">
              <w:rPr>
                <w:rFonts w:ascii="Times New Roman" w:hAnsi="Times New Roman"/>
                <w:b/>
                <w:bCs/>
                <w:kern w:val="24"/>
                <w:sz w:val="22"/>
              </w:rPr>
              <w:t>Alkyl C#</w:t>
            </w:r>
          </w:p>
        </w:tc>
        <w:tc>
          <w:tcPr>
            <w:tcW w:w="507"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b/>
                <w:sz w:val="22"/>
                <w:szCs w:val="36"/>
              </w:rPr>
            </w:pPr>
            <w:r w:rsidRPr="00E30E44">
              <w:rPr>
                <w:rFonts w:ascii="Times New Roman" w:hAnsi="Times New Roman"/>
                <w:b/>
                <w:bCs/>
                <w:kern w:val="24"/>
                <w:sz w:val="22"/>
              </w:rPr>
              <w:t>MW (g/mol)</w:t>
            </w:r>
          </w:p>
        </w:tc>
        <w:tc>
          <w:tcPr>
            <w:tcW w:w="585"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b/>
                <w:sz w:val="22"/>
                <w:szCs w:val="36"/>
              </w:rPr>
            </w:pPr>
            <w:r w:rsidRPr="00E30E44">
              <w:rPr>
                <w:rFonts w:ascii="Times New Roman" w:hAnsi="Times New Roman"/>
                <w:b/>
                <w:bCs/>
                <w:kern w:val="24"/>
                <w:sz w:val="22"/>
              </w:rPr>
              <w:t>Active wt. %</w:t>
            </w:r>
          </w:p>
        </w:tc>
      </w:tr>
      <w:tr w:rsidR="00E30E44" w:rsidRPr="00E30E44" w:rsidTr="00BA2D85">
        <w:trPr>
          <w:trHeight w:val="553"/>
        </w:trPr>
        <w:tc>
          <w:tcPr>
            <w:tcW w:w="1325"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C</w:t>
            </w:r>
            <w:r w:rsidRPr="00E30E44">
              <w:rPr>
                <w:rFonts w:ascii="Times New Roman" w:hAnsi="Times New Roman"/>
                <w:kern w:val="24"/>
                <w:position w:val="-6"/>
                <w:sz w:val="22"/>
                <w:vertAlign w:val="subscript"/>
              </w:rPr>
              <w:t>8</w:t>
            </w:r>
            <w:r w:rsidRPr="00E30E44">
              <w:rPr>
                <w:rFonts w:ascii="Times New Roman" w:hAnsi="Times New Roman"/>
                <w:kern w:val="24"/>
                <w:sz w:val="22"/>
              </w:rPr>
              <w:t>-(PO)</w:t>
            </w:r>
            <w:r w:rsidRPr="00E30E44">
              <w:rPr>
                <w:rFonts w:ascii="Times New Roman" w:hAnsi="Times New Roman"/>
                <w:kern w:val="24"/>
                <w:position w:val="-6"/>
                <w:sz w:val="22"/>
                <w:vertAlign w:val="subscript"/>
              </w:rPr>
              <w:t>4</w:t>
            </w:r>
            <w:r w:rsidRPr="00E30E44">
              <w:rPr>
                <w:rFonts w:ascii="Times New Roman" w:hAnsi="Times New Roman"/>
                <w:kern w:val="24"/>
                <w:sz w:val="22"/>
              </w:rPr>
              <w:t>-(EO)</w:t>
            </w:r>
            <w:r w:rsidRPr="00E30E44">
              <w:rPr>
                <w:rFonts w:ascii="Times New Roman" w:hAnsi="Times New Roman"/>
                <w:kern w:val="24"/>
                <w:position w:val="-6"/>
                <w:sz w:val="22"/>
                <w:vertAlign w:val="subscript"/>
              </w:rPr>
              <w:t>1</w:t>
            </w:r>
            <w:r w:rsidRPr="00E30E44">
              <w:rPr>
                <w:rFonts w:ascii="Times New Roman" w:hAnsi="Times New Roman"/>
                <w:kern w:val="24"/>
                <w:sz w:val="22"/>
              </w:rPr>
              <w:t>-SO</w:t>
            </w:r>
            <w:r w:rsidRPr="00E30E44">
              <w:rPr>
                <w:rFonts w:ascii="Times New Roman" w:hAnsi="Times New Roman"/>
                <w:kern w:val="24"/>
                <w:position w:val="-6"/>
                <w:sz w:val="22"/>
                <w:vertAlign w:val="subscript"/>
              </w:rPr>
              <w:t>4</w:t>
            </w:r>
            <w:r w:rsidRPr="00E30E44">
              <w:rPr>
                <w:rFonts w:ascii="Times New Roman" w:hAnsi="Times New Roman"/>
                <w:kern w:val="24"/>
                <w:sz w:val="22"/>
              </w:rPr>
              <w:t>Na</w:t>
            </w:r>
          </w:p>
        </w:tc>
        <w:tc>
          <w:tcPr>
            <w:tcW w:w="1172"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szCs w:val="22"/>
              </w:rPr>
              <w:t>-</w:t>
            </w:r>
          </w:p>
        </w:tc>
        <w:tc>
          <w:tcPr>
            <w:tcW w:w="365"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1</w:t>
            </w:r>
          </w:p>
        </w:tc>
        <w:tc>
          <w:tcPr>
            <w:tcW w:w="365"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4</w:t>
            </w:r>
          </w:p>
        </w:tc>
        <w:tc>
          <w:tcPr>
            <w:tcW w:w="681"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8</w:t>
            </w:r>
          </w:p>
        </w:tc>
        <w:tc>
          <w:tcPr>
            <w:tcW w:w="507"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507</w:t>
            </w:r>
          </w:p>
        </w:tc>
        <w:tc>
          <w:tcPr>
            <w:tcW w:w="585"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32.3</w:t>
            </w:r>
          </w:p>
        </w:tc>
      </w:tr>
      <w:tr w:rsidR="00E30E44" w:rsidRPr="00E30E44" w:rsidTr="00BA2D85">
        <w:trPr>
          <w:trHeight w:val="456"/>
        </w:trPr>
        <w:tc>
          <w:tcPr>
            <w:tcW w:w="132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C</w:t>
            </w:r>
            <w:r w:rsidRPr="00E30E44">
              <w:rPr>
                <w:rFonts w:ascii="Times New Roman" w:hAnsi="Times New Roman"/>
                <w:kern w:val="24"/>
                <w:position w:val="-6"/>
                <w:sz w:val="22"/>
                <w:vertAlign w:val="subscript"/>
              </w:rPr>
              <w:t>8</w:t>
            </w:r>
            <w:r w:rsidRPr="00E30E44">
              <w:rPr>
                <w:rFonts w:ascii="Times New Roman" w:hAnsi="Times New Roman"/>
                <w:kern w:val="24"/>
                <w:sz w:val="22"/>
              </w:rPr>
              <w:t>-(PO)</w:t>
            </w:r>
            <w:r w:rsidRPr="00E30E44">
              <w:rPr>
                <w:rFonts w:ascii="Times New Roman" w:hAnsi="Times New Roman"/>
                <w:kern w:val="24"/>
                <w:position w:val="-6"/>
                <w:sz w:val="22"/>
                <w:vertAlign w:val="subscript"/>
              </w:rPr>
              <w:t>4</w:t>
            </w:r>
            <w:r w:rsidRPr="00E30E44">
              <w:rPr>
                <w:rFonts w:ascii="Times New Roman" w:hAnsi="Times New Roman"/>
                <w:kern w:val="24"/>
                <w:sz w:val="22"/>
              </w:rPr>
              <w:t>-SO</w:t>
            </w:r>
            <w:r w:rsidRPr="00E30E44">
              <w:rPr>
                <w:rFonts w:ascii="Times New Roman" w:hAnsi="Times New Roman"/>
                <w:kern w:val="24"/>
                <w:position w:val="-6"/>
                <w:sz w:val="22"/>
                <w:vertAlign w:val="subscript"/>
              </w:rPr>
              <w:t>4</w:t>
            </w:r>
            <w:r w:rsidRPr="00E30E44">
              <w:rPr>
                <w:rFonts w:ascii="Times New Roman" w:hAnsi="Times New Roman"/>
                <w:kern w:val="24"/>
                <w:sz w:val="22"/>
              </w:rPr>
              <w:t>Na</w:t>
            </w:r>
          </w:p>
        </w:tc>
        <w:tc>
          <w:tcPr>
            <w:tcW w:w="1172"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szCs w:val="22"/>
              </w:rPr>
              <w:t>-</w:t>
            </w:r>
          </w:p>
        </w:tc>
        <w:tc>
          <w:tcPr>
            <w:tcW w:w="36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w:t>
            </w:r>
          </w:p>
        </w:tc>
        <w:tc>
          <w:tcPr>
            <w:tcW w:w="36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4</w:t>
            </w:r>
          </w:p>
        </w:tc>
        <w:tc>
          <w:tcPr>
            <w:tcW w:w="681"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8</w:t>
            </w:r>
          </w:p>
        </w:tc>
        <w:tc>
          <w:tcPr>
            <w:tcW w:w="507"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466</w:t>
            </w:r>
          </w:p>
        </w:tc>
        <w:tc>
          <w:tcPr>
            <w:tcW w:w="58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33</w:t>
            </w:r>
          </w:p>
        </w:tc>
      </w:tr>
      <w:tr w:rsidR="00E30E44" w:rsidRPr="00E30E44" w:rsidTr="00BA2D85">
        <w:trPr>
          <w:trHeight w:val="467"/>
        </w:trPr>
        <w:tc>
          <w:tcPr>
            <w:tcW w:w="132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C</w:t>
            </w:r>
            <w:r w:rsidRPr="00E30E44">
              <w:rPr>
                <w:rFonts w:ascii="Times New Roman" w:hAnsi="Times New Roman"/>
                <w:kern w:val="24"/>
                <w:position w:val="-6"/>
                <w:sz w:val="22"/>
                <w:vertAlign w:val="subscript"/>
              </w:rPr>
              <w:t>10</w:t>
            </w:r>
            <w:r w:rsidRPr="00E30E44">
              <w:rPr>
                <w:rFonts w:ascii="Times New Roman" w:hAnsi="Times New Roman"/>
                <w:kern w:val="24"/>
                <w:sz w:val="22"/>
              </w:rPr>
              <w:t>-(PO)</w:t>
            </w:r>
            <w:r w:rsidRPr="00E30E44">
              <w:rPr>
                <w:rFonts w:ascii="Times New Roman" w:hAnsi="Times New Roman"/>
                <w:kern w:val="24"/>
                <w:position w:val="-6"/>
                <w:sz w:val="22"/>
                <w:vertAlign w:val="subscript"/>
              </w:rPr>
              <w:t>4</w:t>
            </w:r>
            <w:r w:rsidRPr="00E30E44">
              <w:rPr>
                <w:rFonts w:ascii="Times New Roman" w:hAnsi="Times New Roman"/>
                <w:kern w:val="24"/>
                <w:sz w:val="22"/>
              </w:rPr>
              <w:t>-(EO)</w:t>
            </w:r>
            <w:r w:rsidRPr="00E30E44">
              <w:rPr>
                <w:rFonts w:ascii="Times New Roman" w:hAnsi="Times New Roman"/>
                <w:kern w:val="24"/>
                <w:position w:val="-6"/>
                <w:sz w:val="22"/>
                <w:vertAlign w:val="subscript"/>
              </w:rPr>
              <w:t>1</w:t>
            </w:r>
            <w:r w:rsidRPr="00E30E44">
              <w:rPr>
                <w:rFonts w:ascii="Times New Roman" w:hAnsi="Times New Roman"/>
                <w:kern w:val="24"/>
                <w:sz w:val="22"/>
              </w:rPr>
              <w:t>-SO</w:t>
            </w:r>
            <w:r w:rsidRPr="00E30E44">
              <w:rPr>
                <w:rFonts w:ascii="Times New Roman" w:hAnsi="Times New Roman"/>
                <w:kern w:val="24"/>
                <w:position w:val="-6"/>
                <w:sz w:val="22"/>
                <w:vertAlign w:val="subscript"/>
              </w:rPr>
              <w:t>4</w:t>
            </w:r>
            <w:r w:rsidRPr="00E30E44">
              <w:rPr>
                <w:rFonts w:ascii="Times New Roman" w:hAnsi="Times New Roman"/>
                <w:kern w:val="24"/>
                <w:sz w:val="22"/>
              </w:rPr>
              <w:t>Na</w:t>
            </w:r>
          </w:p>
        </w:tc>
        <w:tc>
          <w:tcPr>
            <w:tcW w:w="1172"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szCs w:val="22"/>
              </w:rPr>
              <w:t>-</w:t>
            </w:r>
          </w:p>
        </w:tc>
        <w:tc>
          <w:tcPr>
            <w:tcW w:w="36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1</w:t>
            </w:r>
          </w:p>
        </w:tc>
        <w:tc>
          <w:tcPr>
            <w:tcW w:w="36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4</w:t>
            </w:r>
          </w:p>
        </w:tc>
        <w:tc>
          <w:tcPr>
            <w:tcW w:w="681"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10</w:t>
            </w:r>
          </w:p>
        </w:tc>
        <w:tc>
          <w:tcPr>
            <w:tcW w:w="507"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538</w:t>
            </w:r>
          </w:p>
        </w:tc>
        <w:tc>
          <w:tcPr>
            <w:tcW w:w="58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32.2</w:t>
            </w:r>
          </w:p>
        </w:tc>
      </w:tr>
      <w:tr w:rsidR="00E30E44" w:rsidRPr="00E30E44" w:rsidTr="00BA2D85">
        <w:trPr>
          <w:trHeight w:val="363"/>
        </w:trPr>
        <w:tc>
          <w:tcPr>
            <w:tcW w:w="132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C</w:t>
            </w:r>
            <w:r w:rsidRPr="00E30E44">
              <w:rPr>
                <w:rFonts w:ascii="Times New Roman" w:hAnsi="Times New Roman"/>
                <w:kern w:val="24"/>
                <w:position w:val="-6"/>
                <w:sz w:val="22"/>
                <w:vertAlign w:val="subscript"/>
              </w:rPr>
              <w:t>10</w:t>
            </w:r>
            <w:r w:rsidRPr="00E30E44">
              <w:rPr>
                <w:rFonts w:ascii="Times New Roman" w:hAnsi="Times New Roman"/>
                <w:kern w:val="24"/>
                <w:sz w:val="22"/>
              </w:rPr>
              <w:t>-(PO)</w:t>
            </w:r>
            <w:r w:rsidRPr="00E30E44">
              <w:rPr>
                <w:rFonts w:ascii="Times New Roman" w:hAnsi="Times New Roman"/>
                <w:kern w:val="24"/>
                <w:position w:val="-6"/>
                <w:sz w:val="22"/>
                <w:vertAlign w:val="subscript"/>
              </w:rPr>
              <w:t>4</w:t>
            </w:r>
            <w:r w:rsidRPr="00E30E44">
              <w:rPr>
                <w:rFonts w:ascii="Times New Roman" w:hAnsi="Times New Roman"/>
                <w:kern w:val="24"/>
                <w:sz w:val="22"/>
              </w:rPr>
              <w:t>-SO</w:t>
            </w:r>
            <w:r w:rsidRPr="00E30E44">
              <w:rPr>
                <w:rFonts w:ascii="Times New Roman" w:hAnsi="Times New Roman"/>
                <w:kern w:val="24"/>
                <w:position w:val="-6"/>
                <w:sz w:val="22"/>
                <w:vertAlign w:val="subscript"/>
              </w:rPr>
              <w:t>4</w:t>
            </w:r>
            <w:r w:rsidRPr="00E30E44">
              <w:rPr>
                <w:rFonts w:ascii="Times New Roman" w:hAnsi="Times New Roman"/>
                <w:kern w:val="24"/>
                <w:sz w:val="22"/>
              </w:rPr>
              <w:t>Na</w:t>
            </w:r>
          </w:p>
        </w:tc>
        <w:tc>
          <w:tcPr>
            <w:tcW w:w="1172"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szCs w:val="22"/>
              </w:rPr>
              <w:t>-</w:t>
            </w:r>
          </w:p>
        </w:tc>
        <w:tc>
          <w:tcPr>
            <w:tcW w:w="36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w:t>
            </w:r>
          </w:p>
        </w:tc>
        <w:tc>
          <w:tcPr>
            <w:tcW w:w="36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4</w:t>
            </w:r>
          </w:p>
        </w:tc>
        <w:tc>
          <w:tcPr>
            <w:tcW w:w="681"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10</w:t>
            </w:r>
          </w:p>
        </w:tc>
        <w:tc>
          <w:tcPr>
            <w:tcW w:w="507"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493</w:t>
            </w:r>
          </w:p>
        </w:tc>
        <w:tc>
          <w:tcPr>
            <w:tcW w:w="58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32.5</w:t>
            </w:r>
          </w:p>
        </w:tc>
      </w:tr>
      <w:tr w:rsidR="00E30E44" w:rsidRPr="00E30E44" w:rsidTr="00BA2D85">
        <w:trPr>
          <w:trHeight w:val="750"/>
        </w:trPr>
        <w:tc>
          <w:tcPr>
            <w:tcW w:w="1325" w:type="pct"/>
            <w:tcBorders>
              <w:top w:val="nil"/>
              <w:left w:val="nil"/>
              <w:bottom w:val="nil"/>
              <w:right w:val="nil"/>
            </w:tcBorders>
            <w:shd w:val="clear" w:color="auto" w:fill="auto"/>
            <w:tcMar>
              <w:top w:w="15" w:type="dxa"/>
              <w:left w:w="15" w:type="dxa"/>
              <w:bottom w:w="0" w:type="dxa"/>
              <w:right w:w="15" w:type="dxa"/>
            </w:tcMar>
            <w:vAlign w:val="center"/>
          </w:tcPr>
          <w:p w:rsidR="00E30E44" w:rsidRPr="00E30E44" w:rsidRDefault="00E30E44" w:rsidP="00E30E44">
            <w:pPr>
              <w:spacing w:line="240" w:lineRule="auto"/>
              <w:jc w:val="center"/>
              <w:textAlignment w:val="bottom"/>
              <w:rPr>
                <w:rFonts w:ascii="Times New Roman" w:hAnsi="Times New Roman"/>
                <w:kern w:val="24"/>
                <w:sz w:val="22"/>
              </w:rPr>
            </w:pPr>
            <w:r w:rsidRPr="00E30E44">
              <w:rPr>
                <w:rFonts w:ascii="Times New Roman" w:hAnsi="Times New Roman"/>
                <w:kern w:val="24"/>
                <w:sz w:val="22"/>
              </w:rPr>
              <w:t>C</w:t>
            </w:r>
            <w:r w:rsidRPr="00E30E44">
              <w:rPr>
                <w:rFonts w:ascii="Times New Roman" w:hAnsi="Times New Roman"/>
                <w:kern w:val="24"/>
                <w:sz w:val="22"/>
                <w:vertAlign w:val="subscript"/>
              </w:rPr>
              <w:t>16</w:t>
            </w:r>
            <w:r w:rsidRPr="00E30E44">
              <w:rPr>
                <w:rFonts w:ascii="Times New Roman" w:hAnsi="Times New Roman"/>
                <w:kern w:val="24"/>
                <w:sz w:val="22"/>
              </w:rPr>
              <w:t>H</w:t>
            </w:r>
            <w:r w:rsidRPr="00E30E44">
              <w:rPr>
                <w:rFonts w:ascii="Times New Roman" w:hAnsi="Times New Roman"/>
                <w:kern w:val="24"/>
                <w:sz w:val="22"/>
                <w:vertAlign w:val="subscript"/>
              </w:rPr>
              <w:t>29</w:t>
            </w:r>
            <w:r w:rsidRPr="00E30E44">
              <w:rPr>
                <w:rFonts w:ascii="Times New Roman" w:hAnsi="Times New Roman"/>
                <w:kern w:val="24"/>
                <w:sz w:val="22"/>
              </w:rPr>
              <w:t>O</w:t>
            </w:r>
            <w:r w:rsidRPr="00E30E44">
              <w:rPr>
                <w:rFonts w:ascii="Times New Roman" w:hAnsi="Times New Roman"/>
                <w:kern w:val="24"/>
                <w:sz w:val="22"/>
                <w:vertAlign w:val="subscript"/>
              </w:rPr>
              <w:t>4</w:t>
            </w:r>
            <w:r w:rsidRPr="00E30E44">
              <w:rPr>
                <w:rFonts w:ascii="Times New Roman" w:hAnsi="Times New Roman"/>
                <w:kern w:val="24"/>
                <w:sz w:val="22"/>
              </w:rPr>
              <w:t xml:space="preserve"> -SO</w:t>
            </w:r>
            <w:r w:rsidRPr="00E30E44">
              <w:rPr>
                <w:rFonts w:ascii="Times New Roman" w:hAnsi="Times New Roman"/>
                <w:kern w:val="24"/>
                <w:sz w:val="22"/>
                <w:vertAlign w:val="subscript"/>
              </w:rPr>
              <w:t>3</w:t>
            </w:r>
            <w:r w:rsidRPr="00E30E44">
              <w:rPr>
                <w:rFonts w:ascii="Times New Roman" w:hAnsi="Times New Roman"/>
                <w:kern w:val="24"/>
                <w:sz w:val="22"/>
              </w:rPr>
              <w:t>Na</w:t>
            </w:r>
          </w:p>
        </w:tc>
        <w:tc>
          <w:tcPr>
            <w:tcW w:w="1172" w:type="pct"/>
            <w:tcBorders>
              <w:top w:val="nil"/>
              <w:left w:val="nil"/>
              <w:bottom w:val="nil"/>
              <w:right w:val="nil"/>
            </w:tcBorders>
            <w:shd w:val="clear" w:color="auto" w:fill="auto"/>
            <w:tcMar>
              <w:top w:w="15" w:type="dxa"/>
              <w:left w:w="15" w:type="dxa"/>
              <w:bottom w:w="0" w:type="dxa"/>
              <w:right w:w="15" w:type="dxa"/>
            </w:tcMar>
            <w:vAlign w:val="center"/>
          </w:tcPr>
          <w:p w:rsidR="00E30E44" w:rsidRPr="00E30E44" w:rsidRDefault="00E30E44" w:rsidP="00E30E44">
            <w:pPr>
              <w:spacing w:line="240" w:lineRule="auto"/>
              <w:jc w:val="center"/>
              <w:textAlignment w:val="bottom"/>
              <w:rPr>
                <w:rFonts w:ascii="Times New Roman" w:hAnsi="Times New Roman"/>
                <w:kern w:val="24"/>
                <w:sz w:val="22"/>
              </w:rPr>
            </w:pPr>
            <w:r w:rsidRPr="00E30E44">
              <w:rPr>
                <w:rFonts w:ascii="Times New Roman" w:hAnsi="Times New Roman"/>
                <w:kern w:val="24"/>
                <w:sz w:val="22"/>
              </w:rPr>
              <w:t>Sodium dihexyl sulfosuccinate (AMA)</w:t>
            </w:r>
          </w:p>
        </w:tc>
        <w:tc>
          <w:tcPr>
            <w:tcW w:w="365" w:type="pct"/>
            <w:tcBorders>
              <w:top w:val="nil"/>
              <w:left w:val="nil"/>
              <w:bottom w:val="nil"/>
              <w:right w:val="nil"/>
            </w:tcBorders>
            <w:shd w:val="clear" w:color="auto" w:fill="auto"/>
            <w:tcMar>
              <w:top w:w="15" w:type="dxa"/>
              <w:left w:w="15" w:type="dxa"/>
              <w:bottom w:w="0" w:type="dxa"/>
              <w:right w:w="15" w:type="dxa"/>
            </w:tcMar>
            <w:vAlign w:val="center"/>
          </w:tcPr>
          <w:p w:rsidR="00E30E44" w:rsidRPr="00E30E44" w:rsidRDefault="00E30E44" w:rsidP="00E30E44">
            <w:pPr>
              <w:spacing w:line="240" w:lineRule="auto"/>
              <w:jc w:val="center"/>
              <w:textAlignment w:val="bottom"/>
              <w:rPr>
                <w:rFonts w:ascii="Times New Roman" w:hAnsi="Times New Roman"/>
                <w:kern w:val="24"/>
                <w:sz w:val="22"/>
              </w:rPr>
            </w:pPr>
            <w:r w:rsidRPr="00E30E44">
              <w:rPr>
                <w:rFonts w:ascii="Times New Roman" w:hAnsi="Times New Roman"/>
                <w:kern w:val="24"/>
                <w:sz w:val="22"/>
              </w:rPr>
              <w:t xml:space="preserve">- </w:t>
            </w:r>
          </w:p>
        </w:tc>
        <w:tc>
          <w:tcPr>
            <w:tcW w:w="365" w:type="pct"/>
            <w:tcBorders>
              <w:top w:val="nil"/>
              <w:left w:val="nil"/>
              <w:bottom w:val="nil"/>
              <w:right w:val="nil"/>
            </w:tcBorders>
            <w:shd w:val="clear" w:color="auto" w:fill="auto"/>
            <w:tcMar>
              <w:top w:w="15" w:type="dxa"/>
              <w:left w:w="15" w:type="dxa"/>
              <w:bottom w:w="0" w:type="dxa"/>
              <w:right w:w="15" w:type="dxa"/>
            </w:tcMar>
            <w:vAlign w:val="center"/>
          </w:tcPr>
          <w:p w:rsidR="00E30E44" w:rsidRPr="00E30E44" w:rsidRDefault="00E30E44" w:rsidP="00E30E44">
            <w:pPr>
              <w:spacing w:line="240" w:lineRule="auto"/>
              <w:jc w:val="center"/>
              <w:textAlignment w:val="bottom"/>
              <w:rPr>
                <w:rFonts w:ascii="Times New Roman" w:hAnsi="Times New Roman"/>
                <w:kern w:val="24"/>
                <w:sz w:val="22"/>
              </w:rPr>
            </w:pPr>
            <w:r w:rsidRPr="00E30E44">
              <w:rPr>
                <w:rFonts w:ascii="Times New Roman" w:hAnsi="Times New Roman"/>
                <w:kern w:val="24"/>
                <w:sz w:val="22"/>
              </w:rPr>
              <w:t>-</w:t>
            </w:r>
          </w:p>
        </w:tc>
        <w:tc>
          <w:tcPr>
            <w:tcW w:w="681" w:type="pct"/>
            <w:tcBorders>
              <w:top w:val="nil"/>
              <w:left w:val="nil"/>
              <w:bottom w:val="nil"/>
              <w:right w:val="nil"/>
            </w:tcBorders>
            <w:shd w:val="clear" w:color="auto" w:fill="auto"/>
            <w:tcMar>
              <w:top w:w="15" w:type="dxa"/>
              <w:left w:w="15" w:type="dxa"/>
              <w:bottom w:w="0" w:type="dxa"/>
              <w:right w:w="15" w:type="dxa"/>
            </w:tcMar>
            <w:vAlign w:val="center"/>
          </w:tcPr>
          <w:p w:rsidR="00E30E44" w:rsidRPr="00E30E44" w:rsidRDefault="00E30E44" w:rsidP="00E30E44">
            <w:pPr>
              <w:spacing w:line="240" w:lineRule="auto"/>
              <w:jc w:val="center"/>
              <w:textAlignment w:val="bottom"/>
              <w:rPr>
                <w:rFonts w:ascii="Times New Roman" w:hAnsi="Times New Roman"/>
                <w:kern w:val="24"/>
                <w:sz w:val="22"/>
              </w:rPr>
            </w:pPr>
            <w:r w:rsidRPr="00E30E44">
              <w:rPr>
                <w:rFonts w:ascii="Times New Roman" w:hAnsi="Times New Roman"/>
                <w:kern w:val="24"/>
                <w:sz w:val="22"/>
              </w:rPr>
              <w:t>6 (Twin tail)</w:t>
            </w:r>
          </w:p>
        </w:tc>
        <w:tc>
          <w:tcPr>
            <w:tcW w:w="507" w:type="pct"/>
            <w:tcBorders>
              <w:top w:val="nil"/>
              <w:left w:val="nil"/>
              <w:bottom w:val="nil"/>
              <w:right w:val="nil"/>
            </w:tcBorders>
            <w:shd w:val="clear" w:color="auto" w:fill="auto"/>
            <w:tcMar>
              <w:top w:w="15" w:type="dxa"/>
              <w:left w:w="15" w:type="dxa"/>
              <w:bottom w:w="0" w:type="dxa"/>
              <w:right w:w="15" w:type="dxa"/>
            </w:tcMar>
            <w:vAlign w:val="center"/>
          </w:tcPr>
          <w:p w:rsidR="00E30E44" w:rsidRPr="00E30E44" w:rsidRDefault="00E30E44" w:rsidP="00E30E44">
            <w:pPr>
              <w:spacing w:line="240" w:lineRule="auto"/>
              <w:jc w:val="center"/>
              <w:textAlignment w:val="bottom"/>
              <w:rPr>
                <w:rFonts w:ascii="Times New Roman" w:hAnsi="Times New Roman"/>
                <w:kern w:val="24"/>
                <w:sz w:val="22"/>
              </w:rPr>
            </w:pPr>
            <w:r w:rsidRPr="00E30E44">
              <w:rPr>
                <w:rFonts w:ascii="Times New Roman" w:hAnsi="Times New Roman"/>
                <w:kern w:val="24"/>
                <w:sz w:val="22"/>
              </w:rPr>
              <w:t>388.45</w:t>
            </w:r>
          </w:p>
        </w:tc>
        <w:tc>
          <w:tcPr>
            <w:tcW w:w="585" w:type="pct"/>
            <w:tcBorders>
              <w:top w:val="nil"/>
              <w:left w:val="nil"/>
              <w:bottom w:val="nil"/>
              <w:right w:val="nil"/>
            </w:tcBorders>
            <w:shd w:val="clear" w:color="auto" w:fill="auto"/>
            <w:tcMar>
              <w:top w:w="15" w:type="dxa"/>
              <w:left w:w="15" w:type="dxa"/>
              <w:bottom w:w="0" w:type="dxa"/>
              <w:right w:w="15" w:type="dxa"/>
            </w:tcMar>
            <w:vAlign w:val="center"/>
          </w:tcPr>
          <w:p w:rsidR="00E30E44" w:rsidRPr="00E30E44" w:rsidRDefault="00E30E44" w:rsidP="00E30E44">
            <w:pPr>
              <w:spacing w:line="240" w:lineRule="auto"/>
              <w:jc w:val="center"/>
              <w:textAlignment w:val="bottom"/>
              <w:rPr>
                <w:rFonts w:ascii="Times New Roman" w:hAnsi="Times New Roman"/>
                <w:kern w:val="24"/>
                <w:sz w:val="22"/>
              </w:rPr>
            </w:pPr>
            <w:r w:rsidRPr="00E30E44">
              <w:rPr>
                <w:rFonts w:ascii="Times New Roman" w:hAnsi="Times New Roman"/>
                <w:kern w:val="24"/>
                <w:sz w:val="22"/>
              </w:rPr>
              <w:t>80</w:t>
            </w:r>
          </w:p>
        </w:tc>
      </w:tr>
      <w:tr w:rsidR="00E30E44" w:rsidRPr="00E30E44" w:rsidTr="00BA2D85">
        <w:trPr>
          <w:trHeight w:val="504"/>
        </w:trPr>
        <w:tc>
          <w:tcPr>
            <w:tcW w:w="132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C</w:t>
            </w:r>
            <w:r w:rsidRPr="00E30E44">
              <w:rPr>
                <w:rFonts w:ascii="Times New Roman" w:hAnsi="Times New Roman"/>
                <w:kern w:val="24"/>
                <w:position w:val="-6"/>
                <w:sz w:val="22"/>
                <w:vertAlign w:val="subscript"/>
              </w:rPr>
              <w:t>12</w:t>
            </w:r>
            <w:r w:rsidRPr="00E30E44">
              <w:rPr>
                <w:rFonts w:ascii="Times New Roman" w:hAnsi="Times New Roman"/>
                <w:kern w:val="24"/>
                <w:sz w:val="22"/>
              </w:rPr>
              <w:t>-SO</w:t>
            </w:r>
            <w:r w:rsidRPr="00E30E44">
              <w:rPr>
                <w:rFonts w:ascii="Times New Roman" w:hAnsi="Times New Roman"/>
                <w:kern w:val="24"/>
                <w:position w:val="-6"/>
                <w:sz w:val="22"/>
                <w:vertAlign w:val="subscript"/>
              </w:rPr>
              <w:t>4</w:t>
            </w:r>
            <w:r w:rsidRPr="00E30E44">
              <w:rPr>
                <w:rFonts w:ascii="Times New Roman" w:hAnsi="Times New Roman"/>
                <w:kern w:val="24"/>
                <w:sz w:val="22"/>
              </w:rPr>
              <w:t>Na</w:t>
            </w:r>
          </w:p>
        </w:tc>
        <w:tc>
          <w:tcPr>
            <w:tcW w:w="1172"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Sodium dodecyl sulfate (SDS)</w:t>
            </w:r>
          </w:p>
        </w:tc>
        <w:tc>
          <w:tcPr>
            <w:tcW w:w="36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w:t>
            </w:r>
          </w:p>
        </w:tc>
        <w:tc>
          <w:tcPr>
            <w:tcW w:w="36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w:t>
            </w:r>
          </w:p>
        </w:tc>
        <w:tc>
          <w:tcPr>
            <w:tcW w:w="681"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12</w:t>
            </w:r>
          </w:p>
        </w:tc>
        <w:tc>
          <w:tcPr>
            <w:tcW w:w="507"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288</w:t>
            </w:r>
          </w:p>
        </w:tc>
        <w:tc>
          <w:tcPr>
            <w:tcW w:w="585" w:type="pct"/>
            <w:tcBorders>
              <w:top w:val="nil"/>
              <w:left w:val="nil"/>
              <w:bottom w:val="nil"/>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≥99</w:t>
            </w:r>
          </w:p>
        </w:tc>
      </w:tr>
      <w:tr w:rsidR="00E30E44" w:rsidRPr="00E30E44" w:rsidTr="00BA2D85">
        <w:trPr>
          <w:trHeight w:val="485"/>
        </w:trPr>
        <w:tc>
          <w:tcPr>
            <w:tcW w:w="1325"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C</w:t>
            </w:r>
            <w:r w:rsidRPr="00E30E44">
              <w:rPr>
                <w:rFonts w:ascii="Times New Roman" w:hAnsi="Times New Roman"/>
                <w:kern w:val="24"/>
                <w:position w:val="-6"/>
                <w:sz w:val="22"/>
                <w:vertAlign w:val="subscript"/>
              </w:rPr>
              <w:t>12</w:t>
            </w:r>
            <w:r w:rsidRPr="00E30E44">
              <w:rPr>
                <w:rFonts w:ascii="Times New Roman" w:hAnsi="Times New Roman"/>
                <w:kern w:val="24"/>
                <w:sz w:val="22"/>
              </w:rPr>
              <w:t>-(EO)</w:t>
            </w:r>
            <w:r w:rsidRPr="00E30E44">
              <w:rPr>
                <w:rFonts w:ascii="Times New Roman" w:hAnsi="Times New Roman"/>
                <w:kern w:val="24"/>
                <w:position w:val="-6"/>
                <w:sz w:val="22"/>
                <w:vertAlign w:val="subscript"/>
              </w:rPr>
              <w:t>3</w:t>
            </w:r>
            <w:r w:rsidRPr="00E30E44">
              <w:rPr>
                <w:rFonts w:ascii="Times New Roman" w:hAnsi="Times New Roman"/>
                <w:kern w:val="24"/>
                <w:sz w:val="22"/>
              </w:rPr>
              <w:t>-SO</w:t>
            </w:r>
            <w:r w:rsidRPr="00E30E44">
              <w:rPr>
                <w:rFonts w:ascii="Times New Roman" w:hAnsi="Times New Roman"/>
                <w:kern w:val="24"/>
                <w:position w:val="-6"/>
                <w:sz w:val="22"/>
                <w:vertAlign w:val="subscript"/>
              </w:rPr>
              <w:t>4</w:t>
            </w:r>
            <w:r w:rsidRPr="00E30E44">
              <w:rPr>
                <w:rFonts w:ascii="Times New Roman" w:hAnsi="Times New Roman"/>
                <w:kern w:val="24"/>
                <w:sz w:val="22"/>
              </w:rPr>
              <w:t>Na</w:t>
            </w:r>
          </w:p>
        </w:tc>
        <w:tc>
          <w:tcPr>
            <w:tcW w:w="1172"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Sodium laureth sulfate (Steol Cs460)</w:t>
            </w:r>
          </w:p>
        </w:tc>
        <w:tc>
          <w:tcPr>
            <w:tcW w:w="365"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3</w:t>
            </w:r>
          </w:p>
        </w:tc>
        <w:tc>
          <w:tcPr>
            <w:tcW w:w="365"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w:t>
            </w:r>
          </w:p>
        </w:tc>
        <w:tc>
          <w:tcPr>
            <w:tcW w:w="681"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12</w:t>
            </w:r>
          </w:p>
        </w:tc>
        <w:tc>
          <w:tcPr>
            <w:tcW w:w="507"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441</w:t>
            </w:r>
          </w:p>
        </w:tc>
        <w:tc>
          <w:tcPr>
            <w:tcW w:w="585"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E30E44" w:rsidRPr="00E30E44" w:rsidRDefault="00E30E44" w:rsidP="00E30E44">
            <w:pPr>
              <w:spacing w:line="240" w:lineRule="auto"/>
              <w:jc w:val="center"/>
              <w:textAlignment w:val="bottom"/>
              <w:rPr>
                <w:rFonts w:ascii="Arial" w:hAnsi="Arial" w:cs="Arial"/>
                <w:sz w:val="22"/>
                <w:szCs w:val="36"/>
              </w:rPr>
            </w:pPr>
            <w:r w:rsidRPr="00E30E44">
              <w:rPr>
                <w:rFonts w:ascii="Times New Roman" w:hAnsi="Times New Roman"/>
                <w:kern w:val="24"/>
                <w:sz w:val="22"/>
              </w:rPr>
              <w:t>60</w:t>
            </w:r>
          </w:p>
        </w:tc>
      </w:tr>
    </w:tbl>
    <w:p w:rsidR="00E30E44" w:rsidRDefault="00E30E44" w:rsidP="003D0164">
      <w:pPr>
        <w:jc w:val="both"/>
        <w:rPr>
          <w:lang w:bidi="en-US"/>
        </w:rPr>
      </w:pPr>
    </w:p>
    <w:p w:rsidR="0036292C" w:rsidRPr="0036292C" w:rsidRDefault="0036292C" w:rsidP="00BA2D85">
      <w:pPr>
        <w:pStyle w:val="Caption"/>
        <w:keepNext/>
        <w:rPr>
          <w:b w:val="0"/>
        </w:rPr>
      </w:pPr>
      <w:bookmarkStart w:id="20" w:name="_Toc426967280"/>
      <w:r w:rsidRPr="0036292C">
        <w:t xml:space="preserve">Table </w:t>
      </w:r>
      <w:r w:rsidR="001C58A2">
        <w:fldChar w:fldCharType="begin"/>
      </w:r>
      <w:r w:rsidR="001C58A2">
        <w:instrText xml:space="preserve"> SEQ Table \* ARABIC </w:instrText>
      </w:r>
      <w:r w:rsidR="001C58A2">
        <w:fldChar w:fldCharType="separate"/>
      </w:r>
      <w:r w:rsidR="003F7947">
        <w:rPr>
          <w:noProof/>
        </w:rPr>
        <w:t>2</w:t>
      </w:r>
      <w:r w:rsidR="001C58A2">
        <w:rPr>
          <w:noProof/>
        </w:rPr>
        <w:fldChar w:fldCharType="end"/>
      </w:r>
      <w:r w:rsidRPr="0036292C">
        <w:rPr>
          <w:sz w:val="28"/>
        </w:rPr>
        <w:t xml:space="preserve">. </w:t>
      </w:r>
      <w:r w:rsidRPr="0036292C">
        <w:rPr>
          <w:b w:val="0"/>
        </w:rPr>
        <w:t>Reservoir Brine Analysis. Analysis Conducted by Red River Laboratory, Oklahoma City, OK</w:t>
      </w:r>
      <w:bookmarkEnd w:id="20"/>
    </w:p>
    <w:p w:rsidR="0036292C" w:rsidRDefault="0036292C" w:rsidP="00233800">
      <w:pPr>
        <w:pStyle w:val="Caption"/>
        <w:keepNext/>
      </w:pPr>
    </w:p>
    <w:tbl>
      <w:tblPr>
        <w:tblW w:w="0" w:type="auto"/>
        <w:tblInd w:w="2107" w:type="dxa"/>
        <w:tblCellMar>
          <w:left w:w="0" w:type="dxa"/>
          <w:right w:w="0" w:type="dxa"/>
        </w:tblCellMar>
        <w:tblLook w:val="0600" w:firstRow="0" w:lastRow="0" w:firstColumn="0" w:lastColumn="0" w:noHBand="1" w:noVBand="1"/>
      </w:tblPr>
      <w:tblGrid>
        <w:gridCol w:w="2815"/>
        <w:gridCol w:w="2004"/>
      </w:tblGrid>
      <w:tr w:rsidR="0036292C" w:rsidRPr="0036292C" w:rsidTr="0036292C">
        <w:trPr>
          <w:trHeight w:val="330"/>
        </w:trPr>
        <w:tc>
          <w:tcPr>
            <w:tcW w:w="0" w:type="auto"/>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36292C" w:rsidRPr="0036292C" w:rsidRDefault="0036292C" w:rsidP="00233800">
            <w:pPr>
              <w:spacing w:line="240" w:lineRule="auto"/>
              <w:jc w:val="center"/>
              <w:textAlignment w:val="bottom"/>
              <w:rPr>
                <w:rFonts w:ascii="Arial" w:hAnsi="Arial" w:cs="Arial"/>
                <w:sz w:val="22"/>
                <w:szCs w:val="36"/>
              </w:rPr>
            </w:pPr>
            <w:r w:rsidRPr="0036292C">
              <w:rPr>
                <w:rFonts w:ascii="Times New Roman" w:hAnsi="Times New Roman"/>
                <w:b/>
                <w:bCs/>
                <w:color w:val="000000"/>
                <w:kern w:val="24"/>
                <w:sz w:val="22"/>
              </w:rPr>
              <w:t>Components</w:t>
            </w:r>
          </w:p>
        </w:tc>
        <w:tc>
          <w:tcPr>
            <w:tcW w:w="0" w:type="auto"/>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36292C" w:rsidRPr="0036292C" w:rsidRDefault="0036292C" w:rsidP="00233800">
            <w:pPr>
              <w:spacing w:line="240" w:lineRule="auto"/>
              <w:jc w:val="center"/>
              <w:textAlignment w:val="bottom"/>
              <w:rPr>
                <w:rFonts w:ascii="Arial" w:hAnsi="Arial" w:cs="Arial"/>
                <w:sz w:val="22"/>
                <w:szCs w:val="36"/>
              </w:rPr>
            </w:pPr>
            <w:r w:rsidRPr="0036292C">
              <w:rPr>
                <w:rFonts w:ascii="Times New Roman" w:hAnsi="Times New Roman"/>
                <w:b/>
                <w:bCs/>
                <w:color w:val="000000"/>
                <w:kern w:val="24"/>
                <w:sz w:val="22"/>
              </w:rPr>
              <w:t>Concentration (mg/l)</w:t>
            </w:r>
          </w:p>
        </w:tc>
      </w:tr>
      <w:tr w:rsidR="0036292C" w:rsidRPr="0036292C" w:rsidTr="0036292C">
        <w:trPr>
          <w:trHeight w:val="315"/>
        </w:trPr>
        <w:tc>
          <w:tcPr>
            <w:tcW w:w="0" w:type="auto"/>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Sodium</w:t>
            </w:r>
          </w:p>
        </w:tc>
        <w:tc>
          <w:tcPr>
            <w:tcW w:w="0" w:type="auto"/>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51675</w:t>
            </w:r>
          </w:p>
        </w:tc>
      </w:tr>
      <w:tr w:rsidR="0036292C" w:rsidRPr="0036292C" w:rsidTr="0036292C">
        <w:trPr>
          <w:trHeight w:val="315"/>
        </w:trPr>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Potassium</w:t>
            </w:r>
          </w:p>
        </w:tc>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107</w:t>
            </w:r>
            <w:r w:rsidR="00870B1E">
              <w:rPr>
                <w:rFonts w:ascii="Times New Roman" w:hAnsi="Times New Roman"/>
                <w:color w:val="000000"/>
                <w:kern w:val="24"/>
                <w:sz w:val="22"/>
              </w:rPr>
              <w:t>6</w:t>
            </w:r>
          </w:p>
        </w:tc>
      </w:tr>
      <w:tr w:rsidR="0036292C" w:rsidRPr="0036292C" w:rsidTr="0036292C">
        <w:trPr>
          <w:trHeight w:val="315"/>
        </w:trPr>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Magnesium</w:t>
            </w:r>
          </w:p>
        </w:tc>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2868</w:t>
            </w:r>
          </w:p>
        </w:tc>
      </w:tr>
      <w:tr w:rsidR="0036292C" w:rsidRPr="0036292C" w:rsidTr="0036292C">
        <w:trPr>
          <w:trHeight w:val="315"/>
        </w:trPr>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Calcium</w:t>
            </w:r>
          </w:p>
        </w:tc>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10105</w:t>
            </w:r>
          </w:p>
        </w:tc>
      </w:tr>
      <w:tr w:rsidR="0036292C" w:rsidRPr="0036292C" w:rsidTr="0036292C">
        <w:trPr>
          <w:trHeight w:val="315"/>
        </w:trPr>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Iron</w:t>
            </w:r>
          </w:p>
        </w:tc>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10.3</w:t>
            </w:r>
          </w:p>
        </w:tc>
      </w:tr>
      <w:tr w:rsidR="0036292C" w:rsidRPr="0036292C" w:rsidTr="0036292C">
        <w:trPr>
          <w:trHeight w:val="315"/>
        </w:trPr>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Sulfate</w:t>
            </w:r>
          </w:p>
        </w:tc>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870B1E" w:rsidP="0036292C">
            <w:pPr>
              <w:spacing w:line="240" w:lineRule="auto"/>
              <w:jc w:val="center"/>
              <w:textAlignment w:val="bottom"/>
              <w:rPr>
                <w:rFonts w:ascii="Arial" w:hAnsi="Arial" w:cs="Arial"/>
                <w:sz w:val="22"/>
                <w:szCs w:val="36"/>
              </w:rPr>
            </w:pPr>
            <w:r>
              <w:rPr>
                <w:rFonts w:ascii="Times New Roman" w:hAnsi="Times New Roman"/>
                <w:color w:val="000000"/>
                <w:kern w:val="24"/>
                <w:sz w:val="22"/>
              </w:rPr>
              <w:t>341</w:t>
            </w:r>
          </w:p>
        </w:tc>
      </w:tr>
      <w:tr w:rsidR="0036292C" w:rsidRPr="0036292C" w:rsidTr="0036292C">
        <w:trPr>
          <w:trHeight w:val="315"/>
        </w:trPr>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Chlorine</w:t>
            </w:r>
          </w:p>
        </w:tc>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870B1E" w:rsidP="0036292C">
            <w:pPr>
              <w:spacing w:line="240" w:lineRule="auto"/>
              <w:jc w:val="center"/>
              <w:textAlignment w:val="bottom"/>
              <w:rPr>
                <w:rFonts w:ascii="Arial" w:hAnsi="Arial" w:cs="Arial"/>
                <w:sz w:val="22"/>
                <w:szCs w:val="36"/>
              </w:rPr>
            </w:pPr>
            <w:r>
              <w:rPr>
                <w:rFonts w:ascii="Times New Roman" w:hAnsi="Times New Roman"/>
                <w:color w:val="000000"/>
                <w:kern w:val="24"/>
                <w:sz w:val="22"/>
              </w:rPr>
              <w:t>235634</w:t>
            </w:r>
          </w:p>
        </w:tc>
      </w:tr>
      <w:tr w:rsidR="0036292C" w:rsidRPr="0036292C" w:rsidTr="0036292C">
        <w:trPr>
          <w:trHeight w:val="375"/>
        </w:trPr>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Total hardness (Ca</w:t>
            </w:r>
            <w:r w:rsidRPr="0036292C">
              <w:rPr>
                <w:rFonts w:ascii="Times New Roman" w:hAnsi="Times New Roman"/>
                <w:color w:val="000000"/>
                <w:kern w:val="24"/>
                <w:position w:val="7"/>
                <w:sz w:val="22"/>
                <w:vertAlign w:val="superscript"/>
              </w:rPr>
              <w:t>++</w:t>
            </w:r>
            <w:r w:rsidRPr="0036292C">
              <w:rPr>
                <w:rFonts w:ascii="Times New Roman" w:hAnsi="Times New Roman"/>
                <w:color w:val="000000"/>
                <w:kern w:val="24"/>
                <w:sz w:val="22"/>
              </w:rPr>
              <w:t xml:space="preserve"> and Mg</w:t>
            </w:r>
            <w:r w:rsidRPr="0036292C">
              <w:rPr>
                <w:rFonts w:ascii="Times New Roman" w:hAnsi="Times New Roman"/>
                <w:color w:val="000000"/>
                <w:kern w:val="24"/>
                <w:position w:val="7"/>
                <w:sz w:val="22"/>
                <w:vertAlign w:val="superscript"/>
              </w:rPr>
              <w:t>++</w:t>
            </w:r>
            <w:r w:rsidRPr="0036292C">
              <w:rPr>
                <w:rFonts w:ascii="Times New Roman" w:hAnsi="Times New Roman"/>
                <w:color w:val="000000"/>
                <w:kern w:val="24"/>
                <w:sz w:val="22"/>
              </w:rPr>
              <w:t>)</w:t>
            </w:r>
          </w:p>
        </w:tc>
        <w:tc>
          <w:tcPr>
            <w:tcW w:w="0" w:type="auto"/>
            <w:tcBorders>
              <w:top w:val="nil"/>
              <w:left w:val="nil"/>
              <w:bottom w:val="nil"/>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b/>
                <w:bCs/>
                <w:color w:val="000000"/>
                <w:kern w:val="24"/>
                <w:sz w:val="22"/>
              </w:rPr>
              <w:t>12973</w:t>
            </w:r>
          </w:p>
        </w:tc>
      </w:tr>
      <w:tr w:rsidR="0036292C" w:rsidRPr="0036292C" w:rsidTr="0036292C">
        <w:trPr>
          <w:trHeight w:val="330"/>
        </w:trPr>
        <w:tc>
          <w:tcPr>
            <w:tcW w:w="0" w:type="auto"/>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color w:val="000000"/>
                <w:kern w:val="24"/>
                <w:sz w:val="22"/>
              </w:rPr>
              <w:t xml:space="preserve">Total dissolved solids </w:t>
            </w:r>
          </w:p>
        </w:tc>
        <w:tc>
          <w:tcPr>
            <w:tcW w:w="0" w:type="auto"/>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36292C" w:rsidRPr="0036292C" w:rsidRDefault="0036292C" w:rsidP="0036292C">
            <w:pPr>
              <w:spacing w:line="240" w:lineRule="auto"/>
              <w:jc w:val="center"/>
              <w:textAlignment w:val="bottom"/>
              <w:rPr>
                <w:rFonts w:ascii="Arial" w:hAnsi="Arial" w:cs="Arial"/>
                <w:sz w:val="22"/>
                <w:szCs w:val="36"/>
              </w:rPr>
            </w:pPr>
            <w:r w:rsidRPr="0036292C">
              <w:rPr>
                <w:rFonts w:ascii="Times New Roman" w:hAnsi="Times New Roman"/>
                <w:b/>
                <w:bCs/>
                <w:color w:val="000000"/>
                <w:kern w:val="24"/>
                <w:sz w:val="22"/>
              </w:rPr>
              <w:t>301710</w:t>
            </w:r>
          </w:p>
        </w:tc>
      </w:tr>
    </w:tbl>
    <w:p w:rsidR="00233800" w:rsidRDefault="00233800" w:rsidP="00233800">
      <w:pPr>
        <w:pStyle w:val="Caption"/>
        <w:keepNext/>
        <w:jc w:val="center"/>
      </w:pPr>
    </w:p>
    <w:p w:rsidR="00233800" w:rsidRDefault="00233800" w:rsidP="00233800">
      <w:pPr>
        <w:pStyle w:val="Caption"/>
        <w:keepNext/>
        <w:jc w:val="center"/>
      </w:pPr>
    </w:p>
    <w:p w:rsidR="0036292C" w:rsidRPr="0036292C" w:rsidRDefault="0036292C" w:rsidP="00BA2D85">
      <w:pPr>
        <w:pStyle w:val="Caption"/>
        <w:keepNext/>
        <w:rPr>
          <w:b w:val="0"/>
        </w:rPr>
      </w:pPr>
      <w:bookmarkStart w:id="21" w:name="_Toc426967281"/>
      <w:r>
        <w:t xml:space="preserve">Table </w:t>
      </w:r>
      <w:r w:rsidR="001C58A2">
        <w:fldChar w:fldCharType="begin"/>
      </w:r>
      <w:r w:rsidR="001C58A2">
        <w:instrText xml:space="preserve"> SEQ Table \* ARABIC </w:instrText>
      </w:r>
      <w:r w:rsidR="001C58A2">
        <w:fldChar w:fldCharType="separate"/>
      </w:r>
      <w:r w:rsidR="003F7947">
        <w:rPr>
          <w:noProof/>
        </w:rPr>
        <w:t>3</w:t>
      </w:r>
      <w:r w:rsidR="001C58A2">
        <w:rPr>
          <w:noProof/>
        </w:rPr>
        <w:fldChar w:fldCharType="end"/>
      </w:r>
      <w:r>
        <w:t xml:space="preserve">. </w:t>
      </w:r>
      <w:r w:rsidRPr="0036292C">
        <w:rPr>
          <w:b w:val="0"/>
        </w:rPr>
        <w:t>Characteristic of the crude oil. Analysis conducted by Harris Testing Laboratory, Houston, TX</w:t>
      </w:r>
      <w:bookmarkEnd w:id="21"/>
    </w:p>
    <w:p w:rsidR="0036292C" w:rsidRDefault="0036292C" w:rsidP="0036292C">
      <w:pPr>
        <w:pStyle w:val="Caption"/>
        <w:keepNext/>
        <w:jc w:val="center"/>
      </w:pPr>
    </w:p>
    <w:tbl>
      <w:tblPr>
        <w:tblpPr w:leftFromText="180" w:rightFromText="180" w:vertAnchor="text" w:horzAnchor="page" w:tblpX="3691" w:tblpY="10"/>
        <w:tblW w:w="5940" w:type="dxa"/>
        <w:tblCellMar>
          <w:left w:w="0" w:type="dxa"/>
          <w:right w:w="0" w:type="dxa"/>
        </w:tblCellMar>
        <w:tblLook w:val="0600" w:firstRow="0" w:lastRow="0" w:firstColumn="0" w:lastColumn="0" w:noHBand="1" w:noVBand="1"/>
      </w:tblPr>
      <w:tblGrid>
        <w:gridCol w:w="1218"/>
        <w:gridCol w:w="1752"/>
        <w:gridCol w:w="2970"/>
      </w:tblGrid>
      <w:tr w:rsidR="0036292C" w:rsidRPr="0036292C" w:rsidTr="00626E1A">
        <w:trPr>
          <w:trHeight w:val="772"/>
        </w:trPr>
        <w:tc>
          <w:tcPr>
            <w:tcW w:w="1218" w:type="dxa"/>
            <w:tcBorders>
              <w:top w:val="single" w:sz="4" w:space="0" w:color="auto"/>
              <w:bottom w:val="single" w:sz="4" w:space="0" w:color="auto"/>
            </w:tcBorders>
            <w:shd w:val="clear" w:color="auto" w:fill="auto"/>
            <w:tcMar>
              <w:top w:w="15" w:type="dxa"/>
              <w:left w:w="15" w:type="dxa"/>
              <w:bottom w:w="0" w:type="dxa"/>
              <w:right w:w="15" w:type="dxa"/>
            </w:tcMar>
            <w:vAlign w:val="bottom"/>
            <w:hideMark/>
          </w:tcPr>
          <w:p w:rsidR="0036292C" w:rsidRPr="0036292C" w:rsidRDefault="0036292C" w:rsidP="00233800">
            <w:pPr>
              <w:spacing w:line="360" w:lineRule="auto"/>
              <w:jc w:val="center"/>
              <w:rPr>
                <w:sz w:val="22"/>
                <w:lang w:bidi="en-US"/>
              </w:rPr>
            </w:pPr>
            <w:r w:rsidRPr="0036292C">
              <w:rPr>
                <w:b/>
                <w:bCs/>
                <w:sz w:val="22"/>
                <w:lang w:bidi="en-US"/>
              </w:rPr>
              <w:t>Density (g/ml)</w:t>
            </w:r>
          </w:p>
        </w:tc>
        <w:tc>
          <w:tcPr>
            <w:tcW w:w="1752" w:type="dxa"/>
            <w:tcBorders>
              <w:top w:val="single" w:sz="4" w:space="0" w:color="auto"/>
              <w:bottom w:val="single" w:sz="4" w:space="0" w:color="auto"/>
            </w:tcBorders>
            <w:shd w:val="clear" w:color="auto" w:fill="auto"/>
            <w:tcMar>
              <w:top w:w="15" w:type="dxa"/>
              <w:left w:w="15" w:type="dxa"/>
              <w:bottom w:w="0" w:type="dxa"/>
              <w:right w:w="15" w:type="dxa"/>
            </w:tcMar>
            <w:vAlign w:val="bottom"/>
            <w:hideMark/>
          </w:tcPr>
          <w:p w:rsidR="0036292C" w:rsidRPr="0036292C" w:rsidRDefault="0036292C" w:rsidP="00233800">
            <w:pPr>
              <w:spacing w:line="360" w:lineRule="auto"/>
              <w:jc w:val="center"/>
              <w:rPr>
                <w:sz w:val="22"/>
                <w:lang w:bidi="en-US"/>
              </w:rPr>
            </w:pPr>
            <w:r w:rsidRPr="0036292C">
              <w:rPr>
                <w:b/>
                <w:bCs/>
                <w:sz w:val="22"/>
                <w:lang w:bidi="en-US"/>
              </w:rPr>
              <w:t>Viscosity (52°C)</w:t>
            </w:r>
          </w:p>
          <w:p w:rsidR="0036292C" w:rsidRPr="0036292C" w:rsidRDefault="0036292C" w:rsidP="00233800">
            <w:pPr>
              <w:spacing w:line="360" w:lineRule="auto"/>
              <w:jc w:val="center"/>
              <w:rPr>
                <w:sz w:val="22"/>
                <w:lang w:bidi="en-US"/>
              </w:rPr>
            </w:pPr>
            <w:r w:rsidRPr="0036292C">
              <w:rPr>
                <w:b/>
                <w:bCs/>
                <w:sz w:val="22"/>
                <w:lang w:bidi="en-US"/>
              </w:rPr>
              <w:t>cP</w:t>
            </w:r>
          </w:p>
        </w:tc>
        <w:tc>
          <w:tcPr>
            <w:tcW w:w="2970" w:type="dxa"/>
            <w:tcBorders>
              <w:top w:val="single" w:sz="4" w:space="0" w:color="auto"/>
              <w:bottom w:val="single" w:sz="4" w:space="0" w:color="auto"/>
            </w:tcBorders>
            <w:shd w:val="clear" w:color="auto" w:fill="auto"/>
            <w:tcMar>
              <w:top w:w="15" w:type="dxa"/>
              <w:left w:w="15" w:type="dxa"/>
              <w:bottom w:w="0" w:type="dxa"/>
              <w:right w:w="15" w:type="dxa"/>
            </w:tcMar>
            <w:vAlign w:val="bottom"/>
            <w:hideMark/>
          </w:tcPr>
          <w:p w:rsidR="0036292C" w:rsidRPr="0036292C" w:rsidRDefault="0036292C" w:rsidP="00233800">
            <w:pPr>
              <w:spacing w:line="360" w:lineRule="auto"/>
              <w:jc w:val="center"/>
              <w:rPr>
                <w:sz w:val="22"/>
                <w:lang w:bidi="en-US"/>
              </w:rPr>
            </w:pPr>
            <w:r w:rsidRPr="0036292C">
              <w:rPr>
                <w:b/>
                <w:bCs/>
                <w:sz w:val="22"/>
                <w:lang w:bidi="en-US"/>
              </w:rPr>
              <w:t>Acid number</w:t>
            </w:r>
          </w:p>
          <w:p w:rsidR="0036292C" w:rsidRPr="0036292C" w:rsidRDefault="0036292C" w:rsidP="00233800">
            <w:pPr>
              <w:spacing w:line="360" w:lineRule="auto"/>
              <w:jc w:val="center"/>
              <w:rPr>
                <w:sz w:val="22"/>
                <w:lang w:bidi="en-US"/>
              </w:rPr>
            </w:pPr>
            <w:r w:rsidRPr="0036292C">
              <w:rPr>
                <w:b/>
                <w:bCs/>
                <w:sz w:val="22"/>
                <w:lang w:bidi="en-US"/>
              </w:rPr>
              <w:t>(mg of KOH/g of sample</w:t>
            </w:r>
          </w:p>
        </w:tc>
      </w:tr>
      <w:tr w:rsidR="0036292C" w:rsidRPr="0036292C" w:rsidTr="00626E1A">
        <w:trPr>
          <w:trHeight w:val="412"/>
        </w:trPr>
        <w:tc>
          <w:tcPr>
            <w:tcW w:w="1218" w:type="dxa"/>
            <w:tcBorders>
              <w:top w:val="single" w:sz="4" w:space="0" w:color="auto"/>
              <w:bottom w:val="single" w:sz="4" w:space="0" w:color="auto"/>
            </w:tcBorders>
            <w:shd w:val="clear" w:color="auto" w:fill="auto"/>
            <w:tcMar>
              <w:top w:w="15" w:type="dxa"/>
              <w:left w:w="15" w:type="dxa"/>
              <w:bottom w:w="0" w:type="dxa"/>
              <w:right w:w="15" w:type="dxa"/>
            </w:tcMar>
            <w:vAlign w:val="center"/>
            <w:hideMark/>
          </w:tcPr>
          <w:p w:rsidR="0036292C" w:rsidRPr="0036292C" w:rsidRDefault="0036292C" w:rsidP="00233800">
            <w:pPr>
              <w:jc w:val="center"/>
              <w:rPr>
                <w:sz w:val="22"/>
                <w:lang w:bidi="en-US"/>
              </w:rPr>
            </w:pPr>
            <w:r w:rsidRPr="0036292C">
              <w:rPr>
                <w:sz w:val="22"/>
                <w:lang w:bidi="en-US"/>
              </w:rPr>
              <w:t>0.82</w:t>
            </w:r>
          </w:p>
        </w:tc>
        <w:tc>
          <w:tcPr>
            <w:tcW w:w="1752" w:type="dxa"/>
            <w:tcBorders>
              <w:top w:val="single" w:sz="4" w:space="0" w:color="auto"/>
              <w:bottom w:val="single" w:sz="4" w:space="0" w:color="auto"/>
            </w:tcBorders>
            <w:shd w:val="clear" w:color="auto" w:fill="auto"/>
            <w:tcMar>
              <w:top w:w="15" w:type="dxa"/>
              <w:left w:w="15" w:type="dxa"/>
              <w:bottom w:w="0" w:type="dxa"/>
              <w:right w:w="15" w:type="dxa"/>
            </w:tcMar>
            <w:vAlign w:val="center"/>
            <w:hideMark/>
          </w:tcPr>
          <w:p w:rsidR="0036292C" w:rsidRPr="0036292C" w:rsidRDefault="0036292C" w:rsidP="00233800">
            <w:pPr>
              <w:jc w:val="center"/>
              <w:rPr>
                <w:sz w:val="22"/>
                <w:lang w:bidi="en-US"/>
              </w:rPr>
            </w:pPr>
            <w:r w:rsidRPr="0036292C">
              <w:rPr>
                <w:sz w:val="22"/>
                <w:lang w:bidi="en-US"/>
              </w:rPr>
              <w:t>4.5</w:t>
            </w:r>
          </w:p>
        </w:tc>
        <w:tc>
          <w:tcPr>
            <w:tcW w:w="2970" w:type="dxa"/>
            <w:tcBorders>
              <w:top w:val="single" w:sz="4" w:space="0" w:color="auto"/>
              <w:bottom w:val="single" w:sz="4" w:space="0" w:color="auto"/>
            </w:tcBorders>
            <w:shd w:val="clear" w:color="auto" w:fill="auto"/>
            <w:tcMar>
              <w:top w:w="15" w:type="dxa"/>
              <w:left w:w="15" w:type="dxa"/>
              <w:bottom w:w="0" w:type="dxa"/>
              <w:right w:w="15" w:type="dxa"/>
            </w:tcMar>
            <w:vAlign w:val="center"/>
            <w:hideMark/>
          </w:tcPr>
          <w:p w:rsidR="0036292C" w:rsidRPr="0036292C" w:rsidRDefault="0036292C" w:rsidP="00233800">
            <w:pPr>
              <w:jc w:val="center"/>
              <w:rPr>
                <w:sz w:val="22"/>
                <w:lang w:bidi="en-US"/>
              </w:rPr>
            </w:pPr>
            <w:r w:rsidRPr="0036292C">
              <w:rPr>
                <w:sz w:val="22"/>
                <w:lang w:bidi="en-US"/>
              </w:rPr>
              <w:t>0.44</w:t>
            </w:r>
          </w:p>
        </w:tc>
      </w:tr>
    </w:tbl>
    <w:p w:rsidR="0036292C" w:rsidRPr="003D0164" w:rsidRDefault="0036292C" w:rsidP="003D0164">
      <w:pPr>
        <w:jc w:val="both"/>
        <w:rPr>
          <w:lang w:bidi="en-US"/>
        </w:rPr>
      </w:pPr>
    </w:p>
    <w:p w:rsidR="0036292C" w:rsidRDefault="0036292C" w:rsidP="00233800">
      <w:bookmarkStart w:id="22" w:name="_Toc413353877"/>
    </w:p>
    <w:p w:rsidR="0036292C" w:rsidRDefault="0036292C" w:rsidP="00233800"/>
    <w:p w:rsidR="00233800" w:rsidRDefault="00233800" w:rsidP="00233800"/>
    <w:p w:rsidR="00233800" w:rsidRDefault="00233800" w:rsidP="00233800">
      <w:pPr>
        <w:rPr>
          <w:lang w:bidi="en-US"/>
        </w:rPr>
      </w:pPr>
      <w:r w:rsidRPr="00233800">
        <w:rPr>
          <w:lang w:bidi="en-US"/>
        </w:rPr>
        <w:lastRenderedPageBreak/>
        <w:t>The reservoir brine and crude samples were collected from the targeted War Party site which is located near Guymon, Oklahoma. The received brine samples were first filtered using the one micron filter paper. A complete analysis of the brine is listed in Table 2 and the characteristic</w:t>
      </w:r>
      <w:r w:rsidR="00961EE9">
        <w:rPr>
          <w:lang w:bidi="en-US"/>
        </w:rPr>
        <w:t>s</w:t>
      </w:r>
      <w:r w:rsidRPr="00233800">
        <w:rPr>
          <w:lang w:bidi="en-US"/>
        </w:rPr>
        <w:t xml:space="preserve"> of the crude oil can be found in Table 3. The F-95 grade Ottawa sand (60-170 mesh size) that was used in the one-dimensional sand pack experiments was provided by U.S. Silica, Mill Creek, OK and was used as received.</w:t>
      </w:r>
    </w:p>
    <w:p w:rsidR="003D0164" w:rsidRPr="0036292C" w:rsidRDefault="00CF5567" w:rsidP="00BF7BCE">
      <w:pPr>
        <w:pStyle w:val="Heading3"/>
      </w:pPr>
      <w:bookmarkStart w:id="23" w:name="_Toc426374012"/>
      <w:r>
        <w:t>Microemulsion Phase S</w:t>
      </w:r>
      <w:r w:rsidR="002B39E5" w:rsidRPr="0036292C">
        <w:t>tudy</w:t>
      </w:r>
      <w:bookmarkEnd w:id="22"/>
      <w:bookmarkEnd w:id="23"/>
    </w:p>
    <w:p w:rsidR="003D0164" w:rsidRPr="003D0164" w:rsidRDefault="003D0164" w:rsidP="003D0164">
      <w:pPr>
        <w:jc w:val="both"/>
        <w:rPr>
          <w:lang w:bidi="en-US"/>
        </w:rPr>
      </w:pPr>
      <w:r w:rsidRPr="003D0164">
        <w:rPr>
          <w:lang w:bidi="en-US"/>
        </w:rPr>
        <w:t>An initial salinity scan was conducted to determine both Cc-values and K-values of the chosen surfactants. A total of 5 ml oil phase and 5 ml of aqueous phase containing a mixture of surfactants were added into a vial, hand-shaken once a day for two sequential days and were allowed to equilibrate for at least one week period at 25°C. The relative amount of oil, water, and microemulsion of equilibrated samples in the vial were then quantified. The system with equal amount of oil and water solubilized in the middle phase microemulsions is referred as the optimal formulation and used to d</w:t>
      </w:r>
      <w:r w:rsidR="00420B2E">
        <w:rPr>
          <w:lang w:bidi="en-US"/>
        </w:rPr>
        <w:t>etermine the ‘optimal salinity,’</w:t>
      </w:r>
      <w:r w:rsidRPr="003D0164">
        <w:rPr>
          <w:lang w:bidi="en-US"/>
        </w:rPr>
        <w:t xml:space="preserve"> S* for each ratio of surfactants. All the studies were performed keeping the total surfactant concentration of the water phase constant at 0.10 M.</w:t>
      </w:r>
    </w:p>
    <w:p w:rsidR="003D0164" w:rsidRPr="003D0164" w:rsidRDefault="003D0164" w:rsidP="003D0164">
      <w:pPr>
        <w:jc w:val="both"/>
        <w:rPr>
          <w:lang w:bidi="en-US"/>
        </w:rPr>
      </w:pPr>
      <w:r w:rsidRPr="003D0164">
        <w:rPr>
          <w:lang w:bidi="en-US"/>
        </w:rPr>
        <w:t>Microemulsions phase studies for the site-specific reservoir crude oil and brine were conducted by varying the ratios of surfactants/co-surfactants in the binary mixture. Similarly, 5 ml of crude oil and 5 ml of aqueous phase were placed into the vial, hand-shaken once a day for two days and stored inside an oven (maintained at reservoir temperature of 52°C) for at least one week for equilibration. For verification, the IFTs of equilibrated samples were also measured and the formulation generating the lowest IFT-value is considered the optimal microemulsion system.</w:t>
      </w:r>
    </w:p>
    <w:p w:rsidR="003D0164" w:rsidRPr="003D0164" w:rsidRDefault="00CF5567" w:rsidP="00BF7BCE">
      <w:pPr>
        <w:pStyle w:val="Heading3"/>
      </w:pPr>
      <w:bookmarkStart w:id="24" w:name="_Toc426374013"/>
      <w:r>
        <w:lastRenderedPageBreak/>
        <w:t>Stability Study of Surfactant S</w:t>
      </w:r>
      <w:r w:rsidR="002B39E5" w:rsidRPr="003D0164">
        <w:t>olution</w:t>
      </w:r>
      <w:bookmarkEnd w:id="24"/>
    </w:p>
    <w:p w:rsidR="003D0164" w:rsidRPr="003D0164" w:rsidRDefault="003D0164" w:rsidP="003D0164">
      <w:pPr>
        <w:jc w:val="both"/>
        <w:rPr>
          <w:lang w:bidi="en-US"/>
        </w:rPr>
      </w:pPr>
      <w:r w:rsidRPr="003D0164">
        <w:rPr>
          <w:lang w:bidi="en-US"/>
        </w:rPr>
        <w:t>The phase stability tests were conducted to determine the solubility and possible phase separation of the test surfactants in reservoir brine at reservoir temperature. The 5 mL samples of the surfactant solution were kept inside the oven (52 °C) and were periodically monitored once every 15 days up to 120 days for any surfactant precipitation and/or phase separation.</w:t>
      </w:r>
    </w:p>
    <w:p w:rsidR="003D0164" w:rsidRPr="003D0164" w:rsidRDefault="002B39E5" w:rsidP="00BF7BCE">
      <w:pPr>
        <w:pStyle w:val="Heading3"/>
      </w:pPr>
      <w:bookmarkStart w:id="25" w:name="_Toc413353879"/>
      <w:bookmarkStart w:id="26" w:name="_Toc426374014"/>
      <w:r>
        <w:t>Equilibrium IFT</w:t>
      </w:r>
      <w:r w:rsidR="00CF5567">
        <w:t xml:space="preserve"> M</w:t>
      </w:r>
      <w:r w:rsidRPr="003D0164">
        <w:t>easurement</w:t>
      </w:r>
      <w:bookmarkEnd w:id="25"/>
      <w:bookmarkEnd w:id="26"/>
    </w:p>
    <w:p w:rsidR="003D0164" w:rsidRPr="003D0164" w:rsidRDefault="003D0164" w:rsidP="003D0164">
      <w:pPr>
        <w:jc w:val="both"/>
        <w:rPr>
          <w:lang w:bidi="en-US"/>
        </w:rPr>
      </w:pPr>
      <w:r w:rsidRPr="003D0164">
        <w:rPr>
          <w:lang w:bidi="en-US"/>
        </w:rPr>
        <w:t>The IFT measurements of equilibrated samples were conducted using a spinning drop tensiometer (M6500 Grace Instrument, Houston, Texas). The samples, approximately 1-5 μ</w:t>
      </w:r>
      <w:r w:rsidRPr="003D0164">
        <w:rPr>
          <w:rFonts w:hint="eastAsia"/>
          <w:lang w:bidi="en-US"/>
        </w:rPr>
        <w:t>L</w:t>
      </w:r>
      <w:r w:rsidRPr="003D0164">
        <w:rPr>
          <w:lang w:bidi="en-US"/>
        </w:rPr>
        <w:t xml:space="preserve"> of excess oil phase, were collected from the top portion of equilibrated sample vials and was injected carefully into the spinning capillary tube that was pre-filled with excess aqueous phase collected from the bottom of the same vial. The data were recorded every 5 minutes until the last two readings stabilized to within ± 3%.</w:t>
      </w:r>
    </w:p>
    <w:p w:rsidR="003D0164" w:rsidRPr="003D0164" w:rsidRDefault="00CF5567" w:rsidP="00BF7BCE">
      <w:pPr>
        <w:pStyle w:val="Heading3"/>
      </w:pPr>
      <w:bookmarkStart w:id="27" w:name="_Toc413353880"/>
      <w:bookmarkStart w:id="28" w:name="_Toc426374015"/>
      <w:r>
        <w:t>One-Dimensional Sand-Pack T</w:t>
      </w:r>
      <w:r w:rsidR="002B39E5" w:rsidRPr="003D0164">
        <w:t>est</w:t>
      </w:r>
      <w:bookmarkEnd w:id="27"/>
      <w:bookmarkEnd w:id="28"/>
    </w:p>
    <w:p w:rsidR="003D0164" w:rsidRDefault="003D0164" w:rsidP="003D0164">
      <w:pPr>
        <w:jc w:val="both"/>
        <w:rPr>
          <w:lang w:bidi="en-US"/>
        </w:rPr>
      </w:pPr>
      <w:r w:rsidRPr="003D0164">
        <w:rPr>
          <w:lang w:bidi="en-US"/>
        </w:rPr>
        <w:t xml:space="preserve">The F-95-grade Ottawa sand was used for the sand-pack tests. A glass chromatography column that is 6 inches long and 1 inch in diameter was first filled with approximately 10 mL of reservoir brine for wet-packing procedure. Several grams of sand was added from the top of the column until the added sand particles reached slightly below the brine level. A spatula is used to swirl sand around to facilitate uniform packing. Once evenly distributed, additional brine and sand were repeatedly introduced until the glass column was fully packed with water-saturated sand. After fully saturating the column with brine, </w:t>
      </w:r>
      <w:r w:rsidR="00870B1E">
        <w:rPr>
          <w:lang w:bidi="en-US"/>
        </w:rPr>
        <w:t xml:space="preserve">reservoir </w:t>
      </w:r>
      <w:r w:rsidRPr="003D0164">
        <w:rPr>
          <w:lang w:bidi="en-US"/>
        </w:rPr>
        <w:t xml:space="preserve">oil injection was initiated by inverting the column position and injecting oil from the outlet of the column to ensure the uniform oil saturation. Once the water cut of </w:t>
      </w:r>
      <w:r w:rsidRPr="003D0164">
        <w:rPr>
          <w:lang w:bidi="en-US"/>
        </w:rPr>
        <w:lastRenderedPageBreak/>
        <w:t>t</w:t>
      </w:r>
      <w:r w:rsidR="0002352A">
        <w:rPr>
          <w:lang w:bidi="en-US"/>
        </w:rPr>
        <w:t>he effluent reached less than 1</w:t>
      </w:r>
      <w:r w:rsidRPr="003D0164">
        <w:rPr>
          <w:lang w:bidi="en-US"/>
        </w:rPr>
        <w:t>%, the oil injection was switched back for the brine injection. During brine injection, the column was inverted again and the brine was injected from the bottom. The waterflood was carried out until the oil cut</w:t>
      </w:r>
      <w:r w:rsidR="0002352A">
        <w:rPr>
          <w:lang w:bidi="en-US"/>
        </w:rPr>
        <w:t xml:space="preserve"> of the effluent is less than 1</w:t>
      </w:r>
      <w:r w:rsidRPr="003D0164">
        <w:rPr>
          <w:lang w:bidi="en-US"/>
        </w:rPr>
        <w:t>%. The pre-determined surfactant-only flooding protocol of 1 pore volume (PV) of surfactant solution was then carried out and was followed by 3 to 4 PVs of post-chemical brine. The injection rate of each fluid was maintained at 0.3 ml/min, unless noted otherwise.</w:t>
      </w:r>
    </w:p>
    <w:p w:rsidR="003E2D46" w:rsidRPr="003E2D46" w:rsidRDefault="00F32707" w:rsidP="00C47C5C">
      <w:pPr>
        <w:pStyle w:val="Heading2"/>
      </w:pPr>
      <w:bookmarkStart w:id="29" w:name="_Toc413353881"/>
      <w:bookmarkStart w:id="30" w:name="_Toc426374016"/>
      <w:r>
        <w:t>Results and D</w:t>
      </w:r>
      <w:r w:rsidRPr="003E2D46">
        <w:t>iscussion</w:t>
      </w:r>
      <w:bookmarkEnd w:id="29"/>
      <w:bookmarkEnd w:id="30"/>
    </w:p>
    <w:p w:rsidR="003E2D46" w:rsidRPr="003E2D46" w:rsidRDefault="003E2D46" w:rsidP="00BF7BCE">
      <w:pPr>
        <w:pStyle w:val="Heading3"/>
      </w:pPr>
      <w:bookmarkStart w:id="31" w:name="_Toc413353882"/>
      <w:bookmarkStart w:id="32" w:name="_Toc426374017"/>
      <w:r w:rsidRPr="003E2D46">
        <w:t>Determination of K and Cc-values</w:t>
      </w:r>
      <w:bookmarkEnd w:id="31"/>
      <w:bookmarkEnd w:id="32"/>
    </w:p>
    <w:p w:rsidR="003E2D46" w:rsidRDefault="003E2D46" w:rsidP="003E2D46">
      <w:pPr>
        <w:jc w:val="both"/>
        <w:rPr>
          <w:lang w:bidi="en-US"/>
        </w:rPr>
      </w:pPr>
      <w:r w:rsidRPr="003E2D46">
        <w:rPr>
          <w:lang w:bidi="en-US"/>
        </w:rPr>
        <w:t>Depending on the structures of the surfacta</w:t>
      </w:r>
      <w:r w:rsidR="00961EE9">
        <w:rPr>
          <w:lang w:bidi="en-US"/>
        </w:rPr>
        <w:t>nt head group, the K values of ani</w:t>
      </w:r>
      <w:r w:rsidRPr="003E2D46">
        <w:rPr>
          <w:lang w:bidi="en-US"/>
        </w:rPr>
        <w:t>onic surfactants are found to b</w:t>
      </w:r>
      <w:r w:rsidR="00F32707">
        <w:rPr>
          <w:lang w:bidi="en-US"/>
        </w:rPr>
        <w:t>e in the range of 0.004 to 0.17</w:t>
      </w:r>
      <w:r w:rsidRPr="003E2D46">
        <w:rPr>
          <w:lang w:bidi="en-US"/>
        </w:rPr>
        <w:fldChar w:fldCharType="begin">
          <w:fldData xml:space="preserve">PEVuZE5vdGU+PENpdGU+PEF1dGhvcj5XaXR0aGF5YXBhbnlhbm9uPC9BdXRob3I+PFllYXI+MjAw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</w:fldData>
        </w:fldChar>
      </w:r>
      <w:r w:rsidR="00332C11">
        <w:rPr>
          <w:lang w:bidi="en-US"/>
        </w:rPr>
        <w:instrText xml:space="preserve"> ADDIN EN.CITE </w:instrText>
      </w:r>
      <w:r w:rsidR="00332C11">
        <w:rPr>
          <w:lang w:bidi="en-US"/>
        </w:rPr>
        <w:fldChar w:fldCharType="begin">
          <w:fldData xml:space="preserve">PEVuZE5vdGU+PENpdGU+PEF1dGhvcj5XaXR0aGF5YXBhbnlhbm9uPC9BdXRob3I+PFllYXI+MjAw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</w:fldData>
        </w:fldChar>
      </w:r>
      <w:r w:rsidR="00332C11">
        <w:rPr>
          <w:lang w:bidi="en-US"/>
        </w:rPr>
        <w:instrText xml:space="preserve"> ADDIN EN.CITE.DATA </w:instrText>
      </w:r>
      <w:r w:rsidR="00332C11">
        <w:rPr>
          <w:lang w:bidi="en-US"/>
        </w:rPr>
      </w:r>
      <w:r w:rsidR="00332C11">
        <w:rPr>
          <w:lang w:bidi="en-US"/>
        </w:rPr>
        <w:fldChar w:fldCharType="end"/>
      </w:r>
      <w:r w:rsidRPr="003E2D46">
        <w:rPr>
          <w:lang w:bidi="en-US"/>
        </w:rPr>
      </w:r>
      <w:r w:rsidRPr="003E2D46">
        <w:rPr>
          <w:lang w:bidi="en-US"/>
        </w:rPr>
        <w:fldChar w:fldCharType="separate"/>
      </w:r>
      <w:r w:rsidR="00332C11" w:rsidRPr="00332C11">
        <w:rPr>
          <w:noProof/>
          <w:vertAlign w:val="superscript"/>
          <w:lang w:bidi="en-US"/>
        </w:rPr>
        <w:t>24, 45, 47-49</w:t>
      </w:r>
      <w:r w:rsidRPr="003E2D46">
        <w:rPr>
          <w:lang w:bidi="en-US"/>
        </w:rPr>
        <w:fldChar w:fldCharType="end"/>
      </w:r>
      <w:r w:rsidRPr="003E2D46">
        <w:rPr>
          <w:lang w:bidi="en-US"/>
        </w:rPr>
        <w:t xml:space="preserve">. Yet, for simplicity, Acosta </w:t>
      </w:r>
      <w:r w:rsidRPr="003E2D46">
        <w:rPr>
          <w:i/>
          <w:lang w:bidi="en-US"/>
        </w:rPr>
        <w:t>et al.</w:t>
      </w:r>
      <w:r w:rsidRPr="003E2D46">
        <w:rPr>
          <w:lang w:bidi="en-US"/>
        </w:rPr>
        <w:t xml:space="preserve"> recommends to assume the K-value of anionic surfactants as 0.17 for determining o</w:t>
      </w:r>
      <w:r w:rsidR="00F32707">
        <w:rPr>
          <w:lang w:bidi="en-US"/>
        </w:rPr>
        <w:t>ther parameters of HLD equation</w:t>
      </w:r>
      <w:r w:rsidRPr="003E2D46">
        <w:rPr>
          <w:lang w:bidi="en-US"/>
        </w:rPr>
        <w:fldChar w:fldCharType="begin"/>
      </w:r>
      <w:r w:rsidR="00332C11">
        <w:rPr>
          <w:lang w:bidi="en-US"/>
        </w:rPr>
        <w:instrText xml:space="preserve"> ADDIN EN.CITE &lt;EndNote&gt;&lt;Cite&gt;&lt;Author&gt;Acosta&lt;/Author&gt;&lt;Year&gt;2008&lt;/Year&gt;&lt;RecNum&gt;49&lt;/RecNum&gt;&lt;DisplayText&gt;&lt;style face="superscript"&gt;45&lt;/style&gt;&lt;/DisplayText&gt;&lt;record&gt;&lt;rec-number&gt;49&lt;/rec-number&gt;&lt;foreign-keys&gt;&lt;key app="EN" db-id="a5zz9zdsp2tzdiedrdov0ztx9zwzps0patvs" timestamp="1424742346"&gt;49&lt;/key&gt;&lt;/foreign-keys&gt;&lt;ref-type name="Journal Article"&gt;17&lt;/ref-type&gt;&lt;contributors&gt;&lt;authors&gt;&lt;author&gt;Acosta, Edgar J&lt;/author&gt;&lt;author&gt;Yuan, Jessica Sh&lt;/author&gt;&lt;author&gt;Bhakta, Arti Sh&lt;/author&gt;&lt;/authors&gt;&lt;/contributors&gt;&lt;titles&gt;&lt;title&gt;The characteristic curvature of ionic surfactants&lt;/title&gt;&lt;secondary-title&gt;Journal of Surfactants and Detergents&lt;/secondary-title&gt;&lt;/titles&gt;&lt;periodical&gt;&lt;full-title&gt;Journal of Surfactants and Detergents&lt;/full-title&gt;&lt;/periodical&gt;&lt;pages&gt;145-158&lt;/pages&gt;&lt;volume&gt;11&lt;/volume&gt;&lt;number&gt;2&lt;/number&gt;&lt;dates&gt;&lt;year&gt;2008&lt;/year&gt;&lt;/dates&gt;&lt;isbn&gt;1097-3958&lt;/isbn&gt;&lt;urls&gt;&lt;/urls&gt;&lt;/record&gt;&lt;/Cite&gt;&lt;/EndNote&gt;</w:instrText>
      </w:r>
      <w:r w:rsidRPr="003E2D46">
        <w:rPr>
          <w:lang w:bidi="en-US"/>
        </w:rPr>
        <w:fldChar w:fldCharType="separate"/>
      </w:r>
      <w:r w:rsidR="00332C11" w:rsidRPr="00332C11">
        <w:rPr>
          <w:noProof/>
          <w:vertAlign w:val="superscript"/>
          <w:lang w:bidi="en-US"/>
        </w:rPr>
        <w:t>45</w:t>
      </w:r>
      <w:r w:rsidRPr="003E2D46">
        <w:rPr>
          <w:lang w:bidi="en-US"/>
        </w:rPr>
        <w:fldChar w:fldCharType="end"/>
      </w:r>
      <w:r w:rsidRPr="003E2D46">
        <w:rPr>
          <w:lang w:bidi="en-US"/>
        </w:rPr>
        <w:t xml:space="preserve">. However, based on our observation, selecting the correct K-value gives more precise results. Thus, if possible, it is recommended to determine the K-value for each individual surfactant along with the other parameters of HLD equation, for better accuracy. </w:t>
      </w:r>
    </w:p>
    <w:p w:rsidR="00233800" w:rsidRPr="00233800" w:rsidRDefault="00233800" w:rsidP="00BA2D85">
      <w:pPr>
        <w:pStyle w:val="Caption"/>
        <w:keepNext/>
        <w:rPr>
          <w:b w:val="0"/>
        </w:rPr>
      </w:pPr>
      <w:bookmarkStart w:id="33" w:name="_Toc426967282"/>
      <w:r>
        <w:t xml:space="preserve">Table </w:t>
      </w:r>
      <w:r w:rsidR="001C58A2">
        <w:fldChar w:fldCharType="begin"/>
      </w:r>
      <w:r w:rsidR="001C58A2">
        <w:instrText xml:space="preserve"> SEQ Table \* ARABIC </w:instrText>
      </w:r>
      <w:r w:rsidR="001C58A2">
        <w:fldChar w:fldCharType="separate"/>
      </w:r>
      <w:r w:rsidR="003F7947">
        <w:rPr>
          <w:noProof/>
        </w:rPr>
        <w:t>4</w:t>
      </w:r>
      <w:r w:rsidR="001C58A2">
        <w:rPr>
          <w:noProof/>
        </w:rPr>
        <w:fldChar w:fldCharType="end"/>
      </w:r>
      <w:r>
        <w:t xml:space="preserve">. </w:t>
      </w:r>
      <w:r w:rsidRPr="00233800">
        <w:rPr>
          <w:b w:val="0"/>
        </w:rPr>
        <w:t>Effect of surfactant structure on optimal salinity; S* is in g of NaCl/100 ml solution and total surfactant concentration is 0.1M</w:t>
      </w:r>
      <w:bookmarkEnd w:id="33"/>
    </w:p>
    <w:tbl>
      <w:tblPr>
        <w:tblpPr w:leftFromText="180" w:rightFromText="180" w:vertAnchor="text" w:horzAnchor="page" w:tblpX="3511" w:tblpY="368"/>
        <w:tblW w:w="6200" w:type="dxa"/>
        <w:tblCellMar>
          <w:left w:w="0" w:type="dxa"/>
          <w:right w:w="0" w:type="dxa"/>
        </w:tblCellMar>
        <w:tblLook w:val="0600" w:firstRow="0" w:lastRow="0" w:firstColumn="0" w:lastColumn="0" w:noHBand="1" w:noVBand="1"/>
      </w:tblPr>
      <w:tblGrid>
        <w:gridCol w:w="938"/>
        <w:gridCol w:w="1770"/>
        <w:gridCol w:w="1356"/>
        <w:gridCol w:w="1058"/>
        <w:gridCol w:w="1078"/>
      </w:tblGrid>
      <w:tr w:rsidR="00233800" w:rsidRPr="00233800" w:rsidTr="00557298">
        <w:trPr>
          <w:trHeight w:val="315"/>
        </w:trPr>
        <w:tc>
          <w:tcPr>
            <w:tcW w:w="2708" w:type="dxa"/>
            <w:gridSpan w:val="2"/>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b/>
                <w:bCs/>
                <w:color w:val="000000"/>
                <w:kern w:val="24"/>
                <w:sz w:val="22"/>
              </w:rPr>
              <w:t>Surfactants</w:t>
            </w:r>
          </w:p>
        </w:tc>
        <w:tc>
          <w:tcPr>
            <w:tcW w:w="1356"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b/>
                <w:bCs/>
                <w:color w:val="000000"/>
                <w:kern w:val="24"/>
                <w:sz w:val="22"/>
              </w:rPr>
              <w:t>Hexane</w:t>
            </w:r>
          </w:p>
        </w:tc>
        <w:tc>
          <w:tcPr>
            <w:tcW w:w="1058"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b/>
                <w:bCs/>
                <w:color w:val="000000"/>
                <w:kern w:val="24"/>
                <w:sz w:val="22"/>
              </w:rPr>
              <w:t>Octane</w:t>
            </w:r>
          </w:p>
        </w:tc>
        <w:tc>
          <w:tcPr>
            <w:tcW w:w="1078"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b/>
                <w:bCs/>
                <w:color w:val="000000"/>
                <w:kern w:val="24"/>
                <w:sz w:val="22"/>
              </w:rPr>
              <w:t>Decane</w:t>
            </w:r>
          </w:p>
        </w:tc>
      </w:tr>
      <w:tr w:rsidR="00233800" w:rsidRPr="00233800" w:rsidTr="00557298">
        <w:trPr>
          <w:trHeight w:val="330"/>
        </w:trPr>
        <w:tc>
          <w:tcPr>
            <w:tcW w:w="938" w:type="dxa"/>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233800" w:rsidRPr="00233800" w:rsidRDefault="00233800" w:rsidP="00557298">
            <w:pPr>
              <w:spacing w:line="240" w:lineRule="auto"/>
              <w:jc w:val="center"/>
              <w:textAlignment w:val="bottom"/>
              <w:rPr>
                <w:rFonts w:ascii="Arial" w:hAnsi="Arial" w:cs="Arial"/>
                <w:sz w:val="36"/>
                <w:szCs w:val="36"/>
              </w:rPr>
            </w:pPr>
            <w:r w:rsidRPr="00233800">
              <w:rPr>
                <w:rFonts w:ascii="Times New Roman" w:hAnsi="Times New Roman"/>
                <w:color w:val="000000"/>
                <w:kern w:val="24"/>
              </w:rPr>
              <w:t> </w:t>
            </w:r>
          </w:p>
        </w:tc>
        <w:tc>
          <w:tcPr>
            <w:tcW w:w="1770" w:type="dxa"/>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 </w:t>
            </w:r>
          </w:p>
        </w:tc>
        <w:tc>
          <w:tcPr>
            <w:tcW w:w="1356" w:type="dxa"/>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b/>
                <w:bCs/>
                <w:color w:val="000000"/>
                <w:kern w:val="24"/>
                <w:sz w:val="22"/>
              </w:rPr>
              <w:t>S*(±0.3)</w:t>
            </w:r>
          </w:p>
        </w:tc>
        <w:tc>
          <w:tcPr>
            <w:tcW w:w="1058" w:type="dxa"/>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b/>
                <w:bCs/>
                <w:color w:val="000000"/>
                <w:kern w:val="24"/>
                <w:sz w:val="22"/>
              </w:rPr>
              <w:t>S*(±0.3)</w:t>
            </w:r>
          </w:p>
        </w:tc>
        <w:tc>
          <w:tcPr>
            <w:tcW w:w="1078" w:type="dxa"/>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b/>
                <w:bCs/>
                <w:color w:val="000000"/>
                <w:kern w:val="24"/>
                <w:sz w:val="22"/>
              </w:rPr>
              <w:t>S*(±0.3)</w:t>
            </w:r>
          </w:p>
        </w:tc>
      </w:tr>
      <w:tr w:rsidR="00233800" w:rsidRPr="00233800" w:rsidTr="00697AF7">
        <w:trPr>
          <w:trHeight w:val="445"/>
        </w:trPr>
        <w:tc>
          <w:tcPr>
            <w:tcW w:w="2708" w:type="dxa"/>
            <w:gridSpan w:val="2"/>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C</w:t>
            </w:r>
            <w:r w:rsidRPr="00233800">
              <w:rPr>
                <w:rFonts w:ascii="Times New Roman" w:hAnsi="Times New Roman"/>
                <w:color w:val="000000"/>
                <w:kern w:val="24"/>
                <w:position w:val="-6"/>
                <w:sz w:val="22"/>
                <w:vertAlign w:val="subscript"/>
              </w:rPr>
              <w:t>8</w:t>
            </w:r>
            <w:r w:rsidRPr="00233800">
              <w:rPr>
                <w:rFonts w:ascii="Times New Roman" w:hAnsi="Times New Roman"/>
                <w:color w:val="000000"/>
                <w:kern w:val="24"/>
                <w:sz w:val="22"/>
              </w:rPr>
              <w:t>-(PO)</w:t>
            </w:r>
            <w:r w:rsidRPr="00233800">
              <w:rPr>
                <w:rFonts w:ascii="Times New Roman" w:hAnsi="Times New Roman"/>
                <w:color w:val="000000"/>
                <w:kern w:val="24"/>
                <w:position w:val="-6"/>
                <w:sz w:val="22"/>
                <w:vertAlign w:val="subscript"/>
              </w:rPr>
              <w:t>4</w:t>
            </w:r>
            <w:r w:rsidRPr="00233800">
              <w:rPr>
                <w:rFonts w:ascii="Times New Roman" w:hAnsi="Times New Roman"/>
                <w:color w:val="000000"/>
                <w:kern w:val="24"/>
                <w:sz w:val="22"/>
              </w:rPr>
              <w:t>-(EO)</w:t>
            </w:r>
            <w:r w:rsidRPr="00233800">
              <w:rPr>
                <w:rFonts w:ascii="Times New Roman" w:hAnsi="Times New Roman"/>
                <w:color w:val="000000"/>
                <w:kern w:val="24"/>
                <w:position w:val="-6"/>
                <w:sz w:val="22"/>
                <w:vertAlign w:val="subscript"/>
              </w:rPr>
              <w:t>1</w:t>
            </w:r>
            <w:r w:rsidRPr="00233800">
              <w:rPr>
                <w:rFonts w:ascii="Times New Roman" w:hAnsi="Times New Roman"/>
                <w:color w:val="000000"/>
                <w:kern w:val="24"/>
                <w:sz w:val="22"/>
              </w:rPr>
              <w:t>-SO</w:t>
            </w:r>
            <w:r w:rsidRPr="00233800">
              <w:rPr>
                <w:rFonts w:ascii="Times New Roman" w:hAnsi="Times New Roman"/>
                <w:color w:val="000000"/>
                <w:kern w:val="24"/>
                <w:position w:val="-6"/>
                <w:sz w:val="22"/>
                <w:vertAlign w:val="subscript"/>
              </w:rPr>
              <w:t>4</w:t>
            </w:r>
            <w:r w:rsidRPr="00233800">
              <w:rPr>
                <w:rFonts w:ascii="Times New Roman" w:hAnsi="Times New Roman"/>
                <w:color w:val="000000"/>
                <w:kern w:val="24"/>
                <w:sz w:val="22"/>
              </w:rPr>
              <w:t>Na</w:t>
            </w:r>
          </w:p>
        </w:tc>
        <w:tc>
          <w:tcPr>
            <w:tcW w:w="1356"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16.2</w:t>
            </w:r>
          </w:p>
        </w:tc>
        <w:tc>
          <w:tcPr>
            <w:tcW w:w="1058"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18.3</w:t>
            </w:r>
          </w:p>
        </w:tc>
        <w:tc>
          <w:tcPr>
            <w:tcW w:w="1078"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20</w:t>
            </w:r>
          </w:p>
        </w:tc>
      </w:tr>
      <w:tr w:rsidR="00233800" w:rsidRPr="00233800" w:rsidTr="00697AF7">
        <w:trPr>
          <w:trHeight w:val="348"/>
        </w:trPr>
        <w:tc>
          <w:tcPr>
            <w:tcW w:w="2708"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C</w:t>
            </w:r>
            <w:r w:rsidRPr="00233800">
              <w:rPr>
                <w:rFonts w:ascii="Times New Roman" w:hAnsi="Times New Roman"/>
                <w:color w:val="000000"/>
                <w:kern w:val="24"/>
                <w:position w:val="-6"/>
                <w:sz w:val="22"/>
                <w:vertAlign w:val="subscript"/>
              </w:rPr>
              <w:t>8</w:t>
            </w:r>
            <w:r w:rsidRPr="00233800">
              <w:rPr>
                <w:rFonts w:ascii="Times New Roman" w:hAnsi="Times New Roman"/>
                <w:color w:val="000000"/>
                <w:kern w:val="24"/>
                <w:sz w:val="22"/>
              </w:rPr>
              <w:t>-(PO)</w:t>
            </w:r>
            <w:r w:rsidRPr="00233800">
              <w:rPr>
                <w:rFonts w:ascii="Times New Roman" w:hAnsi="Times New Roman"/>
                <w:color w:val="000000"/>
                <w:kern w:val="24"/>
                <w:position w:val="-6"/>
                <w:sz w:val="22"/>
                <w:vertAlign w:val="subscript"/>
              </w:rPr>
              <w:t>4</w:t>
            </w:r>
            <w:r w:rsidRPr="00233800">
              <w:rPr>
                <w:rFonts w:ascii="Times New Roman" w:hAnsi="Times New Roman"/>
                <w:color w:val="000000"/>
                <w:kern w:val="24"/>
                <w:sz w:val="22"/>
              </w:rPr>
              <w:t>-SO</w:t>
            </w:r>
            <w:r w:rsidRPr="00233800">
              <w:rPr>
                <w:rFonts w:ascii="Times New Roman" w:hAnsi="Times New Roman"/>
                <w:color w:val="000000"/>
                <w:kern w:val="24"/>
                <w:position w:val="-6"/>
                <w:sz w:val="22"/>
                <w:vertAlign w:val="subscript"/>
              </w:rPr>
              <w:t>4</w:t>
            </w:r>
            <w:r w:rsidRPr="00233800">
              <w:rPr>
                <w:rFonts w:ascii="Times New Roman" w:hAnsi="Times New Roman"/>
                <w:color w:val="000000"/>
                <w:kern w:val="24"/>
                <w:sz w:val="22"/>
              </w:rPr>
              <w:t>Na</w:t>
            </w:r>
          </w:p>
        </w:tc>
        <w:tc>
          <w:tcPr>
            <w:tcW w:w="1356" w:type="dxa"/>
            <w:tcBorders>
              <w:top w:val="nil"/>
              <w:left w:val="nil"/>
              <w:bottom w:val="nil"/>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16.5</w:t>
            </w:r>
          </w:p>
        </w:tc>
        <w:tc>
          <w:tcPr>
            <w:tcW w:w="1058" w:type="dxa"/>
            <w:tcBorders>
              <w:top w:val="nil"/>
              <w:left w:val="nil"/>
              <w:bottom w:val="nil"/>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18.7</w:t>
            </w:r>
          </w:p>
        </w:tc>
        <w:tc>
          <w:tcPr>
            <w:tcW w:w="1078" w:type="dxa"/>
            <w:tcBorders>
              <w:top w:val="nil"/>
              <w:left w:val="nil"/>
              <w:bottom w:val="nil"/>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20.5</w:t>
            </w:r>
          </w:p>
        </w:tc>
      </w:tr>
      <w:tr w:rsidR="00233800" w:rsidRPr="00233800" w:rsidTr="00697AF7">
        <w:trPr>
          <w:trHeight w:val="330"/>
        </w:trPr>
        <w:tc>
          <w:tcPr>
            <w:tcW w:w="2708"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C</w:t>
            </w:r>
            <w:r w:rsidRPr="00233800">
              <w:rPr>
                <w:rFonts w:ascii="Times New Roman" w:hAnsi="Times New Roman"/>
                <w:color w:val="000000"/>
                <w:kern w:val="24"/>
                <w:position w:val="-6"/>
                <w:sz w:val="22"/>
                <w:vertAlign w:val="subscript"/>
              </w:rPr>
              <w:t>10</w:t>
            </w:r>
            <w:r w:rsidRPr="00233800">
              <w:rPr>
                <w:rFonts w:ascii="Times New Roman" w:hAnsi="Times New Roman"/>
                <w:color w:val="000000"/>
                <w:kern w:val="24"/>
                <w:sz w:val="22"/>
              </w:rPr>
              <w:t>-(PO)</w:t>
            </w:r>
            <w:r w:rsidRPr="00233800">
              <w:rPr>
                <w:rFonts w:ascii="Times New Roman" w:hAnsi="Times New Roman"/>
                <w:color w:val="000000"/>
                <w:kern w:val="24"/>
                <w:position w:val="-6"/>
                <w:sz w:val="22"/>
                <w:vertAlign w:val="subscript"/>
              </w:rPr>
              <w:t>4</w:t>
            </w:r>
            <w:r w:rsidRPr="00233800">
              <w:rPr>
                <w:rFonts w:ascii="Times New Roman" w:hAnsi="Times New Roman"/>
                <w:color w:val="000000"/>
                <w:kern w:val="24"/>
                <w:sz w:val="22"/>
              </w:rPr>
              <w:t>-(EO)</w:t>
            </w:r>
            <w:r w:rsidRPr="00233800">
              <w:rPr>
                <w:rFonts w:ascii="Times New Roman" w:hAnsi="Times New Roman"/>
                <w:color w:val="000000"/>
                <w:kern w:val="24"/>
                <w:position w:val="-6"/>
                <w:sz w:val="22"/>
                <w:vertAlign w:val="subscript"/>
              </w:rPr>
              <w:t>1</w:t>
            </w:r>
            <w:r w:rsidRPr="00233800">
              <w:rPr>
                <w:rFonts w:ascii="Times New Roman" w:hAnsi="Times New Roman"/>
                <w:color w:val="000000"/>
                <w:kern w:val="24"/>
                <w:sz w:val="22"/>
              </w:rPr>
              <w:t>-SO</w:t>
            </w:r>
            <w:r w:rsidRPr="00233800">
              <w:rPr>
                <w:rFonts w:ascii="Times New Roman" w:hAnsi="Times New Roman"/>
                <w:color w:val="000000"/>
                <w:kern w:val="24"/>
                <w:position w:val="-6"/>
                <w:sz w:val="22"/>
                <w:vertAlign w:val="subscript"/>
              </w:rPr>
              <w:t>4</w:t>
            </w:r>
            <w:r w:rsidRPr="00233800">
              <w:rPr>
                <w:rFonts w:ascii="Times New Roman" w:hAnsi="Times New Roman"/>
                <w:color w:val="000000"/>
                <w:kern w:val="24"/>
                <w:sz w:val="22"/>
              </w:rPr>
              <w:t>Na</w:t>
            </w:r>
          </w:p>
        </w:tc>
        <w:tc>
          <w:tcPr>
            <w:tcW w:w="1356" w:type="dxa"/>
            <w:tcBorders>
              <w:top w:val="nil"/>
              <w:left w:val="nil"/>
              <w:bottom w:val="nil"/>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13.5</w:t>
            </w:r>
          </w:p>
        </w:tc>
        <w:tc>
          <w:tcPr>
            <w:tcW w:w="1058" w:type="dxa"/>
            <w:tcBorders>
              <w:top w:val="nil"/>
              <w:left w:val="nil"/>
              <w:bottom w:val="nil"/>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15.6</w:t>
            </w:r>
          </w:p>
        </w:tc>
        <w:tc>
          <w:tcPr>
            <w:tcW w:w="1078" w:type="dxa"/>
            <w:tcBorders>
              <w:top w:val="nil"/>
              <w:left w:val="nil"/>
              <w:bottom w:val="nil"/>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17.5</w:t>
            </w:r>
          </w:p>
        </w:tc>
      </w:tr>
      <w:tr w:rsidR="00233800" w:rsidRPr="00233800" w:rsidTr="00697AF7">
        <w:trPr>
          <w:trHeight w:val="438"/>
        </w:trPr>
        <w:tc>
          <w:tcPr>
            <w:tcW w:w="2708" w:type="dxa"/>
            <w:gridSpan w:val="2"/>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C</w:t>
            </w:r>
            <w:r w:rsidRPr="00233800">
              <w:rPr>
                <w:rFonts w:ascii="Times New Roman" w:hAnsi="Times New Roman"/>
                <w:color w:val="000000"/>
                <w:kern w:val="24"/>
                <w:position w:val="-6"/>
                <w:sz w:val="22"/>
                <w:vertAlign w:val="subscript"/>
              </w:rPr>
              <w:t>10</w:t>
            </w:r>
            <w:r w:rsidRPr="00233800">
              <w:rPr>
                <w:rFonts w:ascii="Times New Roman" w:hAnsi="Times New Roman"/>
                <w:color w:val="000000"/>
                <w:kern w:val="24"/>
                <w:sz w:val="22"/>
              </w:rPr>
              <w:t>-(PO)</w:t>
            </w:r>
            <w:r w:rsidRPr="00233800">
              <w:rPr>
                <w:rFonts w:ascii="Times New Roman" w:hAnsi="Times New Roman"/>
                <w:color w:val="000000"/>
                <w:kern w:val="24"/>
                <w:position w:val="-6"/>
                <w:sz w:val="22"/>
                <w:vertAlign w:val="subscript"/>
              </w:rPr>
              <w:t>4</w:t>
            </w:r>
            <w:r w:rsidRPr="00233800">
              <w:rPr>
                <w:rFonts w:ascii="Times New Roman" w:hAnsi="Times New Roman"/>
                <w:color w:val="000000"/>
                <w:kern w:val="24"/>
                <w:sz w:val="22"/>
              </w:rPr>
              <w:t>-SO</w:t>
            </w:r>
            <w:r w:rsidRPr="00233800">
              <w:rPr>
                <w:rFonts w:ascii="Times New Roman" w:hAnsi="Times New Roman"/>
                <w:color w:val="000000"/>
                <w:kern w:val="24"/>
                <w:position w:val="-6"/>
                <w:sz w:val="22"/>
                <w:vertAlign w:val="subscript"/>
              </w:rPr>
              <w:t>4</w:t>
            </w:r>
            <w:r w:rsidRPr="00233800">
              <w:rPr>
                <w:rFonts w:ascii="Times New Roman" w:hAnsi="Times New Roman"/>
                <w:color w:val="000000"/>
                <w:kern w:val="24"/>
                <w:sz w:val="22"/>
              </w:rPr>
              <w:t>Na</w:t>
            </w:r>
          </w:p>
        </w:tc>
        <w:tc>
          <w:tcPr>
            <w:tcW w:w="1356"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12.9</w:t>
            </w:r>
          </w:p>
        </w:tc>
        <w:tc>
          <w:tcPr>
            <w:tcW w:w="1058"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15.1</w:t>
            </w:r>
          </w:p>
        </w:tc>
        <w:tc>
          <w:tcPr>
            <w:tcW w:w="1078"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233800" w:rsidRPr="00233800" w:rsidRDefault="00233800" w:rsidP="00557298">
            <w:pPr>
              <w:spacing w:line="240" w:lineRule="auto"/>
              <w:jc w:val="center"/>
              <w:textAlignment w:val="bottom"/>
              <w:rPr>
                <w:rFonts w:ascii="Arial" w:hAnsi="Arial" w:cs="Arial"/>
                <w:sz w:val="22"/>
                <w:szCs w:val="36"/>
              </w:rPr>
            </w:pPr>
            <w:r w:rsidRPr="00233800">
              <w:rPr>
                <w:rFonts w:ascii="Times New Roman" w:hAnsi="Times New Roman"/>
                <w:color w:val="000000"/>
                <w:kern w:val="24"/>
                <w:sz w:val="22"/>
              </w:rPr>
              <w:t>17</w:t>
            </w:r>
          </w:p>
        </w:tc>
      </w:tr>
    </w:tbl>
    <w:p w:rsidR="00233800" w:rsidRDefault="00233800" w:rsidP="00233800">
      <w:pPr>
        <w:pStyle w:val="Caption"/>
        <w:keepNext/>
      </w:pPr>
    </w:p>
    <w:p w:rsidR="00233800" w:rsidRDefault="00233800" w:rsidP="003E2D46">
      <w:pPr>
        <w:jc w:val="both"/>
        <w:rPr>
          <w:lang w:bidi="en-US"/>
        </w:rPr>
      </w:pPr>
    </w:p>
    <w:p w:rsidR="00233800" w:rsidRDefault="00233800" w:rsidP="003E2D46">
      <w:pPr>
        <w:jc w:val="both"/>
        <w:rPr>
          <w:lang w:bidi="en-US"/>
        </w:rPr>
      </w:pPr>
    </w:p>
    <w:p w:rsidR="00233800" w:rsidRDefault="00233800" w:rsidP="003E2D46">
      <w:pPr>
        <w:jc w:val="both"/>
        <w:rPr>
          <w:lang w:bidi="en-US"/>
        </w:rPr>
      </w:pPr>
    </w:p>
    <w:p w:rsidR="00233800" w:rsidRDefault="00233800" w:rsidP="003E2D46">
      <w:pPr>
        <w:jc w:val="both"/>
        <w:rPr>
          <w:lang w:bidi="en-US"/>
        </w:rPr>
      </w:pPr>
    </w:p>
    <w:p w:rsidR="00233800" w:rsidRDefault="00233800" w:rsidP="003E2D46">
      <w:pPr>
        <w:jc w:val="both"/>
        <w:rPr>
          <w:lang w:bidi="en-US"/>
        </w:rPr>
      </w:pPr>
    </w:p>
    <w:p w:rsidR="00233800" w:rsidRPr="003E2D46" w:rsidRDefault="00233800" w:rsidP="003E2D46">
      <w:pPr>
        <w:jc w:val="both"/>
        <w:rPr>
          <w:lang w:bidi="en-US"/>
        </w:rPr>
      </w:pPr>
    </w:p>
    <w:p w:rsidR="00BA2D85" w:rsidRDefault="003E2D46" w:rsidP="003E2D46">
      <w:pPr>
        <w:jc w:val="both"/>
        <w:rPr>
          <w:lang w:bidi="en-US"/>
        </w:rPr>
      </w:pPr>
      <w:r w:rsidRPr="003E2D46">
        <w:rPr>
          <w:lang w:bidi="en-US"/>
        </w:rPr>
        <w:lastRenderedPageBreak/>
        <w:t>Based on Equation 2, the ability of a test surfactant to form a middle phase with various oils (i.e., different EACNs) is crucial for the determination of its K-value. In general, the selected surfactants used in this study are able to form the middle phase microemulsion with hexane, octane, and decane. The resulted salt concentration at which an equal amount of water and oil are solubilized in the middle phase is the optimal salinity (S*) for that particular EACN of oil.  The optimal salinities of individual surfactants tested with these oils are summarized in Table 4. In Table 4, it is observed that the optimal salinity of each surfactant increases with increasing EACN of the oil. This phenomenon can be best understoo</w:t>
      </w:r>
      <w:r w:rsidR="00F32707">
        <w:rPr>
          <w:lang w:bidi="en-US"/>
        </w:rPr>
        <w:t>d with help of Winsor R concept</w:t>
      </w:r>
      <w:r w:rsidRPr="003E2D46">
        <w:rPr>
          <w:lang w:bidi="en-US"/>
        </w:rPr>
        <w:fldChar w:fldCharType="begin"/>
      </w:r>
      <w:r w:rsidR="00332C11">
        <w:rPr>
          <w:lang w:bidi="en-US"/>
        </w:rPr>
        <w:instrText xml:space="preserve"> ADDIN EN.CITE &lt;EndNote&gt;&lt;Cite&gt;&lt;Author&gt;Winsor&lt;/Author&gt;&lt;Year&gt;1954&lt;/Year&gt;&lt;RecNum&gt;63&lt;/RecNum&gt;&lt;DisplayText&gt;&lt;style face="superscript"&gt;35&lt;/style&gt;&lt;/DisplayText&gt;&lt;record&gt;&lt;rec-number&gt;63&lt;/rec-number&gt;&lt;foreign-keys&gt;&lt;key app="EN" db-id="a5zz9zdsp2tzdiedrdov0ztx9zwzps0patvs" timestamp="1425597074"&gt;63&lt;/key&gt;&lt;/foreign-keys&gt;&lt;ref-type name="Book"&gt;6&lt;/ref-type&gt;&lt;contributors&gt;&lt;authors&gt;&lt;author&gt;Winsor, Philip Alan&lt;/author&gt;&lt;/authors&gt;&lt;/contributors&gt;&lt;titles&gt;&lt;title&gt;Solvent properties of amphiphilic compounds&lt;/title&gt;&lt;/titles&gt;&lt;dates&gt;&lt;year&gt;1954&lt;/year&gt;&lt;/dates&gt;&lt;publisher&gt;Butterworths Scientific Publications&lt;/publisher&gt;&lt;urls&gt;&lt;/urls&gt;&lt;/record&gt;&lt;/Cite&gt;&lt;/EndNote&gt;</w:instrText>
      </w:r>
      <w:r w:rsidRPr="003E2D46">
        <w:rPr>
          <w:lang w:bidi="en-US"/>
        </w:rPr>
        <w:fldChar w:fldCharType="separate"/>
      </w:r>
      <w:r w:rsidR="00332C11" w:rsidRPr="00332C11">
        <w:rPr>
          <w:noProof/>
          <w:vertAlign w:val="superscript"/>
          <w:lang w:bidi="en-US"/>
        </w:rPr>
        <w:t>35</w:t>
      </w:r>
      <w:r w:rsidRPr="003E2D46">
        <w:rPr>
          <w:lang w:bidi="en-US"/>
        </w:rPr>
        <w:fldChar w:fldCharType="end"/>
      </w:r>
      <w:r w:rsidRPr="003E2D46">
        <w:rPr>
          <w:lang w:bidi="en-US"/>
        </w:rPr>
        <w:t xml:space="preserve"> defined as the ratio of net surfactant-oil interactions , A</w:t>
      </w:r>
      <w:r w:rsidRPr="003E2D46">
        <w:rPr>
          <w:vertAlign w:val="subscript"/>
          <w:lang w:bidi="en-US"/>
        </w:rPr>
        <w:t>co</w:t>
      </w:r>
      <w:r w:rsidRPr="003E2D46">
        <w:rPr>
          <w:lang w:bidi="en-US"/>
        </w:rPr>
        <w:t>, to the net surfactant-water interaction, A</w:t>
      </w:r>
      <w:r w:rsidRPr="003E2D46">
        <w:rPr>
          <w:vertAlign w:val="subscript"/>
          <w:lang w:bidi="en-US"/>
        </w:rPr>
        <w:t>cw</w:t>
      </w:r>
      <w:r w:rsidRPr="003E2D46">
        <w:rPr>
          <w:lang w:bidi="en-US"/>
        </w:rPr>
        <w:t>. Increasing the EACN of the oil decreases the A</w:t>
      </w:r>
      <w:r w:rsidRPr="003E2D46">
        <w:rPr>
          <w:vertAlign w:val="subscript"/>
          <w:lang w:bidi="en-US"/>
        </w:rPr>
        <w:t xml:space="preserve">co </w:t>
      </w:r>
      <w:r w:rsidRPr="003E2D46">
        <w:rPr>
          <w:lang w:bidi="en-US"/>
        </w:rPr>
        <w:t>and to balance this effect, the A</w:t>
      </w:r>
      <w:r w:rsidRPr="003E2D46">
        <w:rPr>
          <w:vertAlign w:val="subscript"/>
          <w:lang w:bidi="en-US"/>
        </w:rPr>
        <w:t>cw</w:t>
      </w:r>
      <w:r w:rsidRPr="003E2D46">
        <w:rPr>
          <w:lang w:bidi="en-US"/>
        </w:rPr>
        <w:t xml:space="preserve"> is decreased by adding salt.  Salt reduces the A</w:t>
      </w:r>
      <w:r w:rsidRPr="003E2D46">
        <w:rPr>
          <w:vertAlign w:val="subscript"/>
          <w:lang w:bidi="en-US"/>
        </w:rPr>
        <w:t>cw</w:t>
      </w:r>
      <w:r w:rsidRPr="003E2D46">
        <w:rPr>
          <w:lang w:bidi="en-US"/>
        </w:rPr>
        <w:t xml:space="preserve"> by compressing the electrical double lay</w:t>
      </w:r>
      <w:r w:rsidR="00F32707">
        <w:rPr>
          <w:lang w:bidi="en-US"/>
        </w:rPr>
        <w:t>er of the surfactant head group</w:t>
      </w:r>
      <w:r w:rsidRPr="003E2D46">
        <w:rPr>
          <w:lang w:bidi="en-US"/>
        </w:rPr>
        <w:fldChar w:fldCharType="begin"/>
      </w:r>
      <w:r w:rsidR="00332C11">
        <w:rPr>
          <w:lang w:bidi="en-US"/>
        </w:rPr>
        <w:instrText xml:space="preserve"> ADDIN EN.CITE &lt;EndNote&gt;&lt;Cite&gt;&lt;Author&gt;Rosen&lt;/Author&gt;&lt;Year&gt;2012&lt;/Year&gt;&lt;RecNum&gt;70&lt;/RecNum&gt;&lt;DisplayText&gt;&lt;style face="superscript"&gt;50&lt;/style&gt;&lt;/DisplayText&gt;&lt;record&gt;&lt;rec-number&gt;70&lt;/rec-number&gt;&lt;foreign-keys&gt;&lt;key app="EN" db-id="a5zz9zdsp2tzdiedrdov0ztx9zwzps0patvs" timestamp="1425605660"&gt;70&lt;/key&gt;&lt;/foreign-keys&gt;&lt;ref-type name="Book"&gt;6&lt;/ref-type&gt;&lt;contributors&gt;&lt;authors&gt;&lt;author&gt;Rosen, Milton J&lt;/author&gt;&lt;author&gt;Kunjappu, Joy T&lt;/author&gt;&lt;/authors&gt;&lt;/contributors&gt;&lt;titles&gt;&lt;title&gt;Surfactants and interfacial phenomena&lt;/title&gt;&lt;/titles&gt;&lt;section&gt;48&lt;/section&gt;&lt;dates&gt;&lt;year&gt;2012&lt;/year&gt;&lt;/dates&gt;&lt;publisher&gt;John Wiley &amp;amp; Sons&lt;/publisher&gt;&lt;isbn&gt;0470541946&lt;/isbn&gt;&lt;urls&gt;&lt;/urls&gt;&lt;/record&gt;&lt;/Cite&gt;&lt;/EndNote&gt;</w:instrText>
      </w:r>
      <w:r w:rsidRPr="003E2D46">
        <w:rPr>
          <w:lang w:bidi="en-US"/>
        </w:rPr>
        <w:fldChar w:fldCharType="separate"/>
      </w:r>
      <w:r w:rsidR="00332C11" w:rsidRPr="00332C11">
        <w:rPr>
          <w:noProof/>
          <w:vertAlign w:val="superscript"/>
          <w:lang w:bidi="en-US"/>
        </w:rPr>
        <w:t>50</w:t>
      </w:r>
      <w:r w:rsidRPr="003E2D46">
        <w:rPr>
          <w:lang w:bidi="en-US"/>
        </w:rPr>
        <w:fldChar w:fldCharType="end"/>
      </w:r>
      <w:r w:rsidRPr="003E2D46">
        <w:rPr>
          <w:lang w:bidi="en-US"/>
        </w:rPr>
        <w:t>. A similar concept of the salt effect can be applied to describe the effect of increase in carbon tail length of a surfactant in decreasing the optimal salinity. For example, as shown in Table 4, the optimal salinities of C</w:t>
      </w:r>
      <w:r w:rsidRPr="003E2D46">
        <w:rPr>
          <w:vertAlign w:val="subscript"/>
          <w:lang w:bidi="en-US"/>
        </w:rPr>
        <w:t>8</w:t>
      </w:r>
      <w:r w:rsidRPr="003E2D46">
        <w:rPr>
          <w:lang w:bidi="en-US"/>
        </w:rPr>
        <w:t>-(PO)</w:t>
      </w:r>
      <w:r w:rsidRPr="003E2D46">
        <w:rPr>
          <w:vertAlign w:val="subscript"/>
          <w:lang w:bidi="en-US"/>
        </w:rPr>
        <w:t>4</w:t>
      </w:r>
      <w:r w:rsidRPr="003E2D46">
        <w:rPr>
          <w:lang w:bidi="en-US"/>
        </w:rPr>
        <w:t>-SO</w:t>
      </w:r>
      <w:r w:rsidRPr="003E2D46">
        <w:rPr>
          <w:vertAlign w:val="subscript"/>
          <w:lang w:bidi="en-US"/>
        </w:rPr>
        <w:t>4</w:t>
      </w:r>
      <w:r w:rsidRPr="003E2D46">
        <w:rPr>
          <w:lang w:bidi="en-US"/>
        </w:rPr>
        <w:t>Na are higher with any oil compared to that of C</w:t>
      </w:r>
      <w:r w:rsidRPr="003E2D46">
        <w:rPr>
          <w:vertAlign w:val="subscript"/>
          <w:lang w:bidi="en-US"/>
        </w:rPr>
        <w:t>10</w:t>
      </w:r>
      <w:r w:rsidRPr="003E2D46">
        <w:rPr>
          <w:lang w:bidi="en-US"/>
        </w:rPr>
        <w:t>-(PO)</w:t>
      </w:r>
      <w:r w:rsidRPr="003E2D46">
        <w:rPr>
          <w:vertAlign w:val="subscript"/>
          <w:lang w:bidi="en-US"/>
        </w:rPr>
        <w:t>4</w:t>
      </w:r>
      <w:r w:rsidRPr="003E2D46">
        <w:rPr>
          <w:lang w:bidi="en-US"/>
        </w:rPr>
        <w:t>-SO</w:t>
      </w:r>
      <w:r w:rsidRPr="003E2D46">
        <w:rPr>
          <w:vertAlign w:val="subscript"/>
          <w:lang w:bidi="en-US"/>
        </w:rPr>
        <w:t>4</w:t>
      </w:r>
      <w:r w:rsidRPr="003E2D46">
        <w:rPr>
          <w:lang w:bidi="en-US"/>
        </w:rPr>
        <w:t>Na. In Table 4, the optimal salinities of C</w:t>
      </w:r>
      <w:r w:rsidRPr="003E2D46">
        <w:rPr>
          <w:vertAlign w:val="subscript"/>
          <w:lang w:bidi="en-US"/>
        </w:rPr>
        <w:t>8</w:t>
      </w:r>
      <w:r w:rsidRPr="003E2D46">
        <w:rPr>
          <w:lang w:bidi="en-US"/>
        </w:rPr>
        <w:t>-(PO)</w:t>
      </w:r>
      <w:r w:rsidRPr="003E2D46">
        <w:rPr>
          <w:vertAlign w:val="subscript"/>
          <w:lang w:bidi="en-US"/>
        </w:rPr>
        <w:t>4</w:t>
      </w:r>
      <w:r w:rsidRPr="003E2D46">
        <w:rPr>
          <w:lang w:bidi="en-US"/>
        </w:rPr>
        <w:t>-SO</w:t>
      </w:r>
      <w:r w:rsidRPr="003E2D46">
        <w:rPr>
          <w:vertAlign w:val="subscript"/>
          <w:lang w:bidi="en-US"/>
        </w:rPr>
        <w:t>4</w:t>
      </w:r>
      <w:r w:rsidRPr="003E2D46">
        <w:rPr>
          <w:lang w:bidi="en-US"/>
        </w:rPr>
        <w:t>Na with all oils are higher compared to that of C</w:t>
      </w:r>
      <w:r w:rsidRPr="003E2D46">
        <w:rPr>
          <w:vertAlign w:val="subscript"/>
          <w:lang w:bidi="en-US"/>
        </w:rPr>
        <w:t>8</w:t>
      </w:r>
      <w:r w:rsidR="004D3D1F">
        <w:rPr>
          <w:lang w:bidi="en-US"/>
        </w:rPr>
        <w:t>-(P</w:t>
      </w:r>
      <w:r w:rsidRPr="003E2D46">
        <w:rPr>
          <w:lang w:bidi="en-US"/>
        </w:rPr>
        <w:t>O)</w:t>
      </w:r>
      <w:r w:rsidR="004D3D1F">
        <w:rPr>
          <w:vertAlign w:val="subscript"/>
          <w:lang w:bidi="en-US"/>
        </w:rPr>
        <w:t>4</w:t>
      </w:r>
      <w:r w:rsidR="004D3D1F">
        <w:rPr>
          <w:lang w:bidi="en-US"/>
        </w:rPr>
        <w:t>-(E</w:t>
      </w:r>
      <w:r w:rsidRPr="003E2D46">
        <w:rPr>
          <w:lang w:bidi="en-US"/>
        </w:rPr>
        <w:t>O)</w:t>
      </w:r>
      <w:r w:rsidR="004D3D1F">
        <w:rPr>
          <w:vertAlign w:val="subscript"/>
          <w:lang w:bidi="en-US"/>
        </w:rPr>
        <w:t>1</w:t>
      </w:r>
      <w:r w:rsidRPr="003E2D46">
        <w:rPr>
          <w:lang w:bidi="en-US"/>
        </w:rPr>
        <w:t>-SO</w:t>
      </w:r>
      <w:r w:rsidRPr="003E2D46">
        <w:rPr>
          <w:vertAlign w:val="subscript"/>
          <w:lang w:bidi="en-US"/>
        </w:rPr>
        <w:t>4</w:t>
      </w:r>
      <w:r w:rsidRPr="003E2D46">
        <w:rPr>
          <w:lang w:bidi="en-US"/>
        </w:rPr>
        <w:t>Na. The difference between these two surfactants is the presence of one extra EO group. One would expect that the presence of EO increases the A</w:t>
      </w:r>
      <w:r w:rsidRPr="003E2D46">
        <w:rPr>
          <w:vertAlign w:val="subscript"/>
          <w:lang w:bidi="en-US"/>
        </w:rPr>
        <w:t>cw</w:t>
      </w:r>
      <w:r w:rsidRPr="003E2D46">
        <w:rPr>
          <w:lang w:bidi="en-US"/>
        </w:rPr>
        <w:t xml:space="preserve"> and thereby increases the optimal salinity. However, the presence of up to 2 EO groups in an anionic surfactant</w:t>
      </w:r>
      <w:r w:rsidR="00F32707">
        <w:rPr>
          <w:lang w:bidi="en-US"/>
        </w:rPr>
        <w:t xml:space="preserve"> decreases the optimal salinity</w:t>
      </w:r>
      <w:r w:rsidRPr="003E2D46">
        <w:rPr>
          <w:lang w:bidi="en-US"/>
        </w:rPr>
        <w:fldChar w:fldCharType="begin"/>
      </w:r>
      <w:r w:rsidR="00332C11">
        <w:rPr>
          <w:lang w:bidi="en-US"/>
        </w:rPr>
        <w:instrText xml:space="preserve"> ADDIN EN.CITE &lt;EndNote&gt;&lt;Cite&gt;&lt;Author&gt;Skauge&lt;/Author&gt;&lt;Year&gt;1989&lt;/Year&gt;&lt;RecNum&gt;38&lt;/RecNum&gt;&lt;DisplayText&gt;&lt;style face="superscript"&gt;51&lt;/style&gt;&lt;/DisplayText&gt;&lt;record&gt;&lt;rec-number&gt;38&lt;/rec-number&gt;&lt;foreign-keys&gt;&lt;key app="EN" db-id="a5zz9zdsp2tzdiedrdov0ztx9zwzps0patvs" timestamp="1424741473"&gt;38&lt;/key&gt;&lt;/foreign-keys&gt;&lt;ref-type name="Journal Article"&gt;17&lt;/ref-type&gt;&lt;contributors&gt;&lt;authors&gt;&lt;author&gt;Skauge, A&lt;/author&gt;&lt;author&gt;Palmgren, Oz&lt;/author&gt;&lt;/authors&gt;&lt;/contributors&gt;&lt;titles&gt;&lt;title&gt;Phase behavior and solution properties of ethoxylated anionic surfactants&lt;/title&gt;&lt;secondary-title&gt;SPE&lt;/secondary-title&gt;&lt;/titles&gt;&lt;periodical&gt;&lt;full-title&gt;SPE&lt;/full-title&gt;&lt;/periodical&gt;&lt;pages&gt;355-366&lt;/pages&gt;&lt;volume&gt;18499&lt;/volume&gt;&lt;dates&gt;&lt;year&gt;1989&lt;/year&gt;&lt;/dates&gt;&lt;urls&gt;&lt;/urls&gt;&lt;/record&gt;&lt;/Cite&gt;&lt;/EndNote&gt;</w:instrText>
      </w:r>
      <w:r w:rsidRPr="003E2D46">
        <w:rPr>
          <w:lang w:bidi="en-US"/>
        </w:rPr>
        <w:fldChar w:fldCharType="separate"/>
      </w:r>
      <w:r w:rsidR="00332C11" w:rsidRPr="00332C11">
        <w:rPr>
          <w:noProof/>
          <w:vertAlign w:val="superscript"/>
          <w:lang w:bidi="en-US"/>
        </w:rPr>
        <w:t>51</w:t>
      </w:r>
      <w:r w:rsidRPr="003E2D46">
        <w:rPr>
          <w:lang w:bidi="en-US"/>
        </w:rPr>
        <w:fldChar w:fldCharType="end"/>
      </w:r>
      <w:r w:rsidRPr="003E2D46">
        <w:rPr>
          <w:lang w:bidi="en-US"/>
        </w:rPr>
        <w:t xml:space="preserve">. The explanation given for this phenomenon is that at the oil-water interface, the methyl group of the corresponding EO encounters the hydrated environment and adding one EO doesn’t increases the effective size of the head group and thereby </w:t>
      </w:r>
      <w:r w:rsidRPr="003E2D46">
        <w:rPr>
          <w:lang w:bidi="en-US"/>
        </w:rPr>
        <w:lastRenderedPageBreak/>
        <w:t>decreases the optimal salinity. Conversely, addition of more than two EOs is expected to increase the overall size of the surfactant head and thus increases the optimal salinity. Also observed in Table 4, the same phenomenon is not valid in the case of C</w:t>
      </w:r>
      <w:r w:rsidRPr="003E2D46">
        <w:rPr>
          <w:vertAlign w:val="subscript"/>
          <w:lang w:bidi="en-US"/>
        </w:rPr>
        <w:t>10</w:t>
      </w:r>
      <w:r w:rsidRPr="003E2D46">
        <w:rPr>
          <w:lang w:bidi="en-US"/>
        </w:rPr>
        <w:t>-(PO)</w:t>
      </w:r>
      <w:r w:rsidRPr="003E2D46">
        <w:rPr>
          <w:vertAlign w:val="subscript"/>
          <w:lang w:bidi="en-US"/>
        </w:rPr>
        <w:t>4</w:t>
      </w:r>
      <w:r w:rsidRPr="003E2D46">
        <w:rPr>
          <w:lang w:bidi="en-US"/>
        </w:rPr>
        <w:t>-SO</w:t>
      </w:r>
      <w:r w:rsidRPr="003E2D46">
        <w:rPr>
          <w:vertAlign w:val="subscript"/>
          <w:lang w:bidi="en-US"/>
        </w:rPr>
        <w:t>4</w:t>
      </w:r>
      <w:r w:rsidRPr="003E2D46">
        <w:rPr>
          <w:lang w:bidi="en-US"/>
        </w:rPr>
        <w:t>Na and C</w:t>
      </w:r>
      <w:r w:rsidRPr="003E2D46">
        <w:rPr>
          <w:vertAlign w:val="subscript"/>
          <w:lang w:bidi="en-US"/>
        </w:rPr>
        <w:t>10</w:t>
      </w:r>
      <w:r w:rsidR="004D3D1F">
        <w:rPr>
          <w:lang w:bidi="en-US"/>
        </w:rPr>
        <w:t>-(P</w:t>
      </w:r>
      <w:r w:rsidRPr="003E2D46">
        <w:rPr>
          <w:lang w:bidi="en-US"/>
        </w:rPr>
        <w:t>O)</w:t>
      </w:r>
      <w:r w:rsidR="004D3D1F">
        <w:rPr>
          <w:vertAlign w:val="subscript"/>
          <w:lang w:bidi="en-US"/>
        </w:rPr>
        <w:t>4</w:t>
      </w:r>
      <w:r w:rsidR="004D3D1F">
        <w:rPr>
          <w:lang w:bidi="en-US"/>
        </w:rPr>
        <w:t>-(E</w:t>
      </w:r>
      <w:r w:rsidRPr="003E2D46">
        <w:rPr>
          <w:lang w:bidi="en-US"/>
        </w:rPr>
        <w:t>O)</w:t>
      </w:r>
      <w:r w:rsidR="004D3D1F">
        <w:rPr>
          <w:vertAlign w:val="subscript"/>
          <w:lang w:bidi="en-US"/>
        </w:rPr>
        <w:t>1</w:t>
      </w:r>
      <w:r w:rsidRPr="003E2D46">
        <w:rPr>
          <w:lang w:bidi="en-US"/>
        </w:rPr>
        <w:t>-SO</w:t>
      </w:r>
      <w:r w:rsidRPr="003E2D46">
        <w:rPr>
          <w:vertAlign w:val="subscript"/>
          <w:lang w:bidi="en-US"/>
        </w:rPr>
        <w:t>4</w:t>
      </w:r>
      <w:r w:rsidRPr="003E2D46">
        <w:rPr>
          <w:lang w:bidi="en-US"/>
        </w:rPr>
        <w:t>Na where optimal salinities of C</w:t>
      </w:r>
      <w:r w:rsidRPr="003E2D46">
        <w:rPr>
          <w:vertAlign w:val="subscript"/>
          <w:lang w:bidi="en-US"/>
        </w:rPr>
        <w:t>10</w:t>
      </w:r>
      <w:r w:rsidR="004D3D1F">
        <w:rPr>
          <w:lang w:bidi="en-US"/>
        </w:rPr>
        <w:t>-(P</w:t>
      </w:r>
      <w:r w:rsidRPr="003E2D46">
        <w:rPr>
          <w:lang w:bidi="en-US"/>
        </w:rPr>
        <w:t>O)</w:t>
      </w:r>
      <w:r w:rsidR="004D3D1F">
        <w:rPr>
          <w:vertAlign w:val="subscript"/>
          <w:lang w:bidi="en-US"/>
        </w:rPr>
        <w:t>4</w:t>
      </w:r>
      <w:r w:rsidR="004D3D1F">
        <w:rPr>
          <w:lang w:bidi="en-US"/>
        </w:rPr>
        <w:t>-(E</w:t>
      </w:r>
      <w:r w:rsidRPr="003E2D46">
        <w:rPr>
          <w:lang w:bidi="en-US"/>
        </w:rPr>
        <w:t>O)</w:t>
      </w:r>
      <w:r w:rsidR="004D3D1F">
        <w:rPr>
          <w:vertAlign w:val="subscript"/>
          <w:lang w:bidi="en-US"/>
        </w:rPr>
        <w:t>1</w:t>
      </w:r>
      <w:r w:rsidRPr="003E2D46">
        <w:rPr>
          <w:lang w:bidi="en-US"/>
        </w:rPr>
        <w:t>-SO</w:t>
      </w:r>
      <w:r w:rsidRPr="003E2D46">
        <w:rPr>
          <w:vertAlign w:val="subscript"/>
          <w:lang w:bidi="en-US"/>
        </w:rPr>
        <w:t>4</w:t>
      </w:r>
      <w:r w:rsidRPr="003E2D46">
        <w:rPr>
          <w:lang w:bidi="en-US"/>
        </w:rPr>
        <w:t>Na are higher compared to that of C</w:t>
      </w:r>
      <w:r w:rsidRPr="003E2D46">
        <w:rPr>
          <w:vertAlign w:val="subscript"/>
          <w:lang w:bidi="en-US"/>
        </w:rPr>
        <w:t>10</w:t>
      </w:r>
      <w:r w:rsidRPr="003E2D46">
        <w:rPr>
          <w:lang w:bidi="en-US"/>
        </w:rPr>
        <w:t>-(PO)</w:t>
      </w:r>
      <w:r w:rsidRPr="003E2D46">
        <w:rPr>
          <w:vertAlign w:val="subscript"/>
          <w:lang w:bidi="en-US"/>
        </w:rPr>
        <w:t>4</w:t>
      </w:r>
      <w:r w:rsidRPr="003E2D46">
        <w:rPr>
          <w:lang w:bidi="en-US"/>
        </w:rPr>
        <w:t>-SO</w:t>
      </w:r>
      <w:r w:rsidRPr="003E2D46">
        <w:rPr>
          <w:vertAlign w:val="subscript"/>
          <w:lang w:bidi="en-US"/>
        </w:rPr>
        <w:t>4</w:t>
      </w:r>
      <w:r w:rsidRPr="003E2D46">
        <w:rPr>
          <w:lang w:bidi="en-US"/>
        </w:rPr>
        <w:t>Na. This behavior can be explained due to the fact that there might be a distribution in the number of EOs and POs as well as a commercial mixture of alkyl chain lengths in the alcohols which mi</w:t>
      </w:r>
      <w:r w:rsidR="00626E1A">
        <w:rPr>
          <w:lang w:bidi="en-US"/>
        </w:rPr>
        <w:t xml:space="preserve">ght have affected the </w:t>
      </w:r>
      <w:r w:rsidR="00626E1A" w:rsidRPr="003A07C5">
        <w:rPr>
          <w:rFonts w:ascii="Times New Roman" w:hAnsi="Times New Roman"/>
          <w:noProof/>
        </w:rPr>
        <w:drawing>
          <wp:anchor distT="0" distB="0" distL="114300" distR="114300" simplePos="0" relativeHeight="251663360" behindDoc="0" locked="0" layoutInCell="1" allowOverlap="1" wp14:anchorId="7EBB6DFD" wp14:editId="77777493">
            <wp:simplePos x="0" y="0"/>
            <wp:positionH relativeFrom="column">
              <wp:posOffset>3810</wp:posOffset>
            </wp:positionH>
            <wp:positionV relativeFrom="paragraph">
              <wp:posOffset>2847975</wp:posOffset>
            </wp:positionV>
            <wp:extent cx="5314950" cy="2847975"/>
            <wp:effectExtent l="0" t="0" r="0" b="9525"/>
            <wp:wrapTopAndBottom/>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14:sizeRelV relativeFrom="margin">
              <wp14:pctHeight>0</wp14:pctHeight>
            </wp14:sizeRelV>
          </wp:anchor>
        </w:drawing>
      </w:r>
      <w:r w:rsidR="00626E1A">
        <w:rPr>
          <w:lang w:bidi="en-US"/>
        </w:rPr>
        <w:t>results.</w:t>
      </w:r>
    </w:p>
    <w:p w:rsidR="003E2D46" w:rsidRDefault="004A6B9A" w:rsidP="003E2D46">
      <w:pPr>
        <w:jc w:val="both"/>
        <w:rPr>
          <w:lang w:bidi="en-US"/>
        </w:rPr>
      </w:pPr>
      <w:r>
        <w:rPr>
          <w:noProof/>
        </w:rPr>
        <mc:AlternateContent>
          <mc:Choice Requires="wps">
            <w:drawing>
              <wp:anchor distT="0" distB="0" distL="114300" distR="114300" simplePos="0" relativeHeight="251665408" behindDoc="0" locked="0" layoutInCell="1" allowOverlap="1" wp14:anchorId="3CC01A5F" wp14:editId="30C088CD">
                <wp:simplePos x="0" y="0"/>
                <wp:positionH relativeFrom="column">
                  <wp:posOffset>3810</wp:posOffset>
                </wp:positionH>
                <wp:positionV relativeFrom="paragraph">
                  <wp:posOffset>3072765</wp:posOffset>
                </wp:positionV>
                <wp:extent cx="546735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5467350" cy="635"/>
                        </a:xfrm>
                        <a:prstGeom prst="rect">
                          <a:avLst/>
                        </a:prstGeom>
                        <a:solidFill>
                          <a:prstClr val="white"/>
                        </a:solidFill>
                        <a:ln>
                          <a:noFill/>
                        </a:ln>
                        <a:effectLst/>
                      </wps:spPr>
                      <wps:txbx>
                        <w:txbxContent>
                          <w:p w:rsidR="005C410D" w:rsidRPr="00626E1A" w:rsidRDefault="005C410D" w:rsidP="00626E1A">
                            <w:pPr>
                              <w:pStyle w:val="Caption"/>
                              <w:jc w:val="center"/>
                              <w:rPr>
                                <w:b w:val="0"/>
                              </w:rPr>
                            </w:pPr>
                            <w:bookmarkStart w:id="34" w:name="_Toc426967294"/>
                            <w:r>
                              <w:t xml:space="preserve">Figure </w:t>
                            </w:r>
                            <w:r w:rsidR="001C58A2">
                              <w:fldChar w:fldCharType="begin"/>
                            </w:r>
                            <w:r w:rsidR="001C58A2">
                              <w:instrText xml:space="preserve"> SEQ Figure \* ARABIC </w:instrText>
                            </w:r>
                            <w:r w:rsidR="001C58A2">
                              <w:fldChar w:fldCharType="separate"/>
                            </w:r>
                            <w:r w:rsidR="003F7947">
                              <w:rPr>
                                <w:noProof/>
                              </w:rPr>
                              <w:t>2</w:t>
                            </w:r>
                            <w:r w:rsidR="001C58A2">
                              <w:rPr>
                                <w:noProof/>
                              </w:rPr>
                              <w:fldChar w:fldCharType="end"/>
                            </w:r>
                            <w:r>
                              <w:t xml:space="preserve">. </w:t>
                            </w:r>
                            <w:r w:rsidRPr="00626E1A">
                              <w:rPr>
                                <w:b w:val="0"/>
                              </w:rPr>
                              <w:t>Plot of ln(S*) Vs EACN to determine the K and Cc of the extended surfactants</w:t>
                            </w:r>
                            <w:bookmarkEnd w:id="34"/>
                          </w:p>
                          <w:p w:rsidR="005C410D" w:rsidRPr="008C5865" w:rsidRDefault="005C410D" w:rsidP="00626E1A">
                            <w:pPr>
                              <w:pStyle w:val="Caption"/>
                              <w:rPr>
                                <w:rFonts w:ascii="Times New Roman" w:hAnsi="Times New Roman"/>
                                <w:noProof/>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C01A5F" id="Text Box 5" o:spid="_x0000_s1027" type="#_x0000_t202" style="position:absolute;left:0;text-align:left;margin-left:.3pt;margin-top:241.95pt;width:430.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" stroked="f">
                <v:textbox style="mso-fit-shape-to-text:t" inset="0,0,0,0">
                  <w:txbxContent>
                    <w:p w:rsidR="005C410D" w:rsidRPr="00626E1A" w:rsidRDefault="005C410D" w:rsidP="00626E1A">
                      <w:pPr>
                        <w:pStyle w:val="Caption"/>
                        <w:jc w:val="center"/>
                        <w:rPr>
                          <w:b w:val="0"/>
                        </w:rPr>
                      </w:pPr>
                      <w:bookmarkStart w:id="37" w:name="_Toc426967294"/>
                      <w:r>
                        <w:t xml:space="preserve">Figure </w:t>
                      </w:r>
                      <w:fldSimple w:instr=" SEQ Figure \* ARABIC ">
                        <w:r w:rsidR="003F7947">
                          <w:rPr>
                            <w:noProof/>
                          </w:rPr>
                          <w:t>2</w:t>
                        </w:r>
                      </w:fldSimple>
                      <w:r>
                        <w:t xml:space="preserve">. </w:t>
                      </w:r>
                      <w:r w:rsidRPr="00626E1A">
                        <w:rPr>
                          <w:b w:val="0"/>
                        </w:rPr>
                        <w:t>Plot of ln(S*) Vs EACN to determine the K and Cc of the extended surfactants</w:t>
                      </w:r>
                      <w:bookmarkEnd w:id="37"/>
                    </w:p>
                    <w:p w:rsidR="005C410D" w:rsidRPr="008C5865" w:rsidRDefault="005C410D" w:rsidP="00626E1A">
                      <w:pPr>
                        <w:pStyle w:val="Caption"/>
                        <w:rPr>
                          <w:rFonts w:ascii="Times New Roman" w:hAnsi="Times New Roman"/>
                          <w:noProof/>
                          <w:szCs w:val="24"/>
                        </w:rPr>
                      </w:pPr>
                    </w:p>
                  </w:txbxContent>
                </v:textbox>
                <w10:wrap type="topAndBottom"/>
              </v:shape>
            </w:pict>
          </mc:Fallback>
        </mc:AlternateContent>
      </w:r>
      <w:r w:rsidR="003E2D46" w:rsidRPr="003E2D46">
        <w:rPr>
          <w:lang w:bidi="en-US"/>
        </w:rPr>
        <w:t>The optimal salinities determined for the extended surfactants with three different alkanes were used to construct a graph of lnS* against EACN, which is shown in Figure 2. According to Equation 2, the slope of the line fit to these data is the K-value and the y-intercept is the Cc-value.  Figure 2 shows the R</w:t>
      </w:r>
      <w:r w:rsidR="003E2D46" w:rsidRPr="003E2D46">
        <w:rPr>
          <w:vertAlign w:val="superscript"/>
          <w:lang w:bidi="en-US"/>
        </w:rPr>
        <w:t>2</w:t>
      </w:r>
      <w:r w:rsidR="003E2D46" w:rsidRPr="003E2D46">
        <w:rPr>
          <w:lang w:bidi="en-US"/>
        </w:rPr>
        <w:t xml:space="preserve"> value of each fitting is above 0.99 suggesting the linear fitting is in very good agreement with the trend in data. The calculated K-values and Cc-values of the extended surfactants are listed in Table 5. Table </w:t>
      </w:r>
      <w:r w:rsidR="003E2D46" w:rsidRPr="003E2D46">
        <w:rPr>
          <w:lang w:bidi="en-US"/>
        </w:rPr>
        <w:lastRenderedPageBreak/>
        <w:t>5 shows the K-values of the extended surfactant to be in the range of 0.05 to 0.07. Hammond</w:t>
      </w:r>
      <w:r w:rsidR="003E2D46" w:rsidRPr="003E2D46">
        <w:rPr>
          <w:i/>
          <w:lang w:bidi="en-US"/>
        </w:rPr>
        <w:t xml:space="preserve"> et al.</w:t>
      </w:r>
      <w:r w:rsidR="003E2D46" w:rsidRPr="003E2D46">
        <w:rPr>
          <w:lang w:bidi="en-US"/>
        </w:rPr>
        <w:t xml:space="preserve"> report the K-values for the extended surfactant, C</w:t>
      </w:r>
      <w:r w:rsidR="003E2D46" w:rsidRPr="003E2D46">
        <w:rPr>
          <w:vertAlign w:val="subscript"/>
          <w:lang w:bidi="en-US"/>
        </w:rPr>
        <w:t>12</w:t>
      </w:r>
      <w:r w:rsidR="003E2D46" w:rsidRPr="003E2D46">
        <w:rPr>
          <w:lang w:bidi="en-US"/>
        </w:rPr>
        <w:t>-(PO)</w:t>
      </w:r>
      <w:r w:rsidR="003E2D46" w:rsidRPr="003E2D46">
        <w:rPr>
          <w:vertAlign w:val="subscript"/>
          <w:lang w:bidi="en-US"/>
        </w:rPr>
        <w:t>4</w:t>
      </w:r>
      <w:r w:rsidR="003E2D46" w:rsidRPr="003E2D46">
        <w:rPr>
          <w:lang w:bidi="en-US"/>
        </w:rPr>
        <w:t>-SO</w:t>
      </w:r>
      <w:r w:rsidR="003E2D46" w:rsidRPr="003E2D46">
        <w:rPr>
          <w:vertAlign w:val="subscript"/>
          <w:lang w:bidi="en-US"/>
        </w:rPr>
        <w:t>4</w:t>
      </w:r>
      <w:r w:rsidR="003E2D46" w:rsidRPr="003E2D46">
        <w:rPr>
          <w:lang w:bidi="en-US"/>
        </w:rPr>
        <w:t xml:space="preserve">Na family,  to be in the range of 0.04 to 0.06, which is in good agreement with the K-values that are reported in this paper. Other authors have reported the K-value of the extended surfactant family to </w:t>
      </w:r>
      <w:r w:rsidR="00F32707">
        <w:rPr>
          <w:lang w:bidi="en-US"/>
        </w:rPr>
        <w:t>be in the range of 0.07 to 0.12</w:t>
      </w:r>
      <w:r w:rsidR="003E2D46" w:rsidRPr="003E2D46">
        <w:rPr>
          <w:lang w:bidi="en-US"/>
        </w:rPr>
        <w:fldChar w:fldCharType="begin"/>
      </w:r>
      <w:r w:rsidR="00332C11">
        <w:rPr>
          <w:lang w:bidi="en-US"/>
        </w:rPr>
        <w:instrText xml:space="preserve"> ADDIN EN.CITE &lt;EndNote&gt;&lt;Cite&gt;&lt;Author&gt;Velásquez&lt;/Author&gt;&lt;Year&gt;2010&lt;/Year&gt;&lt;RecNum&gt;52&lt;/RecNum&gt;&lt;DisplayText&gt;&lt;style face="superscript"&gt;49&lt;/style&gt;&lt;/DisplayText&gt;&lt;record&gt;&lt;rec-number&gt;52&lt;/rec-number&gt;&lt;foreign-keys&gt;&lt;key app="EN" db-id="a5zz9zdsp2tzdiedrdov0ztx9zwzps0patvs" timestamp="1425064008"&gt;52&lt;/key&gt;&lt;/foreign-keys&gt;&lt;ref-type name="Journal Article"&gt;17&lt;/ref-type&gt;&lt;contributors&gt;&lt;authors&gt;&lt;author&gt;Velásquez, Josmary&lt;/author&gt;&lt;author&gt;Scorzza, Cesar&lt;/author&gt;&lt;author&gt;Vejar, Francia&lt;/author&gt;&lt;author&gt;Forgiarini, Ana M&lt;/author&gt;&lt;author&gt;Antón, Raquel E&lt;/author&gt;&lt;author&gt;Salager, Jean-Louis&lt;/author&gt;&lt;/authors&gt;&lt;/contributors&gt;&lt;titles&gt;&lt;title&gt;Effect of temperature and other variables on the optimum formulation of anionic extended surfactant–alkane–brine systems&lt;/title&gt;&lt;secondary-title&gt;Journal of surfactants and detergents&lt;/secondary-title&gt;&lt;/titles&gt;&lt;periodical&gt;&lt;full-title&gt;Journal of Surfactants and Detergents&lt;/full-title&gt;&lt;/periodical&gt;&lt;pages&gt;69-73&lt;/pages&gt;&lt;volume&gt;13&lt;/volume&gt;&lt;number&gt;1&lt;/number&gt;&lt;dates&gt;&lt;year&gt;2010&lt;/year&gt;&lt;/dates&gt;&lt;isbn&gt;1097-3958&lt;/isbn&gt;&lt;urls&gt;&lt;/urls&gt;&lt;/record&gt;&lt;/Cite&gt;&lt;/EndNote&gt;</w:instrText>
      </w:r>
      <w:r w:rsidR="003E2D46" w:rsidRPr="003E2D46">
        <w:rPr>
          <w:lang w:bidi="en-US"/>
        </w:rPr>
        <w:fldChar w:fldCharType="separate"/>
      </w:r>
      <w:r w:rsidR="00332C11" w:rsidRPr="00332C11">
        <w:rPr>
          <w:noProof/>
          <w:vertAlign w:val="superscript"/>
          <w:lang w:bidi="en-US"/>
        </w:rPr>
        <w:t>49</w:t>
      </w:r>
      <w:r w:rsidR="003E2D46" w:rsidRPr="003E2D46">
        <w:rPr>
          <w:lang w:bidi="en-US"/>
        </w:rPr>
        <w:fldChar w:fldCharType="end"/>
      </w:r>
      <w:r w:rsidR="003E2D46" w:rsidRPr="003E2D46">
        <w:rPr>
          <w:lang w:bidi="en-US"/>
        </w:rPr>
        <w:t>. However, the average K-value, 0.06 ± 0.007 determined in this work from slope of the fitted lines shown in Figure 2 is used for extended surfactants</w:t>
      </w:r>
      <w:r w:rsidR="00626E1A">
        <w:rPr>
          <w:lang w:bidi="en-US"/>
        </w:rPr>
        <w:t>.</w:t>
      </w:r>
    </w:p>
    <w:p w:rsidR="00626E1A" w:rsidRPr="00626E1A" w:rsidRDefault="00626E1A" w:rsidP="00697AF7">
      <w:pPr>
        <w:pStyle w:val="Caption"/>
        <w:keepNext/>
        <w:jc w:val="both"/>
        <w:rPr>
          <w:b w:val="0"/>
        </w:rPr>
      </w:pPr>
      <w:bookmarkStart w:id="35" w:name="_Toc426967283"/>
      <w:r>
        <w:t xml:space="preserve">Table </w:t>
      </w:r>
      <w:r w:rsidR="001C58A2">
        <w:fldChar w:fldCharType="begin"/>
      </w:r>
      <w:r w:rsidR="001C58A2">
        <w:instrText xml:space="preserve"> SEQ Table \* ARABIC </w:instrText>
      </w:r>
      <w:r w:rsidR="001C58A2">
        <w:fldChar w:fldCharType="separate"/>
      </w:r>
      <w:r w:rsidR="003F7947">
        <w:rPr>
          <w:noProof/>
        </w:rPr>
        <w:t>5</w:t>
      </w:r>
      <w:r w:rsidR="001C58A2">
        <w:rPr>
          <w:noProof/>
        </w:rPr>
        <w:fldChar w:fldCharType="end"/>
      </w:r>
      <w:r>
        <w:t xml:space="preserve">. </w:t>
      </w:r>
      <w:r w:rsidRPr="00626E1A">
        <w:rPr>
          <w:b w:val="0"/>
        </w:rPr>
        <w:t>Experimentally obtained K-values and Cc-values of extended and conventional surfactants unless otherwise noted.  Cc* is the Cc-value calculated by using group contribution correlation</w:t>
      </w:r>
      <w:bookmarkEnd w:id="35"/>
    </w:p>
    <w:p w:rsidR="00626E1A" w:rsidRDefault="00626E1A" w:rsidP="00626E1A">
      <w:pPr>
        <w:pStyle w:val="Caption"/>
        <w:keepNext/>
      </w:pPr>
    </w:p>
    <w:tbl>
      <w:tblPr>
        <w:tblpPr w:leftFromText="180" w:rightFromText="180" w:vertAnchor="text" w:horzAnchor="margin" w:tblpXSpec="center" w:tblpY="-77"/>
        <w:tblW w:w="5540" w:type="dxa"/>
        <w:tblCellMar>
          <w:left w:w="0" w:type="dxa"/>
          <w:right w:w="0" w:type="dxa"/>
        </w:tblCellMar>
        <w:tblLook w:val="0600" w:firstRow="0" w:lastRow="0" w:firstColumn="0" w:lastColumn="0" w:noHBand="1" w:noVBand="1"/>
      </w:tblPr>
      <w:tblGrid>
        <w:gridCol w:w="2711"/>
        <w:gridCol w:w="943"/>
        <w:gridCol w:w="943"/>
        <w:gridCol w:w="943"/>
      </w:tblGrid>
      <w:tr w:rsidR="00626E1A" w:rsidRPr="00626E1A" w:rsidTr="00C35DE4">
        <w:trPr>
          <w:trHeight w:val="456"/>
        </w:trPr>
        <w:tc>
          <w:tcPr>
            <w:tcW w:w="2711"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b/>
                <w:bCs/>
                <w:color w:val="000000"/>
                <w:kern w:val="24"/>
                <w:sz w:val="22"/>
              </w:rPr>
              <w:t>Surfactants</w:t>
            </w:r>
          </w:p>
        </w:tc>
        <w:tc>
          <w:tcPr>
            <w:tcW w:w="943"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b/>
                <w:bCs/>
                <w:color w:val="000000"/>
                <w:kern w:val="24"/>
                <w:sz w:val="22"/>
              </w:rPr>
              <w:t>K</w:t>
            </w:r>
          </w:p>
        </w:tc>
        <w:tc>
          <w:tcPr>
            <w:tcW w:w="943"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b/>
                <w:bCs/>
                <w:color w:val="000000"/>
                <w:kern w:val="24"/>
                <w:sz w:val="22"/>
              </w:rPr>
              <w:t>Cc</w:t>
            </w:r>
          </w:p>
        </w:tc>
        <w:tc>
          <w:tcPr>
            <w:tcW w:w="943"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b/>
                <w:bCs/>
                <w:color w:val="000000"/>
                <w:kern w:val="24"/>
                <w:sz w:val="22"/>
              </w:rPr>
              <w:t>Cc*</w:t>
            </w:r>
          </w:p>
        </w:tc>
      </w:tr>
      <w:tr w:rsidR="00626E1A" w:rsidRPr="00626E1A" w:rsidTr="00C35DE4">
        <w:trPr>
          <w:trHeight w:val="546"/>
        </w:trPr>
        <w:tc>
          <w:tcPr>
            <w:tcW w:w="2711"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C</w:t>
            </w:r>
            <w:r w:rsidRPr="00626E1A">
              <w:rPr>
                <w:rFonts w:ascii="Times New Roman" w:hAnsi="Times New Roman"/>
                <w:color w:val="000000"/>
                <w:kern w:val="24"/>
                <w:position w:val="-6"/>
                <w:sz w:val="22"/>
                <w:vertAlign w:val="subscript"/>
              </w:rPr>
              <w:t>8</w:t>
            </w:r>
            <w:r w:rsidRPr="00626E1A">
              <w:rPr>
                <w:rFonts w:ascii="Times New Roman" w:hAnsi="Times New Roman"/>
                <w:color w:val="000000"/>
                <w:kern w:val="24"/>
                <w:sz w:val="22"/>
              </w:rPr>
              <w:t>-(PO)</w:t>
            </w:r>
            <w:r w:rsidRPr="00626E1A">
              <w:rPr>
                <w:rFonts w:ascii="Times New Roman" w:hAnsi="Times New Roman"/>
                <w:color w:val="000000"/>
                <w:kern w:val="24"/>
                <w:position w:val="-6"/>
                <w:sz w:val="22"/>
                <w:vertAlign w:val="subscript"/>
              </w:rPr>
              <w:t>4</w:t>
            </w:r>
            <w:r w:rsidRPr="00626E1A">
              <w:rPr>
                <w:rFonts w:ascii="Times New Roman" w:hAnsi="Times New Roman"/>
                <w:color w:val="000000"/>
                <w:kern w:val="24"/>
                <w:sz w:val="22"/>
              </w:rPr>
              <w:t>-(EO)</w:t>
            </w:r>
            <w:r w:rsidRPr="00626E1A">
              <w:rPr>
                <w:rFonts w:ascii="Times New Roman" w:hAnsi="Times New Roman"/>
                <w:color w:val="000000"/>
                <w:kern w:val="24"/>
                <w:position w:val="-6"/>
                <w:sz w:val="22"/>
                <w:vertAlign w:val="subscript"/>
              </w:rPr>
              <w:t>1</w:t>
            </w:r>
            <w:r w:rsidRPr="00626E1A">
              <w:rPr>
                <w:rFonts w:ascii="Times New Roman" w:hAnsi="Times New Roman"/>
                <w:color w:val="000000"/>
                <w:kern w:val="24"/>
                <w:sz w:val="22"/>
              </w:rPr>
              <w:t>-SO</w:t>
            </w:r>
            <w:r w:rsidRPr="00626E1A">
              <w:rPr>
                <w:rFonts w:ascii="Times New Roman" w:hAnsi="Times New Roman"/>
                <w:color w:val="000000"/>
                <w:kern w:val="24"/>
                <w:position w:val="-6"/>
                <w:sz w:val="22"/>
                <w:vertAlign w:val="subscript"/>
              </w:rPr>
              <w:t>4</w:t>
            </w:r>
            <w:r w:rsidRPr="00626E1A">
              <w:rPr>
                <w:rFonts w:ascii="Times New Roman" w:hAnsi="Times New Roman"/>
                <w:color w:val="000000"/>
                <w:kern w:val="24"/>
                <w:sz w:val="22"/>
              </w:rPr>
              <w:t>Na</w:t>
            </w:r>
          </w:p>
        </w:tc>
        <w:tc>
          <w:tcPr>
            <w:tcW w:w="943"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0.053</w:t>
            </w:r>
          </w:p>
        </w:tc>
        <w:tc>
          <w:tcPr>
            <w:tcW w:w="943"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-2.47</w:t>
            </w:r>
          </w:p>
        </w:tc>
        <w:tc>
          <w:tcPr>
            <w:tcW w:w="943"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w:t>
            </w:r>
          </w:p>
        </w:tc>
      </w:tr>
      <w:tr w:rsidR="00626E1A" w:rsidRPr="00626E1A" w:rsidTr="00C35DE4">
        <w:trPr>
          <w:trHeight w:val="476"/>
        </w:trPr>
        <w:tc>
          <w:tcPr>
            <w:tcW w:w="2711"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C</w:t>
            </w:r>
            <w:r w:rsidRPr="00626E1A">
              <w:rPr>
                <w:rFonts w:ascii="Times New Roman" w:hAnsi="Times New Roman"/>
                <w:color w:val="000000"/>
                <w:kern w:val="24"/>
                <w:position w:val="-6"/>
                <w:sz w:val="22"/>
                <w:vertAlign w:val="subscript"/>
              </w:rPr>
              <w:t>8</w:t>
            </w:r>
            <w:r w:rsidRPr="00626E1A">
              <w:rPr>
                <w:rFonts w:ascii="Times New Roman" w:hAnsi="Times New Roman"/>
                <w:color w:val="000000"/>
                <w:kern w:val="24"/>
                <w:sz w:val="22"/>
              </w:rPr>
              <w:t>-(PO)</w:t>
            </w:r>
            <w:r w:rsidRPr="00626E1A">
              <w:rPr>
                <w:rFonts w:ascii="Times New Roman" w:hAnsi="Times New Roman"/>
                <w:color w:val="000000"/>
                <w:kern w:val="24"/>
                <w:position w:val="-6"/>
                <w:sz w:val="22"/>
                <w:vertAlign w:val="subscript"/>
              </w:rPr>
              <w:t>4</w:t>
            </w:r>
            <w:r w:rsidRPr="00626E1A">
              <w:rPr>
                <w:rFonts w:ascii="Times New Roman" w:hAnsi="Times New Roman"/>
                <w:color w:val="000000"/>
                <w:kern w:val="24"/>
                <w:sz w:val="22"/>
              </w:rPr>
              <w:t>-SO</w:t>
            </w:r>
            <w:r w:rsidRPr="00626E1A">
              <w:rPr>
                <w:rFonts w:ascii="Times New Roman" w:hAnsi="Times New Roman"/>
                <w:color w:val="000000"/>
                <w:kern w:val="24"/>
                <w:position w:val="-6"/>
                <w:sz w:val="22"/>
                <w:vertAlign w:val="subscript"/>
              </w:rPr>
              <w:t>4</w:t>
            </w:r>
            <w:r w:rsidRPr="00626E1A">
              <w:rPr>
                <w:rFonts w:ascii="Times New Roman" w:hAnsi="Times New Roman"/>
                <w:color w:val="000000"/>
                <w:kern w:val="24"/>
                <w:sz w:val="22"/>
              </w:rPr>
              <w:t>Na</w:t>
            </w:r>
          </w:p>
        </w:tc>
        <w:tc>
          <w:tcPr>
            <w:tcW w:w="943"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0.054</w:t>
            </w:r>
          </w:p>
        </w:tc>
        <w:tc>
          <w:tcPr>
            <w:tcW w:w="943"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-2.48</w:t>
            </w:r>
          </w:p>
        </w:tc>
        <w:tc>
          <w:tcPr>
            <w:tcW w:w="943"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-2.38</w:t>
            </w:r>
          </w:p>
        </w:tc>
      </w:tr>
      <w:tr w:rsidR="00626E1A" w:rsidRPr="00626E1A" w:rsidTr="00C35DE4">
        <w:trPr>
          <w:trHeight w:val="526"/>
        </w:trPr>
        <w:tc>
          <w:tcPr>
            <w:tcW w:w="2711"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C</w:t>
            </w:r>
            <w:r w:rsidRPr="00626E1A">
              <w:rPr>
                <w:rFonts w:ascii="Times New Roman" w:hAnsi="Times New Roman"/>
                <w:color w:val="000000"/>
                <w:kern w:val="24"/>
                <w:position w:val="-6"/>
                <w:sz w:val="22"/>
                <w:vertAlign w:val="subscript"/>
              </w:rPr>
              <w:t>10</w:t>
            </w:r>
            <w:r w:rsidRPr="00626E1A">
              <w:rPr>
                <w:rFonts w:ascii="Times New Roman" w:hAnsi="Times New Roman"/>
                <w:color w:val="000000"/>
                <w:kern w:val="24"/>
                <w:sz w:val="22"/>
              </w:rPr>
              <w:t>-(PO)</w:t>
            </w:r>
            <w:r w:rsidRPr="00626E1A">
              <w:rPr>
                <w:rFonts w:ascii="Times New Roman" w:hAnsi="Times New Roman"/>
                <w:color w:val="000000"/>
                <w:kern w:val="24"/>
                <w:position w:val="-6"/>
                <w:sz w:val="22"/>
                <w:vertAlign w:val="subscript"/>
              </w:rPr>
              <w:t>4</w:t>
            </w:r>
            <w:r w:rsidRPr="00626E1A">
              <w:rPr>
                <w:rFonts w:ascii="Times New Roman" w:hAnsi="Times New Roman"/>
                <w:color w:val="000000"/>
                <w:kern w:val="24"/>
                <w:sz w:val="22"/>
              </w:rPr>
              <w:t>-(EO)</w:t>
            </w:r>
            <w:r w:rsidRPr="00626E1A">
              <w:rPr>
                <w:rFonts w:ascii="Times New Roman" w:hAnsi="Times New Roman"/>
                <w:color w:val="000000"/>
                <w:kern w:val="24"/>
                <w:position w:val="-6"/>
                <w:sz w:val="22"/>
                <w:vertAlign w:val="subscript"/>
              </w:rPr>
              <w:t>1</w:t>
            </w:r>
            <w:r w:rsidRPr="00626E1A">
              <w:rPr>
                <w:rFonts w:ascii="Times New Roman" w:hAnsi="Times New Roman"/>
                <w:color w:val="000000"/>
                <w:kern w:val="24"/>
                <w:sz w:val="22"/>
              </w:rPr>
              <w:t>-SO</w:t>
            </w:r>
            <w:r w:rsidRPr="00626E1A">
              <w:rPr>
                <w:rFonts w:ascii="Times New Roman" w:hAnsi="Times New Roman"/>
                <w:color w:val="000000"/>
                <w:kern w:val="24"/>
                <w:position w:val="-6"/>
                <w:sz w:val="22"/>
                <w:vertAlign w:val="subscript"/>
              </w:rPr>
              <w:t>4</w:t>
            </w:r>
            <w:r w:rsidRPr="00626E1A">
              <w:rPr>
                <w:rFonts w:ascii="Times New Roman" w:hAnsi="Times New Roman"/>
                <w:color w:val="000000"/>
                <w:kern w:val="24"/>
                <w:sz w:val="22"/>
              </w:rPr>
              <w:t>Na</w:t>
            </w:r>
          </w:p>
        </w:tc>
        <w:tc>
          <w:tcPr>
            <w:tcW w:w="943"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0.065</w:t>
            </w:r>
          </w:p>
        </w:tc>
        <w:tc>
          <w:tcPr>
            <w:tcW w:w="943"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-2.22</w:t>
            </w:r>
          </w:p>
        </w:tc>
        <w:tc>
          <w:tcPr>
            <w:tcW w:w="943"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w:t>
            </w:r>
          </w:p>
        </w:tc>
      </w:tr>
      <w:tr w:rsidR="00626E1A" w:rsidRPr="00626E1A" w:rsidTr="00C35DE4">
        <w:trPr>
          <w:trHeight w:val="434"/>
        </w:trPr>
        <w:tc>
          <w:tcPr>
            <w:tcW w:w="2711"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C</w:t>
            </w:r>
            <w:r w:rsidRPr="00626E1A">
              <w:rPr>
                <w:rFonts w:ascii="Times New Roman" w:hAnsi="Times New Roman"/>
                <w:color w:val="000000"/>
                <w:kern w:val="24"/>
                <w:position w:val="-6"/>
                <w:sz w:val="22"/>
                <w:vertAlign w:val="subscript"/>
              </w:rPr>
              <w:t>10</w:t>
            </w:r>
            <w:r w:rsidRPr="00626E1A">
              <w:rPr>
                <w:rFonts w:ascii="Times New Roman" w:hAnsi="Times New Roman"/>
                <w:color w:val="000000"/>
                <w:kern w:val="24"/>
                <w:sz w:val="22"/>
              </w:rPr>
              <w:t>-(PO)</w:t>
            </w:r>
            <w:r w:rsidRPr="00626E1A">
              <w:rPr>
                <w:rFonts w:ascii="Times New Roman" w:hAnsi="Times New Roman"/>
                <w:color w:val="000000"/>
                <w:kern w:val="24"/>
                <w:position w:val="-6"/>
                <w:sz w:val="22"/>
                <w:vertAlign w:val="subscript"/>
              </w:rPr>
              <w:t>4</w:t>
            </w:r>
            <w:r w:rsidRPr="00626E1A">
              <w:rPr>
                <w:rFonts w:ascii="Times New Roman" w:hAnsi="Times New Roman"/>
                <w:color w:val="000000"/>
                <w:kern w:val="24"/>
                <w:sz w:val="22"/>
              </w:rPr>
              <w:t>-SO</w:t>
            </w:r>
            <w:r w:rsidRPr="00626E1A">
              <w:rPr>
                <w:rFonts w:ascii="Times New Roman" w:hAnsi="Times New Roman"/>
                <w:color w:val="000000"/>
                <w:kern w:val="24"/>
                <w:position w:val="-6"/>
                <w:sz w:val="22"/>
                <w:vertAlign w:val="subscript"/>
              </w:rPr>
              <w:t>4</w:t>
            </w:r>
            <w:r w:rsidRPr="00626E1A">
              <w:rPr>
                <w:rFonts w:ascii="Times New Roman" w:hAnsi="Times New Roman"/>
                <w:color w:val="000000"/>
                <w:kern w:val="24"/>
                <w:sz w:val="22"/>
              </w:rPr>
              <w:t>Na</w:t>
            </w:r>
          </w:p>
        </w:tc>
        <w:tc>
          <w:tcPr>
            <w:tcW w:w="943"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0.069</w:t>
            </w:r>
          </w:p>
        </w:tc>
        <w:tc>
          <w:tcPr>
            <w:tcW w:w="943"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-2.15</w:t>
            </w:r>
          </w:p>
        </w:tc>
        <w:tc>
          <w:tcPr>
            <w:tcW w:w="943"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-2.18</w:t>
            </w:r>
          </w:p>
        </w:tc>
      </w:tr>
      <w:tr w:rsidR="00626E1A" w:rsidRPr="00626E1A" w:rsidTr="00C35DE4">
        <w:trPr>
          <w:trHeight w:val="495"/>
        </w:trPr>
        <w:tc>
          <w:tcPr>
            <w:tcW w:w="2711"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C</w:t>
            </w:r>
            <w:r w:rsidRPr="00626E1A">
              <w:rPr>
                <w:rFonts w:ascii="Times New Roman" w:hAnsi="Times New Roman"/>
                <w:color w:val="000000"/>
                <w:kern w:val="24"/>
                <w:position w:val="-6"/>
                <w:sz w:val="22"/>
                <w:vertAlign w:val="subscript"/>
              </w:rPr>
              <w:t>12</w:t>
            </w:r>
            <w:r w:rsidRPr="00626E1A">
              <w:rPr>
                <w:rFonts w:ascii="Times New Roman" w:hAnsi="Times New Roman"/>
                <w:color w:val="000000"/>
                <w:kern w:val="24"/>
                <w:sz w:val="22"/>
              </w:rPr>
              <w:t>-SO4Na</w:t>
            </w:r>
          </w:p>
        </w:tc>
        <w:tc>
          <w:tcPr>
            <w:tcW w:w="943"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0.1</w:t>
            </w:r>
            <w:r>
              <w:rPr>
                <w:rFonts w:ascii="Times New Roman" w:hAnsi="Times New Roman"/>
                <w:color w:val="000000"/>
                <w:kern w:val="24"/>
                <w:sz w:val="22"/>
              </w:rPr>
              <w:fldChar w:fldCharType="begin"/>
            </w:r>
            <w:r w:rsidR="00332C11">
              <w:rPr>
                <w:rFonts w:ascii="Times New Roman" w:hAnsi="Times New Roman"/>
                <w:color w:val="000000"/>
                <w:kern w:val="24"/>
                <w:sz w:val="22"/>
              </w:rPr>
              <w:instrText xml:space="preserve"> ADDIN EN.CITE &lt;EndNote&gt;&lt;Cite&gt;&lt;Author&gt;Hammond&lt;/Author&gt;&lt;Year&gt;2012&lt;/Year&gt;&lt;RecNum&gt;48&lt;/RecNum&gt;&lt;DisplayText&gt;&lt;style face="superscript"&gt;48&lt;/style&gt;&lt;/DisplayText&gt;&lt;record&gt;&lt;rec-number&gt;48&lt;/rec-number&gt;&lt;foreign-keys&gt;&lt;key app="EN" db-id="a5zz9zdsp2tzdiedrdov0ztx9zwzps0patvs" timestamp="1424742091"&gt;48&lt;/key&gt;&lt;/foreign-keys&gt;&lt;ref-type name="Journal Article"&gt;17&lt;/ref-type&gt;&lt;contributors&gt;&lt;authors&gt;&lt;author&gt;Hammond, Charles E&lt;/author&gt;&lt;author&gt;Acosta, Edgar J&lt;/author&gt;&lt;/authors&gt;&lt;/contributors&gt;&lt;titles&gt;&lt;title&gt;On the characteristic curvature of alkyl-polypropylene oxide sulfate extended surfactants&lt;/title&gt;&lt;secondary-title&gt;Journal of Surfactants and Detergents&lt;/secondary-title&gt;&lt;/titles&gt;&lt;periodical&gt;&lt;full-title&gt;Journal of Surfactants and Detergents&lt;/full-title&gt;&lt;/periodical&gt;&lt;pages&gt;157-165&lt;/pages&gt;&lt;volume&gt;15&lt;/volume&gt;&lt;number&gt;2&lt;/number&gt;&lt;dates&gt;&lt;year&gt;2012&lt;/year&gt;&lt;/dates&gt;&lt;isbn&gt;1097-3958&lt;/isbn&gt;&lt;urls&gt;&lt;/urls&gt;&lt;/record&gt;&lt;/Cite&gt;&lt;/EndNote&gt;</w:instrText>
            </w:r>
            <w:r>
              <w:rPr>
                <w:rFonts w:ascii="Times New Roman" w:hAnsi="Times New Roman"/>
                <w:color w:val="000000"/>
                <w:kern w:val="24"/>
                <w:sz w:val="22"/>
              </w:rPr>
              <w:fldChar w:fldCharType="separate"/>
            </w:r>
            <w:r w:rsidR="00332C11" w:rsidRPr="00332C11">
              <w:rPr>
                <w:rFonts w:ascii="Times New Roman" w:hAnsi="Times New Roman"/>
                <w:noProof/>
                <w:color w:val="000000"/>
                <w:kern w:val="24"/>
                <w:sz w:val="22"/>
                <w:vertAlign w:val="superscript"/>
              </w:rPr>
              <w:t>48</w:t>
            </w:r>
            <w:r>
              <w:rPr>
                <w:rFonts w:ascii="Times New Roman" w:hAnsi="Times New Roman"/>
                <w:color w:val="000000"/>
                <w:kern w:val="24"/>
                <w:sz w:val="22"/>
              </w:rPr>
              <w:fldChar w:fldCharType="end"/>
            </w:r>
          </w:p>
        </w:tc>
        <w:tc>
          <w:tcPr>
            <w:tcW w:w="943"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-2.61</w:t>
            </w:r>
          </w:p>
        </w:tc>
        <w:tc>
          <w:tcPr>
            <w:tcW w:w="943" w:type="dxa"/>
            <w:tcBorders>
              <w:top w:val="nil"/>
              <w:left w:val="nil"/>
              <w:bottom w:val="nil"/>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Calibri" w:hAnsi="Calibri" w:cs="Arial"/>
                <w:b/>
                <w:bCs/>
                <w:color w:val="000000"/>
                <w:kern w:val="24"/>
                <w:sz w:val="22"/>
              </w:rPr>
              <w:t>-</w:t>
            </w:r>
          </w:p>
        </w:tc>
      </w:tr>
      <w:tr w:rsidR="00626E1A" w:rsidRPr="00626E1A" w:rsidTr="00C35DE4">
        <w:trPr>
          <w:trHeight w:val="480"/>
        </w:trPr>
        <w:tc>
          <w:tcPr>
            <w:tcW w:w="2711"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C</w:t>
            </w:r>
            <w:r w:rsidRPr="00626E1A">
              <w:rPr>
                <w:rFonts w:ascii="Times New Roman" w:hAnsi="Times New Roman"/>
                <w:color w:val="000000"/>
                <w:kern w:val="24"/>
                <w:position w:val="-6"/>
                <w:sz w:val="22"/>
                <w:vertAlign w:val="subscript"/>
              </w:rPr>
              <w:t>12</w:t>
            </w:r>
            <w:r w:rsidRPr="00626E1A">
              <w:rPr>
                <w:rFonts w:ascii="Times New Roman" w:hAnsi="Times New Roman"/>
                <w:color w:val="000000"/>
                <w:kern w:val="24"/>
                <w:sz w:val="22"/>
              </w:rPr>
              <w:t>-(EO)</w:t>
            </w:r>
            <w:r w:rsidRPr="00626E1A">
              <w:rPr>
                <w:rFonts w:ascii="Times New Roman" w:hAnsi="Times New Roman"/>
                <w:color w:val="000000"/>
                <w:kern w:val="24"/>
                <w:position w:val="-6"/>
                <w:sz w:val="22"/>
                <w:vertAlign w:val="subscript"/>
              </w:rPr>
              <w:t>3</w:t>
            </w:r>
            <w:r w:rsidRPr="00626E1A">
              <w:rPr>
                <w:rFonts w:ascii="Times New Roman" w:hAnsi="Times New Roman"/>
                <w:color w:val="000000"/>
                <w:kern w:val="24"/>
                <w:sz w:val="22"/>
              </w:rPr>
              <w:t>-SO4Na</w:t>
            </w:r>
          </w:p>
        </w:tc>
        <w:tc>
          <w:tcPr>
            <w:tcW w:w="943"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0.06</w:t>
            </w:r>
            <w:r w:rsidR="00C35DE4">
              <w:rPr>
                <w:rFonts w:ascii="Times New Roman" w:hAnsi="Times New Roman"/>
                <w:color w:val="000000"/>
                <w:kern w:val="24"/>
                <w:sz w:val="22"/>
              </w:rPr>
              <w:fldChar w:fldCharType="begin"/>
            </w:r>
            <w:r w:rsidR="00332C11">
              <w:rPr>
                <w:rFonts w:ascii="Times New Roman" w:hAnsi="Times New Roman"/>
                <w:color w:val="000000"/>
                <w:kern w:val="24"/>
                <w:sz w:val="22"/>
              </w:rPr>
              <w:instrText xml:space="preserve"> ADDIN EN.CITE &lt;EndNote&gt;&lt;Cite&gt;&lt;Author&gt;Witthayapanyanon&lt;/Author&gt;&lt;Year&gt;2008&lt;/Year&gt;&lt;RecNum&gt;45&lt;/RecNum&gt;&lt;DisplayText&gt;&lt;style face="superscript"&gt;47&lt;/style&gt;&lt;/DisplayText&gt;&lt;record&gt;&lt;rec-number&gt;45&lt;/rec-number&gt;&lt;foreign-keys&gt;&lt;key app="EN" db-id="a5zz9zdsp2tzdiedrdov0ztx9zwzps0patvs" timestamp="1424741474"&gt;45&lt;/key&gt;&lt;/foreign-keys&gt;&lt;ref-type name="Journal Article"&gt;17&lt;/ref-type&gt;&lt;contributors&gt;&lt;authors&gt;&lt;author&gt;Witthayapanyanon, A&lt;/author&gt;&lt;author&gt;Harwell, JH&lt;/author&gt;&lt;author&gt;Sabatini, DA&lt;/author&gt;&lt;/authors&gt;&lt;/contributors&gt;&lt;titles&gt;&lt;title&gt;Hydrophilic–lipophilic deviation (HLD) method for characterizing conventional and extended surfactants&lt;/title&gt;&lt;secondary-title&gt;Journal of colloid and interface science&lt;/secondary-title&gt;&lt;/titles&gt;&lt;periodical&gt;&lt;full-title&gt;Journal of colloid and interface science&lt;/full-title&gt;&lt;/periodical&gt;&lt;pages&gt;259-266&lt;/pages&gt;&lt;volume&gt;325&lt;/volume&gt;&lt;number&gt;1&lt;/number&gt;&lt;dates&gt;&lt;year&gt;2008&lt;/year&gt;&lt;/dates&gt;&lt;isbn&gt;0021-9797&lt;/isbn&gt;&lt;urls&gt;&lt;/urls&gt;&lt;/record&gt;&lt;/Cite&gt;&lt;/EndNote&gt;</w:instrText>
            </w:r>
            <w:r w:rsidR="00C35DE4">
              <w:rPr>
                <w:rFonts w:ascii="Times New Roman" w:hAnsi="Times New Roman"/>
                <w:color w:val="000000"/>
                <w:kern w:val="24"/>
                <w:sz w:val="22"/>
              </w:rPr>
              <w:fldChar w:fldCharType="separate"/>
            </w:r>
            <w:r w:rsidR="00332C11" w:rsidRPr="00332C11">
              <w:rPr>
                <w:rFonts w:ascii="Times New Roman" w:hAnsi="Times New Roman"/>
                <w:noProof/>
                <w:color w:val="000000"/>
                <w:kern w:val="24"/>
                <w:sz w:val="22"/>
                <w:vertAlign w:val="superscript"/>
              </w:rPr>
              <w:t>47</w:t>
            </w:r>
            <w:r w:rsidR="00C35DE4">
              <w:rPr>
                <w:rFonts w:ascii="Times New Roman" w:hAnsi="Times New Roman"/>
                <w:color w:val="000000"/>
                <w:kern w:val="24"/>
                <w:sz w:val="22"/>
              </w:rPr>
              <w:fldChar w:fldCharType="end"/>
            </w:r>
          </w:p>
        </w:tc>
        <w:tc>
          <w:tcPr>
            <w:tcW w:w="943"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Times New Roman" w:hAnsi="Times New Roman"/>
                <w:color w:val="000000"/>
                <w:kern w:val="24"/>
                <w:sz w:val="22"/>
              </w:rPr>
              <w:t>-2.89</w:t>
            </w:r>
          </w:p>
        </w:tc>
        <w:tc>
          <w:tcPr>
            <w:tcW w:w="943"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626E1A" w:rsidRPr="00626E1A" w:rsidRDefault="00626E1A" w:rsidP="00697AF7">
            <w:pPr>
              <w:spacing w:line="240" w:lineRule="auto"/>
              <w:jc w:val="center"/>
              <w:textAlignment w:val="bottom"/>
              <w:rPr>
                <w:rFonts w:ascii="Arial" w:hAnsi="Arial" w:cs="Arial"/>
                <w:sz w:val="22"/>
                <w:szCs w:val="36"/>
              </w:rPr>
            </w:pPr>
            <w:r w:rsidRPr="00626E1A">
              <w:rPr>
                <w:rFonts w:ascii="Calibri" w:hAnsi="Calibri" w:cs="Arial"/>
                <w:b/>
                <w:bCs/>
                <w:color w:val="000000"/>
                <w:kern w:val="24"/>
                <w:sz w:val="22"/>
              </w:rPr>
              <w:t> -</w:t>
            </w:r>
          </w:p>
        </w:tc>
      </w:tr>
    </w:tbl>
    <w:p w:rsidR="00626E1A" w:rsidRPr="003E2D46" w:rsidRDefault="00626E1A" w:rsidP="003E2D46">
      <w:pPr>
        <w:jc w:val="both"/>
        <w:rPr>
          <w:lang w:bidi="en-US"/>
        </w:rPr>
      </w:pPr>
    </w:p>
    <w:p w:rsidR="00626E1A" w:rsidRDefault="00626E1A" w:rsidP="003E2D46">
      <w:pPr>
        <w:jc w:val="both"/>
        <w:rPr>
          <w:lang w:bidi="en-US"/>
        </w:rPr>
      </w:pPr>
    </w:p>
    <w:p w:rsidR="00626E1A" w:rsidRDefault="00626E1A" w:rsidP="003E2D46">
      <w:pPr>
        <w:jc w:val="both"/>
        <w:rPr>
          <w:lang w:bidi="en-US"/>
        </w:rPr>
      </w:pPr>
    </w:p>
    <w:p w:rsidR="00626E1A" w:rsidRDefault="00626E1A" w:rsidP="003E2D46">
      <w:pPr>
        <w:jc w:val="both"/>
        <w:rPr>
          <w:lang w:bidi="en-US"/>
        </w:rPr>
      </w:pPr>
    </w:p>
    <w:p w:rsidR="00626E1A" w:rsidRDefault="00626E1A" w:rsidP="003E2D46">
      <w:pPr>
        <w:jc w:val="both"/>
        <w:rPr>
          <w:lang w:bidi="en-US"/>
        </w:rPr>
      </w:pPr>
    </w:p>
    <w:p w:rsidR="00626E1A" w:rsidRDefault="00626E1A" w:rsidP="003E2D46">
      <w:pPr>
        <w:jc w:val="both"/>
        <w:rPr>
          <w:lang w:bidi="en-US"/>
        </w:rPr>
      </w:pPr>
    </w:p>
    <w:p w:rsidR="00626E1A" w:rsidRDefault="00626E1A" w:rsidP="003E2D46">
      <w:pPr>
        <w:jc w:val="both"/>
        <w:rPr>
          <w:lang w:bidi="en-US"/>
        </w:rPr>
      </w:pPr>
    </w:p>
    <w:p w:rsidR="003E2D46" w:rsidRPr="003E2D46" w:rsidRDefault="003E2D46" w:rsidP="003E2D46">
      <w:pPr>
        <w:jc w:val="both"/>
        <w:rPr>
          <w:lang w:bidi="en-US"/>
        </w:rPr>
      </w:pPr>
      <w:r w:rsidRPr="003E2D46">
        <w:rPr>
          <w:lang w:bidi="en-US"/>
        </w:rPr>
        <w:t>The Cc-value provides insight into the h</w:t>
      </w:r>
      <w:r w:rsidR="00F32707">
        <w:rPr>
          <w:lang w:bidi="en-US"/>
        </w:rPr>
        <w:t>ydrophobicity of the surfactant</w:t>
      </w:r>
      <w:r w:rsidRPr="003E2D46">
        <w:rPr>
          <w:lang w:bidi="en-US"/>
        </w:rPr>
        <w:fldChar w:fldCharType="begin"/>
      </w:r>
      <w:r w:rsidR="00332C11">
        <w:rPr>
          <w:lang w:bidi="en-US"/>
        </w:rPr>
        <w:instrText xml:space="preserve"> ADDIN EN.CITE &lt;EndNote&gt;&lt;Cite&gt;&lt;Author&gt;Hammond&lt;/Author&gt;&lt;Year&gt;2012&lt;/Year&gt;&lt;RecNum&gt;48&lt;/RecNum&gt;&lt;DisplayText&gt;&lt;style face="superscript"&gt;47-48&lt;/style&gt;&lt;/DisplayText&gt;&lt;record&gt;&lt;rec-number&gt;48&lt;/rec-number&gt;&lt;foreign-keys&gt;&lt;key app="EN" db-id="a5zz9zdsp2tzdiedrdov0ztx9zwzps0patvs" timestamp="1424742091"&gt;48&lt;/key&gt;&lt;/foreign-keys&gt;&lt;ref-type name="Journal Article"&gt;17&lt;/ref-type&gt;&lt;contributors&gt;&lt;authors&gt;&lt;author&gt;Hammond, Charles E&lt;/author&gt;&lt;author&gt;Acosta, Edgar J&lt;/author&gt;&lt;/authors&gt;&lt;/contributors&gt;&lt;titles&gt;&lt;title&gt;On the characteristic curvature of alkyl-polypropylene oxide sulfate extended surfactants&lt;/title&gt;&lt;secondary-title&gt;Journal of Surfactants and Detergents&lt;/secondary-title&gt;&lt;/titles&gt;&lt;periodical&gt;&lt;full-title&gt;Journal of Surfactants and Detergents&lt;/full-title&gt;&lt;/periodical&gt;&lt;pages&gt;157-165&lt;/pages&gt;&lt;volume&gt;15&lt;/volume&gt;&lt;number&gt;2&lt;/number&gt;&lt;dates&gt;&lt;year&gt;2012&lt;/year&gt;&lt;/dates&gt;&lt;isbn&gt;1097-3958&lt;/isbn&gt;&lt;urls&gt;&lt;/urls&gt;&lt;/record&gt;&lt;/Cite&gt;&lt;Cite&gt;&lt;Author&gt;Witthayapanyanon&lt;/Author&gt;&lt;Year&gt;2008&lt;/Year&gt;&lt;RecNum&gt;45&lt;/RecNum&gt;&lt;record&gt;&lt;rec-number&gt;45&lt;/rec-number&gt;&lt;foreign-keys&gt;&lt;key app="EN" db-id="a5zz9zdsp2tzdiedrdov0ztx9zwzps0patvs" timestamp="1424741474"&gt;45&lt;/key&gt;&lt;/foreign-keys&gt;&lt;ref-type name="Journal Article"&gt;17&lt;/ref-type&gt;&lt;contributors&gt;&lt;authors&gt;&lt;author&gt;Witthayapanyanon, A&lt;/author&gt;&lt;author&gt;Harwell, JH&lt;/author&gt;&lt;author&gt;Sabatini, DA&lt;/author&gt;&lt;/authors&gt;&lt;/contributors&gt;&lt;titles&gt;&lt;title&gt;Hydrophilic–lipophilic deviation (HLD) method for characterizing conventional and extended surfactants&lt;/title&gt;&lt;secondary-title&gt;Journal of colloid and interface science&lt;/secondary-title&gt;&lt;/titles&gt;&lt;periodical&gt;&lt;full-title&gt;Journal of colloid and interface science&lt;/full-title&gt;&lt;/periodical&gt;&lt;pages&gt;259-266&lt;/pages&gt;&lt;volume&gt;325&lt;/volume&gt;&lt;number&gt;1&lt;/number&gt;&lt;dates&gt;&lt;year&gt;2008&lt;/year&gt;&lt;/dates&gt;&lt;isbn&gt;0021-9797&lt;/isbn&gt;&lt;urls&gt;&lt;/urls&gt;&lt;/record&gt;&lt;/Cite&gt;&lt;/EndNote&gt;</w:instrText>
      </w:r>
      <w:r w:rsidRPr="003E2D46">
        <w:rPr>
          <w:lang w:bidi="en-US"/>
        </w:rPr>
        <w:fldChar w:fldCharType="separate"/>
      </w:r>
      <w:r w:rsidR="00332C11" w:rsidRPr="00332C11">
        <w:rPr>
          <w:noProof/>
          <w:vertAlign w:val="superscript"/>
          <w:lang w:bidi="en-US"/>
        </w:rPr>
        <w:t>47-48</w:t>
      </w:r>
      <w:r w:rsidRPr="003E2D46">
        <w:rPr>
          <w:lang w:bidi="en-US"/>
        </w:rPr>
        <w:fldChar w:fldCharType="end"/>
      </w:r>
      <w:r w:rsidRPr="003E2D46">
        <w:rPr>
          <w:lang w:bidi="en-US"/>
        </w:rPr>
        <w:t xml:space="preserve">. Surfactants with negative Cc-values have a tendency to form a Type I microemulsion, whereas surfactants with positive Cc-values are more inclined </w:t>
      </w:r>
      <w:r w:rsidR="00F32707">
        <w:rPr>
          <w:lang w:bidi="en-US"/>
        </w:rPr>
        <w:t>to form a Type II microemulsion</w:t>
      </w:r>
      <w:r w:rsidRPr="003E2D46">
        <w:rPr>
          <w:lang w:bidi="en-US"/>
        </w:rPr>
        <w:fldChar w:fldCharType="begin"/>
      </w:r>
      <w:r w:rsidR="00332C11">
        <w:rPr>
          <w:lang w:bidi="en-US"/>
        </w:rPr>
        <w:instrText xml:space="preserve"> ADDIN EN.CITE &lt;EndNote&gt;&lt;Cite&gt;&lt;Author&gt;Hammond&lt;/Author&gt;&lt;Year&gt;2012&lt;/Year&gt;&lt;RecNum&gt;48&lt;/RecNum&gt;&lt;DisplayText&gt;&lt;style face="superscript"&gt;48&lt;/style&gt;&lt;/DisplayText&gt;&lt;record&gt;&lt;rec-number&gt;48&lt;/rec-number&gt;&lt;foreign-keys&gt;&lt;key app="EN" db-id="a5zz9zdsp2tzdiedrdov0ztx9zwzps0patvs" timestamp="1424742091"&gt;48&lt;/key&gt;&lt;/foreign-keys&gt;&lt;ref-type name="Journal Article"&gt;17&lt;/ref-type&gt;&lt;contributors&gt;&lt;authors&gt;&lt;author&gt;Hammond, Charles E&lt;/author&gt;&lt;author&gt;Acosta, Edgar J&lt;/author&gt;&lt;/authors&gt;&lt;/contributors&gt;&lt;titles&gt;&lt;title&gt;On the characteristic curvature of alkyl-polypropylene oxide sulfate extended surfactants&lt;/title&gt;&lt;secondary-title&gt;Journal of Surfactants and Detergents&lt;/secondary-title&gt;&lt;/titles&gt;&lt;periodical&gt;&lt;full-title&gt;Journal of Surfactants and Detergents&lt;/full-title&gt;&lt;/periodical&gt;&lt;pages&gt;157-165&lt;/pages&gt;&lt;volume&gt;15&lt;/volume&gt;&lt;number&gt;2&lt;/number&gt;&lt;dates&gt;&lt;year&gt;2012&lt;/year&gt;&lt;/dates&gt;&lt;isbn&gt;1097-3958&lt;/isbn&gt;&lt;urls&gt;&lt;/urls&gt;&lt;/record&gt;&lt;/Cite&gt;&lt;/EndNote&gt;</w:instrText>
      </w:r>
      <w:r w:rsidRPr="003E2D46">
        <w:rPr>
          <w:lang w:bidi="en-US"/>
        </w:rPr>
        <w:fldChar w:fldCharType="separate"/>
      </w:r>
      <w:r w:rsidR="00332C11" w:rsidRPr="00332C11">
        <w:rPr>
          <w:noProof/>
          <w:vertAlign w:val="superscript"/>
          <w:lang w:bidi="en-US"/>
        </w:rPr>
        <w:t>48</w:t>
      </w:r>
      <w:r w:rsidRPr="003E2D46">
        <w:rPr>
          <w:lang w:bidi="en-US"/>
        </w:rPr>
        <w:fldChar w:fldCharType="end"/>
      </w:r>
      <w:r w:rsidRPr="003E2D46">
        <w:rPr>
          <w:lang w:bidi="en-US"/>
        </w:rPr>
        <w:t>. Shown in Table 5 are the K-values, Cc-values, and Cc*- values determined for the surfactants that are studied in this work. The surfactants with the longer, C</w:t>
      </w:r>
      <w:r w:rsidRPr="003E2D46">
        <w:rPr>
          <w:vertAlign w:val="subscript"/>
          <w:lang w:bidi="en-US"/>
        </w:rPr>
        <w:t>10</w:t>
      </w:r>
      <w:r w:rsidRPr="003E2D46">
        <w:rPr>
          <w:lang w:bidi="en-US"/>
        </w:rPr>
        <w:t>, carbon chain have less negative Cc-values than surfactants with shorter, C</w:t>
      </w:r>
      <w:r w:rsidRPr="003E2D46">
        <w:rPr>
          <w:vertAlign w:val="subscript"/>
          <w:lang w:bidi="en-US"/>
        </w:rPr>
        <w:t>8</w:t>
      </w:r>
      <w:r w:rsidRPr="003E2D46">
        <w:rPr>
          <w:lang w:bidi="en-US"/>
        </w:rPr>
        <w:t>, carbon chains. The reason for the less negative Cc-values of the C</w:t>
      </w:r>
      <w:r w:rsidRPr="003E2D46">
        <w:rPr>
          <w:vertAlign w:val="subscript"/>
          <w:lang w:bidi="en-US"/>
        </w:rPr>
        <w:t xml:space="preserve">10 </w:t>
      </w:r>
      <w:r w:rsidRPr="003E2D46">
        <w:rPr>
          <w:lang w:bidi="en-US"/>
        </w:rPr>
        <w:t>surfactants, relative to the C</w:t>
      </w:r>
      <w:r w:rsidRPr="003E2D46">
        <w:rPr>
          <w:vertAlign w:val="subscript"/>
          <w:lang w:bidi="en-US"/>
        </w:rPr>
        <w:t>8</w:t>
      </w:r>
      <w:r w:rsidRPr="003E2D46">
        <w:rPr>
          <w:lang w:bidi="en-US"/>
        </w:rPr>
        <w:t xml:space="preserve"> surfactants, is due </w:t>
      </w:r>
      <w:r w:rsidRPr="003E2D46">
        <w:rPr>
          <w:lang w:bidi="en-US"/>
        </w:rPr>
        <w:lastRenderedPageBreak/>
        <w:t>to the increase in carbon chain length which increases the hydrophobicity of a surfactant Table 5 also shows the addition of one EO to the extended surfactants doesn’t have any significant effect on Cc-values. It is observed in Table 5 that both C</w:t>
      </w:r>
      <w:r w:rsidRPr="003E2D46">
        <w:rPr>
          <w:vertAlign w:val="subscript"/>
          <w:lang w:bidi="en-US"/>
        </w:rPr>
        <w:t>8</w:t>
      </w:r>
      <w:r w:rsidRPr="003E2D46">
        <w:rPr>
          <w:lang w:bidi="en-US"/>
        </w:rPr>
        <w:t>-(PO)</w:t>
      </w:r>
      <w:r w:rsidRPr="003E2D46">
        <w:rPr>
          <w:vertAlign w:val="subscript"/>
          <w:lang w:bidi="en-US"/>
        </w:rPr>
        <w:t>4</w:t>
      </w:r>
      <w:r w:rsidRPr="003E2D46">
        <w:rPr>
          <w:lang w:bidi="en-US"/>
        </w:rPr>
        <w:t>-SO</w:t>
      </w:r>
      <w:r w:rsidRPr="003E2D46">
        <w:rPr>
          <w:vertAlign w:val="subscript"/>
          <w:lang w:bidi="en-US"/>
        </w:rPr>
        <w:t>4</w:t>
      </w:r>
      <w:r w:rsidRPr="003E2D46">
        <w:rPr>
          <w:lang w:bidi="en-US"/>
        </w:rPr>
        <w:t xml:space="preserve">Na and </w:t>
      </w:r>
      <w:bookmarkStart w:id="36" w:name="OLE_LINK1"/>
      <w:bookmarkStart w:id="37" w:name="OLE_LINK2"/>
      <w:bookmarkStart w:id="38" w:name="OLE_LINK3"/>
      <w:r w:rsidRPr="003E2D46">
        <w:rPr>
          <w:lang w:bidi="en-US"/>
        </w:rPr>
        <w:t>C</w:t>
      </w:r>
      <w:r w:rsidRPr="003E2D46">
        <w:rPr>
          <w:vertAlign w:val="subscript"/>
          <w:lang w:bidi="en-US"/>
        </w:rPr>
        <w:t>8</w:t>
      </w:r>
      <w:r w:rsidR="004D3D1F">
        <w:rPr>
          <w:lang w:bidi="en-US"/>
        </w:rPr>
        <w:t>-(P</w:t>
      </w:r>
      <w:r w:rsidRPr="003E2D46">
        <w:rPr>
          <w:lang w:bidi="en-US"/>
        </w:rPr>
        <w:t>O)</w:t>
      </w:r>
      <w:r w:rsidR="004D3D1F">
        <w:rPr>
          <w:vertAlign w:val="subscript"/>
          <w:lang w:bidi="en-US"/>
        </w:rPr>
        <w:t>4</w:t>
      </w:r>
      <w:r w:rsidR="004D3D1F">
        <w:rPr>
          <w:lang w:bidi="en-US"/>
        </w:rPr>
        <w:t>-(E</w:t>
      </w:r>
      <w:r w:rsidRPr="003E2D46">
        <w:rPr>
          <w:lang w:bidi="en-US"/>
        </w:rPr>
        <w:t>O)</w:t>
      </w:r>
      <w:r w:rsidR="004D3D1F">
        <w:rPr>
          <w:vertAlign w:val="subscript"/>
          <w:lang w:bidi="en-US"/>
        </w:rPr>
        <w:t>1</w:t>
      </w:r>
      <w:r w:rsidRPr="003E2D46">
        <w:rPr>
          <w:lang w:bidi="en-US"/>
        </w:rPr>
        <w:t>-</w:t>
      </w:r>
      <w:bookmarkEnd w:id="36"/>
      <w:bookmarkEnd w:id="37"/>
      <w:bookmarkEnd w:id="38"/>
      <w:r w:rsidRPr="003E2D46">
        <w:rPr>
          <w:lang w:bidi="en-US"/>
        </w:rPr>
        <w:t>SO</w:t>
      </w:r>
      <w:r w:rsidRPr="003E2D46">
        <w:rPr>
          <w:vertAlign w:val="subscript"/>
          <w:lang w:bidi="en-US"/>
        </w:rPr>
        <w:t>4</w:t>
      </w:r>
      <w:r w:rsidRPr="003E2D46">
        <w:rPr>
          <w:lang w:bidi="en-US"/>
        </w:rPr>
        <w:t>Na exhibit similar Cc-values, -2.48 and -2.47 respectively, while the Cc of C</w:t>
      </w:r>
      <w:r w:rsidRPr="003E2D46">
        <w:rPr>
          <w:vertAlign w:val="subscript"/>
          <w:lang w:bidi="en-US"/>
        </w:rPr>
        <w:t>10</w:t>
      </w:r>
      <w:r w:rsidRPr="003E2D46">
        <w:rPr>
          <w:lang w:bidi="en-US"/>
        </w:rPr>
        <w:t>-(PO)</w:t>
      </w:r>
      <w:r w:rsidRPr="003E2D46">
        <w:rPr>
          <w:vertAlign w:val="subscript"/>
          <w:lang w:bidi="en-US"/>
        </w:rPr>
        <w:t>4</w:t>
      </w:r>
      <w:r w:rsidRPr="003E2D46">
        <w:rPr>
          <w:lang w:bidi="en-US"/>
        </w:rPr>
        <w:t>-SO</w:t>
      </w:r>
      <w:r w:rsidRPr="003E2D46">
        <w:rPr>
          <w:vertAlign w:val="subscript"/>
          <w:lang w:bidi="en-US"/>
        </w:rPr>
        <w:t>4</w:t>
      </w:r>
      <w:r w:rsidRPr="003E2D46">
        <w:rPr>
          <w:lang w:bidi="en-US"/>
        </w:rPr>
        <w:t>Na is -2.15 and is slightly more positive compared to -2.22 for C</w:t>
      </w:r>
      <w:r w:rsidRPr="003E2D46">
        <w:rPr>
          <w:vertAlign w:val="subscript"/>
          <w:lang w:bidi="en-US"/>
        </w:rPr>
        <w:t>10</w:t>
      </w:r>
      <w:r w:rsidR="004D3D1F">
        <w:rPr>
          <w:lang w:bidi="en-US"/>
        </w:rPr>
        <w:t>-(P</w:t>
      </w:r>
      <w:r w:rsidRPr="003E2D46">
        <w:rPr>
          <w:lang w:bidi="en-US"/>
        </w:rPr>
        <w:t>O)</w:t>
      </w:r>
      <w:r w:rsidR="004D3D1F">
        <w:rPr>
          <w:vertAlign w:val="subscript"/>
          <w:lang w:bidi="en-US"/>
        </w:rPr>
        <w:t>4</w:t>
      </w:r>
      <w:r w:rsidR="004D3D1F">
        <w:rPr>
          <w:lang w:bidi="en-US"/>
        </w:rPr>
        <w:t>-(E</w:t>
      </w:r>
      <w:r w:rsidRPr="003E2D46">
        <w:rPr>
          <w:lang w:bidi="en-US"/>
        </w:rPr>
        <w:t>O)</w:t>
      </w:r>
      <w:r w:rsidR="004D3D1F">
        <w:rPr>
          <w:vertAlign w:val="subscript"/>
          <w:lang w:bidi="en-US"/>
        </w:rPr>
        <w:t>1</w:t>
      </w:r>
      <w:r w:rsidRPr="003E2D46">
        <w:rPr>
          <w:lang w:bidi="en-US"/>
        </w:rPr>
        <w:t>-SO</w:t>
      </w:r>
      <w:r w:rsidRPr="003E2D46">
        <w:rPr>
          <w:vertAlign w:val="subscript"/>
          <w:lang w:bidi="en-US"/>
        </w:rPr>
        <w:t>4</w:t>
      </w:r>
      <w:r w:rsidRPr="003E2D46">
        <w:rPr>
          <w:lang w:bidi="en-US"/>
        </w:rPr>
        <w:t>Na. However, the difference in Cc-values of C</w:t>
      </w:r>
      <w:r w:rsidRPr="003E2D46">
        <w:rPr>
          <w:vertAlign w:val="subscript"/>
          <w:lang w:bidi="en-US"/>
        </w:rPr>
        <w:t>10</w:t>
      </w:r>
      <w:r w:rsidRPr="003E2D46">
        <w:rPr>
          <w:lang w:bidi="en-US"/>
        </w:rPr>
        <w:t>-(PO)</w:t>
      </w:r>
      <w:r w:rsidRPr="003E2D46">
        <w:rPr>
          <w:vertAlign w:val="subscript"/>
          <w:lang w:bidi="en-US"/>
        </w:rPr>
        <w:t>4</w:t>
      </w:r>
      <w:r w:rsidRPr="003E2D46">
        <w:rPr>
          <w:lang w:bidi="en-US"/>
        </w:rPr>
        <w:t>-SO</w:t>
      </w:r>
      <w:r w:rsidRPr="003E2D46">
        <w:rPr>
          <w:vertAlign w:val="subscript"/>
          <w:lang w:bidi="en-US"/>
        </w:rPr>
        <w:t>4</w:t>
      </w:r>
      <w:r w:rsidRPr="003E2D46">
        <w:rPr>
          <w:lang w:bidi="en-US"/>
        </w:rPr>
        <w:t>Na and C</w:t>
      </w:r>
      <w:r w:rsidRPr="003E2D46">
        <w:rPr>
          <w:vertAlign w:val="subscript"/>
          <w:lang w:bidi="en-US"/>
        </w:rPr>
        <w:t>10</w:t>
      </w:r>
      <w:r w:rsidR="004D3D1F">
        <w:rPr>
          <w:lang w:bidi="en-US"/>
        </w:rPr>
        <w:t>-(P</w:t>
      </w:r>
      <w:r w:rsidRPr="003E2D46">
        <w:rPr>
          <w:lang w:bidi="en-US"/>
        </w:rPr>
        <w:t>O)</w:t>
      </w:r>
      <w:r w:rsidR="004D3D1F">
        <w:rPr>
          <w:vertAlign w:val="subscript"/>
          <w:lang w:bidi="en-US"/>
        </w:rPr>
        <w:t>4</w:t>
      </w:r>
      <w:r w:rsidR="004D3D1F">
        <w:rPr>
          <w:lang w:bidi="en-US"/>
        </w:rPr>
        <w:t>-(E</w:t>
      </w:r>
      <w:r w:rsidRPr="003E2D46">
        <w:rPr>
          <w:lang w:bidi="en-US"/>
        </w:rPr>
        <w:t>O)</w:t>
      </w:r>
      <w:r w:rsidR="004D3D1F">
        <w:rPr>
          <w:vertAlign w:val="subscript"/>
          <w:lang w:bidi="en-US"/>
        </w:rPr>
        <w:t>1</w:t>
      </w:r>
      <w:r w:rsidRPr="003E2D46">
        <w:rPr>
          <w:lang w:bidi="en-US"/>
        </w:rPr>
        <w:t>-SO</w:t>
      </w:r>
      <w:r w:rsidRPr="003E2D46">
        <w:rPr>
          <w:vertAlign w:val="subscript"/>
          <w:lang w:bidi="en-US"/>
        </w:rPr>
        <w:t>4</w:t>
      </w:r>
      <w:r w:rsidR="004D3D1F">
        <w:rPr>
          <w:lang w:bidi="en-US"/>
        </w:rPr>
        <w:t>Na is less than 1</w:t>
      </w:r>
      <w:r w:rsidRPr="003E2D46">
        <w:rPr>
          <w:lang w:bidi="en-US"/>
        </w:rPr>
        <w:t xml:space="preserve">% and is acceptable given the error in measurements and the assumptions that has been made. This observation shows that the effect of EO on Cc-value of an extended surfactant is inconclusive as the addition of a single EO group does not affect the Cc significantly.  </w:t>
      </w:r>
    </w:p>
    <w:p w:rsidR="00870B1E" w:rsidRDefault="003E2D46" w:rsidP="003E2D46">
      <w:pPr>
        <w:jc w:val="both"/>
        <w:rPr>
          <w:lang w:bidi="en-US"/>
        </w:rPr>
      </w:pPr>
      <w:r w:rsidRPr="003E2D46">
        <w:rPr>
          <w:lang w:bidi="en-US"/>
        </w:rPr>
        <w:t xml:space="preserve">The Cc-values of extended surfactants calculated in this work can be compared with the predicted Cc-value that are obtained by using a group contribution model.  Salager </w:t>
      </w:r>
      <w:r w:rsidR="00F32707">
        <w:rPr>
          <w:i/>
          <w:lang w:bidi="en-US"/>
        </w:rPr>
        <w:t>et al.</w:t>
      </w:r>
      <w:r w:rsidRPr="003E2D46">
        <w:rPr>
          <w:lang w:bidi="en-US"/>
        </w:rPr>
        <w:fldChar w:fldCharType="begin"/>
      </w:r>
      <w:r w:rsidR="00332C11">
        <w:rPr>
          <w:lang w:bidi="en-US"/>
        </w:rPr>
        <w:instrText xml:space="preserve"> ADDIN EN.CITE &lt;EndNote&gt;&lt;Cite&gt;&lt;Author&gt;Antón&lt;/Author&gt;&lt;Year&gt;1992&lt;/Year&gt;&lt;RecNum&gt;72&lt;/RecNum&gt;&lt;DisplayText&gt;&lt;style face="superscript"&gt;52&lt;/style&gt;&lt;/DisplayText&gt;&lt;record&gt;&lt;rec-number&gt;72&lt;/rec-number&gt;&lt;foreign-keys&gt;&lt;key app="EN" db-id="a5zz9zdsp2tzdiedrdov0ztx9zwzps0patvs" timestamp="1425608536"&gt;72&lt;/key&gt;&lt;/foreign-keys&gt;&lt;ref-type name="Journal Article"&gt;17&lt;/ref-type&gt;&lt;contributors&gt;&lt;authors&gt;&lt;author&gt;Antón, RE&lt;/author&gt;&lt;author&gt;Graciaa, A&lt;/author&gt;&lt;author&gt;Lachaise, J&lt;/author&gt;&lt;author&gt;Salager, JL&lt;/author&gt;&lt;/authors&gt;&lt;/contributors&gt;&lt;titles&gt;&lt;title&gt;Surfactant-oil-water systems near the affinity inversion part viii: optimum formulation and phase behavior of mixed anionic-nonionic systems versus temperature&lt;/title&gt;&lt;secondary-title&gt;Journal of dispersion science and technology&lt;/secondary-title&gt;&lt;/titles&gt;&lt;periodical&gt;&lt;full-title&gt;Journal of dispersion science and technology&lt;/full-title&gt;&lt;/periodical&gt;&lt;pages&gt;565-579&lt;/pages&gt;&lt;volume&gt;13&lt;/volume&gt;&lt;number&gt;5&lt;/number&gt;&lt;dates&gt;&lt;year&gt;1992&lt;/year&gt;&lt;/dates&gt;&lt;isbn&gt;0193-2691&lt;/isbn&gt;&lt;urls&gt;&lt;/urls&gt;&lt;/record&gt;&lt;/Cite&gt;&lt;/EndNote&gt;</w:instrText>
      </w:r>
      <w:r w:rsidRPr="003E2D46">
        <w:rPr>
          <w:lang w:bidi="en-US"/>
        </w:rPr>
        <w:fldChar w:fldCharType="separate"/>
      </w:r>
      <w:r w:rsidR="00332C11" w:rsidRPr="00332C11">
        <w:rPr>
          <w:noProof/>
          <w:vertAlign w:val="superscript"/>
          <w:lang w:bidi="en-US"/>
        </w:rPr>
        <w:t>52</w:t>
      </w:r>
      <w:r w:rsidRPr="003E2D46">
        <w:rPr>
          <w:lang w:bidi="en-US"/>
        </w:rPr>
        <w:fldChar w:fldCharType="end"/>
      </w:r>
      <w:r w:rsidRPr="003E2D46">
        <w:rPr>
          <w:lang w:bidi="en-US"/>
        </w:rPr>
        <w:t xml:space="preserve">  proposed such a model and later on, Hammond </w:t>
      </w:r>
      <w:r w:rsidR="00F32707">
        <w:rPr>
          <w:i/>
          <w:lang w:bidi="en-US"/>
        </w:rPr>
        <w:t>et al.</w:t>
      </w:r>
      <w:r w:rsidRPr="003E2D46">
        <w:rPr>
          <w:lang w:bidi="en-US"/>
        </w:rPr>
        <w:fldChar w:fldCharType="begin"/>
      </w:r>
      <w:r w:rsidR="00332C11">
        <w:rPr>
          <w:lang w:bidi="en-US"/>
        </w:rPr>
        <w:instrText xml:space="preserve"> ADDIN EN.CITE &lt;EndNote&gt;&lt;Cite&gt;&lt;Author&gt;Hammond&lt;/Author&gt;&lt;Year&gt;2012&lt;/Year&gt;&lt;RecNum&gt;48&lt;/RecNum&gt;&lt;DisplayText&gt;&lt;style face="superscript"&gt;48&lt;/style&gt;&lt;/DisplayText&gt;&lt;record&gt;&lt;rec-number&gt;48&lt;/rec-number&gt;&lt;foreign-keys&gt;&lt;key app="EN" db-id="a5zz9zdsp2tzdiedrdov0ztx9zwzps0patvs" timestamp="1424742091"&gt;48&lt;/key&gt;&lt;/foreign-keys&gt;&lt;ref-type name="Journal Article"&gt;17&lt;/ref-type&gt;&lt;contributors&gt;&lt;authors&gt;&lt;author&gt;Hammond, Charles E&lt;/author&gt;&lt;author&gt;Acosta, Edgar J&lt;/author&gt;&lt;/authors&gt;&lt;/contributors&gt;&lt;titles&gt;&lt;title&gt;On the characteristic curvature of alkyl-polypropylene oxide sulfate extended surfactants&lt;/title&gt;&lt;secondary-title&gt;Journal of Surfactants and Detergents&lt;/secondary-title&gt;&lt;/titles&gt;&lt;periodical&gt;&lt;full-title&gt;Journal of Surfactants and Detergents&lt;/full-title&gt;&lt;/periodical&gt;&lt;pages&gt;157-165&lt;/pages&gt;&lt;volume&gt;15&lt;/volume&gt;&lt;number&gt;2&lt;/number&gt;&lt;dates&gt;&lt;year&gt;2012&lt;/year&gt;&lt;/dates&gt;&lt;isbn&gt;1097-3958&lt;/isbn&gt;&lt;urls&gt;&lt;/urls&gt;&lt;/record&gt;&lt;/Cite&gt;&lt;/EndNote&gt;</w:instrText>
      </w:r>
      <w:r w:rsidRPr="003E2D46">
        <w:rPr>
          <w:lang w:bidi="en-US"/>
        </w:rPr>
        <w:fldChar w:fldCharType="separate"/>
      </w:r>
      <w:r w:rsidR="00332C11" w:rsidRPr="00332C11">
        <w:rPr>
          <w:noProof/>
          <w:vertAlign w:val="superscript"/>
          <w:lang w:bidi="en-US"/>
        </w:rPr>
        <w:t>48</w:t>
      </w:r>
      <w:r w:rsidRPr="003E2D46">
        <w:rPr>
          <w:lang w:bidi="en-US"/>
        </w:rPr>
        <w:fldChar w:fldCharType="end"/>
      </w:r>
      <w:r w:rsidRPr="003E2D46">
        <w:rPr>
          <w:lang w:bidi="en-US"/>
        </w:rPr>
        <w:t xml:space="preserve"> expanded the model to take into account the geometric shape of the surfactant tail, adding a contribution of surfactant tail branching to the model. It is unknown if the carbon tail structure of the tested extended surfactants is linear or branched, the carbon tail is assumed  linear and the group contribution model is used to predict the Cc values marked as Cc* in Table 5.  The predicted Cc-values, -2.38 and -2.18 for C</w:t>
      </w:r>
      <w:r w:rsidRPr="003E2D46">
        <w:rPr>
          <w:vertAlign w:val="subscript"/>
          <w:lang w:bidi="en-US"/>
        </w:rPr>
        <w:t>8</w:t>
      </w:r>
      <w:r w:rsidRPr="003E2D46">
        <w:rPr>
          <w:lang w:bidi="en-US"/>
        </w:rPr>
        <w:t>-(PO)</w:t>
      </w:r>
      <w:r w:rsidRPr="003E2D46">
        <w:rPr>
          <w:vertAlign w:val="subscript"/>
          <w:lang w:bidi="en-US"/>
        </w:rPr>
        <w:t>4</w:t>
      </w:r>
      <w:r w:rsidRPr="003E2D46">
        <w:rPr>
          <w:lang w:bidi="en-US"/>
        </w:rPr>
        <w:t>-SO</w:t>
      </w:r>
      <w:r w:rsidRPr="003E2D46">
        <w:rPr>
          <w:vertAlign w:val="subscript"/>
          <w:lang w:bidi="en-US"/>
        </w:rPr>
        <w:t>4</w:t>
      </w:r>
      <w:r w:rsidRPr="003E2D46">
        <w:rPr>
          <w:lang w:bidi="en-US"/>
        </w:rPr>
        <w:t>Na and C</w:t>
      </w:r>
      <w:r w:rsidRPr="003E2D46">
        <w:rPr>
          <w:vertAlign w:val="subscript"/>
          <w:lang w:bidi="en-US"/>
        </w:rPr>
        <w:t>10</w:t>
      </w:r>
      <w:r w:rsidRPr="003E2D46">
        <w:rPr>
          <w:lang w:bidi="en-US"/>
        </w:rPr>
        <w:t>-(PO)</w:t>
      </w:r>
      <w:r w:rsidRPr="003E2D46">
        <w:rPr>
          <w:vertAlign w:val="subscript"/>
          <w:lang w:bidi="en-US"/>
        </w:rPr>
        <w:t>4</w:t>
      </w:r>
      <w:r w:rsidRPr="003E2D46">
        <w:rPr>
          <w:lang w:bidi="en-US"/>
        </w:rPr>
        <w:t>-SO</w:t>
      </w:r>
      <w:r w:rsidRPr="003E2D46">
        <w:rPr>
          <w:vertAlign w:val="subscript"/>
          <w:lang w:bidi="en-US"/>
        </w:rPr>
        <w:t>4</w:t>
      </w:r>
      <w:r w:rsidRPr="003E2D46">
        <w:rPr>
          <w:lang w:bidi="en-US"/>
        </w:rPr>
        <w:t>Na  using the group contribution model are in good agreement wi</w:t>
      </w:r>
      <w:r w:rsidR="00870B1E">
        <w:rPr>
          <w:lang w:bidi="en-US"/>
        </w:rPr>
        <w:t xml:space="preserve">th the experimental Cc-values, </w:t>
      </w:r>
    </w:p>
    <w:p w:rsidR="00C35DE4" w:rsidRDefault="00870B1E" w:rsidP="003E2D46">
      <w:pPr>
        <w:jc w:val="both"/>
        <w:rPr>
          <w:lang w:bidi="en-US"/>
        </w:rPr>
      </w:pPr>
      <w:r>
        <w:rPr>
          <w:lang w:bidi="en-US"/>
        </w:rPr>
        <w:t>-</w:t>
      </w:r>
      <w:r w:rsidR="003E2D46" w:rsidRPr="003E2D46">
        <w:rPr>
          <w:lang w:bidi="en-US"/>
        </w:rPr>
        <w:t xml:space="preserve">2.48 and -2.15 of the same two surfactants studied in this work.  The same model is not used for the extended surfactants having both EOs and POs since a reliable relationship between EO groups of the extended surfactant family and </w:t>
      </w:r>
      <w:r w:rsidR="00C35DE4">
        <w:rPr>
          <w:lang w:bidi="en-US"/>
        </w:rPr>
        <w:t xml:space="preserve">Cc has yet to be determined.  </w:t>
      </w:r>
    </w:p>
    <w:p w:rsidR="003E2D46" w:rsidRPr="003E2D46" w:rsidRDefault="00C35DE4" w:rsidP="003E2D46">
      <w:pPr>
        <w:jc w:val="both"/>
        <w:rPr>
          <w:lang w:bidi="en-US"/>
        </w:rPr>
      </w:pPr>
      <w:r>
        <w:rPr>
          <w:noProof/>
        </w:rPr>
        <w:lastRenderedPageBreak/>
        <mc:AlternateContent>
          <mc:Choice Requires="wps">
            <w:drawing>
              <wp:anchor distT="0" distB="0" distL="114300" distR="114300" simplePos="0" relativeHeight="251669504" behindDoc="0" locked="0" layoutInCell="1" allowOverlap="1" wp14:anchorId="654CF597" wp14:editId="547688E2">
                <wp:simplePos x="0" y="0"/>
                <wp:positionH relativeFrom="column">
                  <wp:posOffset>127635</wp:posOffset>
                </wp:positionH>
                <wp:positionV relativeFrom="paragraph">
                  <wp:posOffset>3042285</wp:posOffset>
                </wp:positionV>
                <wp:extent cx="5162550"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5162550" cy="635"/>
                        </a:xfrm>
                        <a:prstGeom prst="rect">
                          <a:avLst/>
                        </a:prstGeom>
                        <a:solidFill>
                          <a:prstClr val="white"/>
                        </a:solidFill>
                        <a:ln>
                          <a:noFill/>
                        </a:ln>
                        <a:effectLst/>
                      </wps:spPr>
                      <wps:txbx>
                        <w:txbxContent>
                          <w:p w:rsidR="005C410D" w:rsidRPr="00C35DE4" w:rsidRDefault="005C410D" w:rsidP="00BA2D85">
                            <w:pPr>
                              <w:pStyle w:val="Caption"/>
                              <w:rPr>
                                <w:rFonts w:ascii="Times New Roman" w:hAnsi="Times New Roman"/>
                                <w:b w:val="0"/>
                                <w:noProof/>
                                <w:szCs w:val="24"/>
                              </w:rPr>
                            </w:pPr>
                            <w:bookmarkStart w:id="39" w:name="_Toc426967295"/>
                            <w:r>
                              <w:t xml:space="preserve">Figure </w:t>
                            </w:r>
                            <w:r w:rsidR="001C58A2">
                              <w:fldChar w:fldCharType="begin"/>
                            </w:r>
                            <w:r w:rsidR="001C58A2">
                              <w:instrText xml:space="preserve"> SEQ Figure \* ARABIC </w:instrText>
                            </w:r>
                            <w:r w:rsidR="001C58A2">
                              <w:fldChar w:fldCharType="separate"/>
                            </w:r>
                            <w:r w:rsidR="003F7947">
                              <w:rPr>
                                <w:noProof/>
                              </w:rPr>
                              <w:t>3</w:t>
                            </w:r>
                            <w:r w:rsidR="001C58A2">
                              <w:rPr>
                                <w:noProof/>
                              </w:rPr>
                              <w:fldChar w:fldCharType="end"/>
                            </w:r>
                            <w:r>
                              <w:t xml:space="preserve">. </w:t>
                            </w:r>
                            <w:r w:rsidRPr="00C35DE4">
                              <w:rPr>
                                <w:b w:val="0"/>
                              </w:rPr>
                              <w:t xml:space="preserve">Effect of </w:t>
                            </w:r>
                            <w:r>
                              <w:rPr>
                                <w:b w:val="0"/>
                              </w:rPr>
                              <w:t xml:space="preserve">surfactant mixture (AMA and SDS or </w:t>
                            </w:r>
                            <w:r w:rsidRPr="00C35DE4">
                              <w:rPr>
                                <w:b w:val="0"/>
                              </w:rPr>
                              <w:t>Steol Cs460) composition on overall salinity; Surfacta</w:t>
                            </w:r>
                            <w:r>
                              <w:rPr>
                                <w:b w:val="0"/>
                              </w:rPr>
                              <w:t xml:space="preserve">nt 2 is SDS or </w:t>
                            </w:r>
                            <w:r w:rsidRPr="00C35DE4">
                              <w:rPr>
                                <w:b w:val="0"/>
                              </w:rPr>
                              <w:t>Steol Cs460</w:t>
                            </w:r>
                            <w:r>
                              <w:rPr>
                                <w:b w:val="0"/>
                              </w:rPr>
                              <w:t>. Oil phase is Limonene</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4CF597" id="Text Box 7" o:spid="_x0000_s1028" type="#_x0000_t202" style="position:absolute;left:0;text-align:left;margin-left:10.05pt;margin-top:239.55pt;width:406.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" stroked="f">
                <v:textbox style="mso-fit-shape-to-text:t" inset="0,0,0,0">
                  <w:txbxContent>
                    <w:p w:rsidR="005C410D" w:rsidRPr="00C35DE4" w:rsidRDefault="005C410D" w:rsidP="00BA2D85">
                      <w:pPr>
                        <w:pStyle w:val="Caption"/>
                        <w:rPr>
                          <w:rFonts w:ascii="Times New Roman" w:hAnsi="Times New Roman"/>
                          <w:b w:val="0"/>
                          <w:noProof/>
                          <w:szCs w:val="24"/>
                        </w:rPr>
                      </w:pPr>
                      <w:bookmarkStart w:id="43" w:name="_Toc426967295"/>
                      <w:r>
                        <w:t xml:space="preserve">Figure </w:t>
                      </w:r>
                      <w:fldSimple w:instr=" SEQ Figure \* ARABIC ">
                        <w:r w:rsidR="003F7947">
                          <w:rPr>
                            <w:noProof/>
                          </w:rPr>
                          <w:t>3</w:t>
                        </w:r>
                      </w:fldSimple>
                      <w:r>
                        <w:t xml:space="preserve">. </w:t>
                      </w:r>
                      <w:r w:rsidRPr="00C35DE4">
                        <w:rPr>
                          <w:b w:val="0"/>
                        </w:rPr>
                        <w:t xml:space="preserve">Effect of </w:t>
                      </w:r>
                      <w:r>
                        <w:rPr>
                          <w:b w:val="0"/>
                        </w:rPr>
                        <w:t xml:space="preserve">surfactant mixture (AMA and SDS or </w:t>
                      </w:r>
                      <w:r w:rsidRPr="00C35DE4">
                        <w:rPr>
                          <w:b w:val="0"/>
                        </w:rPr>
                        <w:t>Steol Cs460) composition on overall salinity; Surfacta</w:t>
                      </w:r>
                      <w:r>
                        <w:rPr>
                          <w:b w:val="0"/>
                        </w:rPr>
                        <w:t xml:space="preserve">nt 2 is SDS or </w:t>
                      </w:r>
                      <w:r w:rsidRPr="00C35DE4">
                        <w:rPr>
                          <w:b w:val="0"/>
                        </w:rPr>
                        <w:t>Steol Cs460</w:t>
                      </w:r>
                      <w:r>
                        <w:rPr>
                          <w:b w:val="0"/>
                        </w:rPr>
                        <w:t>. Oil phase is Limonene</w:t>
                      </w:r>
                      <w:bookmarkEnd w:id="43"/>
                    </w:p>
                  </w:txbxContent>
                </v:textbox>
                <w10:wrap type="topAndBottom"/>
              </v:shape>
            </w:pict>
          </mc:Fallback>
        </mc:AlternateContent>
      </w:r>
      <w:r w:rsidRPr="003A07C5">
        <w:rPr>
          <w:rFonts w:ascii="Times New Roman" w:hAnsi="Times New Roman"/>
          <w:noProof/>
        </w:rPr>
        <w:drawing>
          <wp:anchor distT="0" distB="0" distL="114300" distR="114300" simplePos="0" relativeHeight="251667456" behindDoc="0" locked="0" layoutInCell="1" allowOverlap="1" wp14:anchorId="626E1693" wp14:editId="3464E264">
            <wp:simplePos x="0" y="0"/>
            <wp:positionH relativeFrom="column">
              <wp:posOffset>127635</wp:posOffset>
            </wp:positionH>
            <wp:positionV relativeFrom="paragraph">
              <wp:posOffset>213360</wp:posOffset>
            </wp:positionV>
            <wp:extent cx="5162550" cy="2686050"/>
            <wp:effectExtent l="0" t="0" r="0" b="0"/>
            <wp:wrapTopAndBottom/>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margin">
              <wp14:pctWidth>0</wp14:pctWidth>
            </wp14:sizeRelH>
            <wp14:sizeRelV relativeFrom="margin">
              <wp14:pctHeight>0</wp14:pctHeight>
            </wp14:sizeRelV>
          </wp:anchor>
        </w:drawing>
      </w:r>
      <w:r>
        <w:rPr>
          <w:lang w:bidi="en-US"/>
        </w:rPr>
        <w:t xml:space="preserve"> </w:t>
      </w:r>
    </w:p>
    <w:p w:rsidR="00BA2D85" w:rsidRDefault="00BA2D85" w:rsidP="003E2D46">
      <w:pPr>
        <w:jc w:val="both"/>
        <w:rPr>
          <w:lang w:bidi="en-US"/>
        </w:rPr>
      </w:pPr>
    </w:p>
    <w:p w:rsidR="003E2D46" w:rsidRPr="00F32707" w:rsidRDefault="003E2D46" w:rsidP="003E2D46">
      <w:pPr>
        <w:jc w:val="both"/>
        <w:rPr>
          <w:lang w:bidi="en-US"/>
        </w:rPr>
      </w:pPr>
      <w:r w:rsidRPr="003E2D46">
        <w:rPr>
          <w:lang w:bidi="en-US"/>
        </w:rPr>
        <w:t>Unlike the selected extended surfactants used in this work, the conventional surfactants such as C</w:t>
      </w:r>
      <w:r w:rsidRPr="003E2D46">
        <w:rPr>
          <w:vertAlign w:val="subscript"/>
          <w:lang w:bidi="en-US"/>
        </w:rPr>
        <w:t>12</w:t>
      </w:r>
      <w:r w:rsidRPr="003E2D46">
        <w:rPr>
          <w:lang w:bidi="en-US"/>
        </w:rPr>
        <w:t>-SO</w:t>
      </w:r>
      <w:r w:rsidRPr="003E2D46">
        <w:rPr>
          <w:vertAlign w:val="subscript"/>
          <w:lang w:bidi="en-US"/>
        </w:rPr>
        <w:t>4</w:t>
      </w:r>
      <w:r w:rsidRPr="003E2D46">
        <w:rPr>
          <w:lang w:bidi="en-US"/>
        </w:rPr>
        <w:t>Na (SDS) and C</w:t>
      </w:r>
      <w:r w:rsidRPr="003E2D46">
        <w:rPr>
          <w:vertAlign w:val="subscript"/>
          <w:lang w:bidi="en-US"/>
        </w:rPr>
        <w:t>12</w:t>
      </w:r>
      <w:r w:rsidRPr="003E2D46">
        <w:rPr>
          <w:lang w:bidi="en-US"/>
        </w:rPr>
        <w:t>-(EO)</w:t>
      </w:r>
      <w:r w:rsidRPr="003E2D46">
        <w:rPr>
          <w:vertAlign w:val="subscript"/>
          <w:lang w:bidi="en-US"/>
        </w:rPr>
        <w:t>3</w:t>
      </w:r>
      <w:r w:rsidRPr="003E2D46">
        <w:rPr>
          <w:lang w:bidi="en-US"/>
        </w:rPr>
        <w:t>-SO</w:t>
      </w:r>
      <w:r w:rsidRPr="003E2D46">
        <w:rPr>
          <w:vertAlign w:val="subscript"/>
          <w:lang w:bidi="en-US"/>
        </w:rPr>
        <w:t>4</w:t>
      </w:r>
      <w:r w:rsidRPr="003E2D46">
        <w:rPr>
          <w:lang w:bidi="en-US"/>
        </w:rPr>
        <w:t>Na (Steol Cs 460) with 3 EOs were unable to form the middle phase microemulsion with these alkanes under similar conditions. Such behavior of SDS and Steol Cs460 is attributed to the increased surfactant tail-tail interaction at the oil water interface which leads to the formation of a gel instead of bi-continuous swollen micellar structure. Therefore, a surfactant mixing rule u</w:t>
      </w:r>
      <w:r w:rsidR="00F32707">
        <w:rPr>
          <w:lang w:bidi="en-US"/>
        </w:rPr>
        <w:t>sing limonene whose EACN is 5.7</w:t>
      </w:r>
      <w:r w:rsidRPr="003E2D46">
        <w:rPr>
          <w:lang w:bidi="en-US"/>
        </w:rPr>
        <w:fldChar w:fldCharType="begin"/>
      </w:r>
      <w:r w:rsidR="00332C11">
        <w:rPr>
          <w:lang w:bidi="en-US"/>
        </w:rPr>
        <w:instrText xml:space="preserve"> ADDIN EN.CITE &lt;EndNote&gt;&lt;Cite&gt;&lt;Author&gt;Witthayapanyanon&lt;/Author&gt;&lt;Year&gt;2008&lt;/Year&gt;&lt;RecNum&gt;45&lt;/RecNum&gt;&lt;DisplayText&gt;&lt;style face="superscript"&gt;47&lt;/style&gt;&lt;/DisplayText&gt;&lt;record&gt;&lt;rec-number&gt;45&lt;/rec-number&gt;&lt;foreign-keys&gt;&lt;key app="EN" db-id="a5zz9zdsp2tzdiedrdov0ztx9zwzps0patvs" timestamp="1424741474"&gt;45&lt;/key&gt;&lt;/foreign-keys&gt;&lt;ref-type name="Journal Article"&gt;17&lt;/ref-type&gt;&lt;contributors&gt;&lt;authors&gt;&lt;author&gt;Witthayapanyanon, A&lt;/author&gt;&lt;author&gt;Harwell, JH&lt;/author&gt;&lt;author&gt;Sabatini, DA&lt;/author&gt;&lt;/authors&gt;&lt;/contributors&gt;&lt;titles&gt;&lt;title&gt;Hydrophilic–lipophilic deviation (HLD) method for characterizing conventional and extended surfactants&lt;/title&gt;&lt;secondary-title&gt;Journal of colloid and interface science&lt;/secondary-title&gt;&lt;/titles&gt;&lt;periodical&gt;&lt;full-title&gt;Journal of colloid and interface science&lt;/full-title&gt;&lt;/periodical&gt;&lt;pages&gt;259-266&lt;/pages&gt;&lt;volume&gt;325&lt;/volume&gt;&lt;number&gt;1&lt;/number&gt;&lt;dates&gt;&lt;year&gt;2008&lt;/year&gt;&lt;/dates&gt;&lt;isbn&gt;0021-9797&lt;/isbn&gt;&lt;urls&gt;&lt;/urls&gt;&lt;/record&gt;&lt;/Cite&gt;&lt;/EndNote&gt;</w:instrText>
      </w:r>
      <w:r w:rsidRPr="003E2D46">
        <w:rPr>
          <w:lang w:bidi="en-US"/>
        </w:rPr>
        <w:fldChar w:fldCharType="separate"/>
      </w:r>
      <w:r w:rsidR="00332C11" w:rsidRPr="00332C11">
        <w:rPr>
          <w:noProof/>
          <w:vertAlign w:val="superscript"/>
          <w:lang w:bidi="en-US"/>
        </w:rPr>
        <w:t>47</w:t>
      </w:r>
      <w:r w:rsidRPr="003E2D46">
        <w:rPr>
          <w:lang w:bidi="en-US"/>
        </w:rPr>
        <w:fldChar w:fldCharType="end"/>
      </w:r>
      <w:r w:rsidRPr="003E2D46">
        <w:rPr>
          <w:lang w:bidi="en-US"/>
        </w:rPr>
        <w:t xml:space="preserve"> is used as an oil phase to determine the Cc-values of both SDS and Steol Cs460. Figure 3 shows the graph of ln(S*)</w:t>
      </w:r>
      <w:r w:rsidRPr="003E2D46">
        <w:rPr>
          <w:vertAlign w:val="subscript"/>
          <w:lang w:bidi="en-US"/>
        </w:rPr>
        <w:t xml:space="preserve">(AMA+Surfactant2) </w:t>
      </w:r>
      <w:r w:rsidR="00870B1E">
        <w:rPr>
          <w:lang w:bidi="en-US"/>
        </w:rPr>
        <w:t>vs mole fraction (x</w:t>
      </w:r>
      <w:r w:rsidRPr="003E2D46">
        <w:rPr>
          <w:vertAlign w:val="subscript"/>
          <w:lang w:bidi="en-US"/>
        </w:rPr>
        <w:t>2</w:t>
      </w:r>
      <w:r w:rsidRPr="003E2D46">
        <w:rPr>
          <w:lang w:bidi="en-US"/>
        </w:rPr>
        <w:t xml:space="preserve">) of surfactants whose Cc-values need to be determined. In Figure 3, it can be observed that the optimal salinities of SDS at any ratio with AMA are higher compared to that of Steol Cs460. The behavior of Steol Cs460 shows that the addition of up to three EOs decreases the optimal salinity which is slightly different compared to the </w:t>
      </w:r>
      <w:r w:rsidR="00F32707">
        <w:rPr>
          <w:lang w:bidi="en-US"/>
        </w:rPr>
        <w:t>data reported in the literature</w:t>
      </w:r>
      <w:r w:rsidRPr="003E2D46">
        <w:rPr>
          <w:lang w:bidi="en-US"/>
        </w:rPr>
        <w:fldChar w:fldCharType="begin"/>
      </w:r>
      <w:r w:rsidR="00332C11">
        <w:rPr>
          <w:lang w:bidi="en-US"/>
        </w:rPr>
        <w:instrText xml:space="preserve"> ADDIN EN.CITE &lt;EndNote&gt;&lt;Cite&gt;&lt;Author&gt;Skauge&lt;/Author&gt;&lt;Year&gt;1989&lt;/Year&gt;&lt;RecNum&gt;38&lt;/RecNum&gt;&lt;DisplayText&gt;&lt;style face="superscript"&gt;51&lt;/style&gt;&lt;/DisplayText&gt;&lt;record&gt;&lt;rec-number&gt;38&lt;/rec-number&gt;&lt;foreign-keys&gt;&lt;key app="EN" db-id="a5zz9zdsp2tzdiedrdov0ztx9zwzps0patvs" timestamp="1424741473"&gt;38&lt;/key&gt;&lt;/foreign-keys&gt;&lt;ref-type name="Journal Article"&gt;17&lt;/ref-type&gt;&lt;contributors&gt;&lt;authors&gt;&lt;author&gt;Skauge, A&lt;/author&gt;&lt;author&gt;Palmgren, Oz&lt;/author&gt;&lt;/authors&gt;&lt;/contributors&gt;&lt;titles&gt;&lt;title&gt;Phase behavior and solution properties of ethoxylated anionic surfactants&lt;/title&gt;&lt;secondary-title&gt;SPE&lt;/secondary-title&gt;&lt;/titles&gt;&lt;periodical&gt;&lt;full-title&gt;SPE&lt;/full-title&gt;&lt;/periodical&gt;&lt;pages&gt;355-366&lt;/pages&gt;&lt;volume&gt;18499&lt;/volume&gt;&lt;dates&gt;&lt;year&gt;1989&lt;/year&gt;&lt;/dates&gt;&lt;urls&gt;&lt;/urls&gt;&lt;/record&gt;&lt;/Cite&gt;&lt;/EndNote&gt;</w:instrText>
      </w:r>
      <w:r w:rsidRPr="003E2D46">
        <w:rPr>
          <w:lang w:bidi="en-US"/>
        </w:rPr>
        <w:fldChar w:fldCharType="separate"/>
      </w:r>
      <w:r w:rsidR="00332C11" w:rsidRPr="00332C11">
        <w:rPr>
          <w:noProof/>
          <w:vertAlign w:val="superscript"/>
          <w:lang w:bidi="en-US"/>
        </w:rPr>
        <w:t>51</w:t>
      </w:r>
      <w:r w:rsidRPr="003E2D46">
        <w:rPr>
          <w:lang w:bidi="en-US"/>
        </w:rPr>
        <w:fldChar w:fldCharType="end"/>
      </w:r>
      <w:r w:rsidRPr="003E2D46">
        <w:rPr>
          <w:lang w:bidi="en-US"/>
        </w:rPr>
        <w:t xml:space="preserve"> i.e.</w:t>
      </w:r>
      <w:r w:rsidR="00E26B68">
        <w:rPr>
          <w:lang w:bidi="en-US"/>
        </w:rPr>
        <w:t>,</w:t>
      </w:r>
      <w:r w:rsidRPr="003E2D46">
        <w:rPr>
          <w:lang w:bidi="en-US"/>
        </w:rPr>
        <w:t xml:space="preserve"> addition of up to two EOs in a surfactant decreases the optimal salinity </w:t>
      </w:r>
      <w:r w:rsidRPr="003E2D46">
        <w:rPr>
          <w:lang w:bidi="en-US"/>
        </w:rPr>
        <w:lastRenderedPageBreak/>
        <w:t>and any further addition of EO increases the optimal salinity. Steol Cs460 is a commercial product with a distribution of EO’s having an average of 3 EO’s and this may have had an impact on the results relative to a surfactant without a distribution of EO’s and all of the surfactant having exactly 3 EO’s. In Figure 3, it is also observed that the R</w:t>
      </w:r>
      <w:r w:rsidRPr="003E2D46">
        <w:rPr>
          <w:vertAlign w:val="superscript"/>
          <w:lang w:bidi="en-US"/>
        </w:rPr>
        <w:t>2</w:t>
      </w:r>
      <w:r w:rsidRPr="003E2D46">
        <w:rPr>
          <w:lang w:bidi="en-US"/>
        </w:rPr>
        <w:t xml:space="preserve"> values of linear fitting are above 0.99 which confirms the validity of the linear assumption of surfactant mixing rule. Using Equation 8 and the slope that is obtained from Figure 3, the Cc</w:t>
      </w:r>
      <w:r w:rsidRPr="003E2D46">
        <w:rPr>
          <w:vertAlign w:val="subscript"/>
          <w:lang w:bidi="en-US"/>
        </w:rPr>
        <w:t>2</w:t>
      </w:r>
      <w:r w:rsidRPr="003E2D46">
        <w:rPr>
          <w:lang w:bidi="en-US"/>
        </w:rPr>
        <w:t xml:space="preserve"> values of both SDS and Steol Cs460 are determined and are listed in Table 5. In equation 8, Cc</w:t>
      </w:r>
      <w:r w:rsidRPr="003E2D46">
        <w:rPr>
          <w:vertAlign w:val="subscript"/>
          <w:lang w:bidi="en-US"/>
        </w:rPr>
        <w:t>1</w:t>
      </w:r>
      <w:r w:rsidRPr="003E2D46">
        <w:rPr>
          <w:lang w:bidi="en-US"/>
        </w:rPr>
        <w:t xml:space="preserve"> and K</w:t>
      </w:r>
      <w:r w:rsidRPr="003E2D46">
        <w:rPr>
          <w:vertAlign w:val="subscript"/>
          <w:lang w:bidi="en-US"/>
        </w:rPr>
        <w:t>1</w:t>
      </w:r>
      <w:r w:rsidRPr="003E2D46">
        <w:rPr>
          <w:lang w:bidi="en-US"/>
        </w:rPr>
        <w:t xml:space="preserve"> are the HLD parameters of a reference surfactant, AMA, whose values </w:t>
      </w:r>
      <w:r w:rsidR="00F32707">
        <w:rPr>
          <w:lang w:bidi="en-US"/>
        </w:rPr>
        <w:t>are -0.93 and 0.17 respectively</w:t>
      </w:r>
      <w:r w:rsidRPr="003E2D46">
        <w:rPr>
          <w:lang w:bidi="en-US"/>
        </w:rPr>
        <w:fldChar w:fldCharType="begin"/>
      </w:r>
      <w:r w:rsidR="00332C11">
        <w:rPr>
          <w:lang w:bidi="en-US"/>
        </w:rPr>
        <w:instrText xml:space="preserve"> ADDIN EN.CITE &lt;EndNote&gt;&lt;Cite&gt;&lt;Author&gt;Acosta&lt;/Author&gt;&lt;Year&gt;2008&lt;/Year&gt;&lt;RecNum&gt;49&lt;/RecNum&gt;&lt;DisplayText&gt;&lt;style face="superscript"&gt;45&lt;/style&gt;&lt;/DisplayText&gt;&lt;record&gt;&lt;rec-number&gt;49&lt;/rec-number&gt;&lt;foreign-keys&gt;&lt;key app="EN" db-id="a5zz9zdsp2tzdiedrdov0ztx9zwzps0patvs" timestamp="1424742346"&gt;49&lt;/key&gt;&lt;/foreign-keys&gt;&lt;ref-type name="Journal Article"&gt;17&lt;/ref-type&gt;&lt;contributors&gt;&lt;authors&gt;&lt;author&gt;Acosta, Edgar J&lt;/author&gt;&lt;author&gt;Yuan, Jessica Sh&lt;/author&gt;&lt;author&gt;Bhakta, Arti Sh&lt;/author&gt;&lt;/authors&gt;&lt;/contributors&gt;&lt;titles&gt;&lt;title&gt;The characteristic curvature of ionic surfactants&lt;/title&gt;&lt;secondary-title&gt;Journal of Surfactants and Detergents&lt;/secondary-title&gt;&lt;/titles&gt;&lt;periodical&gt;&lt;full-title&gt;Journal of Surfactants and Detergents&lt;/full-title&gt;&lt;/periodical&gt;&lt;pages&gt;145-158&lt;/pages&gt;&lt;volume&gt;11&lt;/volume&gt;&lt;number&gt;2&lt;/number&gt;&lt;dates&gt;&lt;year&gt;2008&lt;/year&gt;&lt;/dates&gt;&lt;isbn&gt;1097-3958&lt;/isbn&gt;&lt;urls&gt;&lt;/urls&gt;&lt;/record&gt;&lt;/Cite&gt;&lt;/EndNote&gt;</w:instrText>
      </w:r>
      <w:r w:rsidRPr="003E2D46">
        <w:rPr>
          <w:lang w:bidi="en-US"/>
        </w:rPr>
        <w:fldChar w:fldCharType="separate"/>
      </w:r>
      <w:r w:rsidR="00332C11" w:rsidRPr="00332C11">
        <w:rPr>
          <w:noProof/>
          <w:vertAlign w:val="superscript"/>
          <w:lang w:bidi="en-US"/>
        </w:rPr>
        <w:t>45</w:t>
      </w:r>
      <w:r w:rsidRPr="003E2D46">
        <w:rPr>
          <w:lang w:bidi="en-US"/>
        </w:rPr>
        <w:fldChar w:fldCharType="end"/>
      </w:r>
      <w:r w:rsidRPr="003E2D46">
        <w:rPr>
          <w:lang w:bidi="en-US"/>
        </w:rPr>
        <w:t>. The K</w:t>
      </w:r>
      <w:r w:rsidRPr="003E2D46">
        <w:rPr>
          <w:vertAlign w:val="subscript"/>
          <w:lang w:bidi="en-US"/>
        </w:rPr>
        <w:t>2</w:t>
      </w:r>
      <w:r w:rsidRPr="003E2D46">
        <w:rPr>
          <w:lang w:bidi="en-US"/>
        </w:rPr>
        <w:t xml:space="preserve"> parameter of Equation 8 is the K-value of SDS or Steol CS460. SDS is a commonly studied surfactant and its K-value is re</w:t>
      </w:r>
      <w:r w:rsidR="00F32707">
        <w:rPr>
          <w:lang w:bidi="en-US"/>
        </w:rPr>
        <w:t>ported as 0.1 in the literature</w:t>
      </w:r>
      <w:r w:rsidRPr="003E2D46">
        <w:rPr>
          <w:lang w:bidi="en-US"/>
        </w:rPr>
        <w:fldChar w:fldCharType="begin"/>
      </w:r>
      <w:r w:rsidR="00332C11">
        <w:rPr>
          <w:lang w:bidi="en-US"/>
        </w:rPr>
        <w:instrText xml:space="preserve"> ADDIN EN.CITE &lt;EndNote&gt;&lt;Cite&gt;&lt;Author&gt;Acosta&lt;/Author&gt;&lt;Year&gt;2008&lt;/Year&gt;&lt;RecNum&gt;49&lt;/RecNum&gt;&lt;DisplayText&gt;&lt;style face="superscript"&gt;24, 45&lt;/style&gt;&lt;/DisplayText&gt;&lt;record&gt;&lt;rec-number&gt;49&lt;/rec-number&gt;&lt;foreign-keys&gt;&lt;key app="EN" db-id="a5zz9zdsp2tzdiedrdov0ztx9zwzps0patvs" timestamp="1424742346"&gt;49&lt;/key&gt;&lt;/foreign-keys&gt;&lt;ref-type name="Journal Article"&gt;17&lt;/ref-type&gt;&lt;contributors&gt;&lt;authors&gt;&lt;author&gt;Acosta, Edgar J&lt;/author&gt;&lt;author&gt;Yuan, Jessica Sh&lt;/author&gt;&lt;author&gt;Bhakta, Arti Sh&lt;/author&gt;&lt;/authors&gt;&lt;/contributors&gt;&lt;titles&gt;&lt;title&gt;The characteristic curvature of ionic surfactants&lt;/title&gt;&lt;secondary-title&gt;Journal of Surfactants and Detergents&lt;/secondary-title&gt;&lt;/titles&gt;&lt;periodical&gt;&lt;full-title&gt;Journal of Surfactants and Detergents&lt;/full-title&gt;&lt;/periodical&gt;&lt;pages&gt;145-158&lt;/pages&gt;&lt;volume&gt;11&lt;/volume&gt;&lt;number&gt;2&lt;/number&gt;&lt;dates&gt;&lt;year&gt;2008&lt;/year&gt;&lt;/dates&gt;&lt;isbn&gt;1097-3958&lt;/isbn&gt;&lt;urls&gt;&lt;/urls&gt;&lt;/record&gt;&lt;/Cite&gt;&lt;Cite&gt;&lt;Author&gt;Salager&lt;/Author&gt;&lt;Year&gt;1979&lt;/Year&gt;&lt;RecNum&gt;34&lt;/RecNum&gt;&lt;record&gt;&lt;rec-number&gt;34&lt;/rec-number&gt;&lt;foreign-keys&gt;&lt;key app="EN" db-id="a5zz9zdsp2tzdiedrdov0ztx9zwzps0patvs" timestamp="1424741472"&gt;34&lt;/key&gt;&lt;/foreign-keys&gt;&lt;ref-type name="Journal Article"&gt;17&lt;/ref-type&gt;&lt;contributors&gt;&lt;authors&gt;&lt;author&gt;Salager, JL&lt;/author&gt;&lt;author&gt;Morgan, JC&lt;/author&gt;&lt;author&gt;Schechter, RS&lt;/author&gt;&lt;author&gt;Wade, WH&lt;/author&gt;&lt;author&gt;Vasquez, E&lt;/author&gt;&lt;/authors&gt;&lt;/contributors&gt;&lt;titles&gt;&lt;title&gt;Optimum formulation of surfactant/water/oil systems for minimum interfacial tension or phase behavior&lt;/title&gt;&lt;secondary-title&gt;Soc. Pet. Eng. J&lt;/secondary-title&gt;&lt;/titles&gt;&lt;periodical&gt;&lt;full-title&gt;Soc. Pet. Eng. J&lt;/full-title&gt;&lt;/periodical&gt;&lt;pages&gt;107-115&lt;/pages&gt;&lt;volume&gt;19&lt;/volume&gt;&lt;number&gt;2&lt;/number&gt;&lt;dates&gt;&lt;year&gt;1979&lt;/year&gt;&lt;/dates&gt;&lt;urls&gt;&lt;/urls&gt;&lt;/record&gt;&lt;/Cite&gt;&lt;/EndNote&gt;</w:instrText>
      </w:r>
      <w:r w:rsidRPr="003E2D46">
        <w:rPr>
          <w:lang w:bidi="en-US"/>
        </w:rPr>
        <w:fldChar w:fldCharType="separate"/>
      </w:r>
      <w:r w:rsidR="00332C11" w:rsidRPr="00332C11">
        <w:rPr>
          <w:noProof/>
          <w:vertAlign w:val="superscript"/>
          <w:lang w:bidi="en-US"/>
        </w:rPr>
        <w:t>24, 45</w:t>
      </w:r>
      <w:r w:rsidRPr="003E2D46">
        <w:rPr>
          <w:lang w:bidi="en-US"/>
        </w:rPr>
        <w:fldChar w:fldCharType="end"/>
      </w:r>
      <w:r w:rsidRPr="003E2D46">
        <w:rPr>
          <w:lang w:bidi="en-US"/>
        </w:rPr>
        <w:t>. No author has reported the K-value of C</w:t>
      </w:r>
      <w:r w:rsidRPr="003E2D46">
        <w:rPr>
          <w:vertAlign w:val="subscript"/>
          <w:lang w:bidi="en-US"/>
        </w:rPr>
        <w:t>12</w:t>
      </w:r>
      <w:r w:rsidRPr="003E2D46">
        <w:rPr>
          <w:lang w:bidi="en-US"/>
        </w:rPr>
        <w:t>-(EO)</w:t>
      </w:r>
      <w:r w:rsidRPr="003E2D46">
        <w:rPr>
          <w:vertAlign w:val="subscript"/>
          <w:lang w:bidi="en-US"/>
        </w:rPr>
        <w:t>3</w:t>
      </w:r>
      <w:r w:rsidRPr="003E2D46">
        <w:rPr>
          <w:lang w:bidi="en-US"/>
        </w:rPr>
        <w:t>-SO</w:t>
      </w:r>
      <w:r w:rsidRPr="003E2D46">
        <w:rPr>
          <w:vertAlign w:val="subscript"/>
          <w:lang w:bidi="en-US"/>
        </w:rPr>
        <w:t>4</w:t>
      </w:r>
      <w:r w:rsidRPr="003E2D46">
        <w:rPr>
          <w:lang w:bidi="en-US"/>
        </w:rPr>
        <w:t>Na (Steol Cs460), and the reasoning behind this might be its inability to form a middle phase with various oils without the addition of a reference surfactant. However, the K-value of C</w:t>
      </w:r>
      <w:r w:rsidRPr="003E2D46">
        <w:rPr>
          <w:vertAlign w:val="subscript"/>
          <w:lang w:bidi="en-US"/>
        </w:rPr>
        <w:t>12</w:t>
      </w:r>
      <w:r w:rsidRPr="003E2D46">
        <w:rPr>
          <w:lang w:bidi="en-US"/>
        </w:rPr>
        <w:t>-(EO)</w:t>
      </w:r>
      <w:r w:rsidRPr="003E2D46">
        <w:rPr>
          <w:vertAlign w:val="subscript"/>
          <w:lang w:bidi="en-US"/>
        </w:rPr>
        <w:t>2</w:t>
      </w:r>
      <w:r w:rsidRPr="003E2D46">
        <w:rPr>
          <w:lang w:bidi="en-US"/>
        </w:rPr>
        <w:t>-SO</w:t>
      </w:r>
      <w:r w:rsidRPr="003E2D46">
        <w:rPr>
          <w:vertAlign w:val="subscript"/>
          <w:lang w:bidi="en-US"/>
        </w:rPr>
        <w:t>4</w:t>
      </w:r>
      <w:r w:rsidRPr="003E2D46">
        <w:rPr>
          <w:lang w:bidi="en-US"/>
        </w:rPr>
        <w:t>Na (St</w:t>
      </w:r>
      <w:r w:rsidR="00F32707">
        <w:rPr>
          <w:lang w:bidi="en-US"/>
        </w:rPr>
        <w:t>eol Cs 230) is reported as 0.06</w:t>
      </w:r>
      <w:r w:rsidRPr="003E2D46">
        <w:rPr>
          <w:lang w:bidi="en-US"/>
        </w:rPr>
        <w:fldChar w:fldCharType="begin"/>
      </w:r>
      <w:r w:rsidR="00332C11">
        <w:rPr>
          <w:lang w:bidi="en-US"/>
        </w:rPr>
        <w:instrText xml:space="preserve"> ADDIN EN.CITE &lt;EndNote&gt;&lt;Cite&gt;&lt;Author&gt;Witthayapanyanon&lt;/Author&gt;&lt;Year&gt;2008&lt;/Year&gt;&lt;RecNum&gt;45&lt;/RecNum&gt;&lt;DisplayText&gt;&lt;style face="superscript"&gt;47&lt;/style&gt;&lt;/DisplayText&gt;&lt;record&gt;&lt;rec-number&gt;45&lt;/rec-number&gt;&lt;foreign-keys&gt;&lt;key app="EN" db-id="a5zz9zdsp2tzdiedrdov0ztx9zwzps0patvs" timestamp="1424741474"&gt;45&lt;/key&gt;&lt;/foreign-keys&gt;&lt;ref-type name="Journal Article"&gt;17&lt;/ref-type&gt;&lt;contributors&gt;&lt;authors&gt;&lt;author&gt;Witthayapanyanon, A&lt;/author&gt;&lt;author&gt;Harwell, JH&lt;/author&gt;&lt;author&gt;Sabatini, DA&lt;/author&gt;&lt;/authors&gt;&lt;/contributors&gt;&lt;titles&gt;&lt;title&gt;Hydrophilic–lipophilic deviation (HLD) method for characterizing conventional and extended surfactants&lt;/title&gt;&lt;secondary-title&gt;Journal of colloid and interface science&lt;/secondary-title&gt;&lt;/titles&gt;&lt;periodical&gt;&lt;full-title&gt;Journal of colloid and interface science&lt;/full-title&gt;&lt;/periodical&gt;&lt;pages&gt;259-266&lt;/pages&gt;&lt;volume&gt;325&lt;/volume&gt;&lt;number&gt;1&lt;/number&gt;&lt;dates&gt;&lt;year&gt;2008&lt;/year&gt;&lt;/dates&gt;&lt;isbn&gt;0021-9797&lt;/isbn&gt;&lt;urls&gt;&lt;/urls&gt;&lt;/record&gt;&lt;/Cite&gt;&lt;/EndNote&gt;</w:instrText>
      </w:r>
      <w:r w:rsidRPr="003E2D46">
        <w:rPr>
          <w:lang w:bidi="en-US"/>
        </w:rPr>
        <w:fldChar w:fldCharType="separate"/>
      </w:r>
      <w:r w:rsidR="00332C11" w:rsidRPr="00332C11">
        <w:rPr>
          <w:noProof/>
          <w:vertAlign w:val="superscript"/>
          <w:lang w:bidi="en-US"/>
        </w:rPr>
        <w:t>47</w:t>
      </w:r>
      <w:r w:rsidRPr="003E2D46">
        <w:rPr>
          <w:lang w:bidi="en-US"/>
        </w:rPr>
        <w:fldChar w:fldCharType="end"/>
      </w:r>
      <w:r w:rsidRPr="003E2D46">
        <w:rPr>
          <w:lang w:bidi="en-US"/>
        </w:rPr>
        <w:t>, and since its structure is very similar to that of Steol Cs460, it is assumed that both of these surfactants  have similar K-values. The calculated Cc-value, -2.61, of SDS in this paper is in good agreement with values that are reported in the literature</w:t>
      </w:r>
      <w:r w:rsidR="00F32707">
        <w:rPr>
          <w:lang w:bidi="en-US"/>
        </w:rPr>
        <w:t xml:space="preserve"> which range from -2.36 to -2.8</w:t>
      </w:r>
      <w:r w:rsidRPr="003E2D46">
        <w:rPr>
          <w:lang w:bidi="en-US"/>
        </w:rPr>
        <w:fldChar w:fldCharType="begin"/>
      </w:r>
      <w:r w:rsidR="00332C11">
        <w:rPr>
          <w:lang w:bidi="en-US"/>
        </w:rPr>
        <w:instrText xml:space="preserve"> ADDIN EN.CITE &lt;EndNote&gt;&lt;Cite&gt;&lt;Author&gt;Acosta&lt;/Author&gt;&lt;Year&gt;2008&lt;/Year&gt;&lt;RecNum&gt;49&lt;/RecNum&gt;&lt;DisplayText&gt;&lt;style face="superscript"&gt;45, 53&lt;/style&gt;&lt;/DisplayText&gt;&lt;record&gt;&lt;rec-number&gt;49&lt;/rec-number&gt;&lt;foreign-keys&gt;&lt;key app="EN" db-id="a5zz9zdsp2tzdiedrdov0ztx9zwzps0patvs" timestamp="1424742346"&gt;49&lt;/key&gt;&lt;/foreign-keys&gt;&lt;ref-type name="Journal Article"&gt;17&lt;/ref-type&gt;&lt;contributors&gt;&lt;authors&gt;&lt;author&gt;Acosta, Edgar J&lt;/author&gt;&lt;author&gt;Yuan, Jessica Sh&lt;/author&gt;&lt;author&gt;Bhakta, Arti Sh&lt;/author&gt;&lt;/authors&gt;&lt;/contributors&gt;&lt;titles&gt;&lt;title&gt;The characteristic curvature of ionic surfactants&lt;/title&gt;&lt;secondary-title&gt;Journal of Surfactants and Detergents&lt;/secondary-title&gt;&lt;/titles&gt;&lt;periodical&gt;&lt;full-title&gt;Journal of Surfactants and Detergents&lt;/full-title&gt;&lt;/periodical&gt;&lt;pages&gt;145-158&lt;/pages&gt;&lt;volume&gt;11&lt;/volume&gt;&lt;number&gt;2&lt;/number&gt;&lt;dates&gt;&lt;year&gt;2008&lt;/year&gt;&lt;/dates&gt;&lt;isbn&gt;1097-3958&lt;/isbn&gt;&lt;urls&gt;&lt;/urls&gt;&lt;/record&gt;&lt;/Cite&gt;&lt;Cite&gt;&lt;Author&gt;Kumar P&lt;/Author&gt;&lt;Year&gt;1999&lt;/Year&gt;&lt;RecNum&gt;71&lt;/RecNum&gt;&lt;record&gt;&lt;rec-number&gt;71&lt;/rec-number&gt;&lt;foreign-keys&gt;&lt;key app="EN" db-id="a5zz9zdsp2tzdiedrdov0ztx9zwzps0patvs" timestamp="1425606636"&gt;71&lt;/key&gt;&lt;/foreign-keys&gt;&lt;ref-type name="Book"&gt;6&lt;/ref-type&gt;&lt;contributors&gt;&lt;authors&gt;&lt;author&gt;Kumar P, Mittal KL&lt;/author&gt;&lt;/authors&gt;&lt;secondary-authors&gt;&lt;author&gt;Salager, Jean-Louis&lt;/author&gt;&lt;/secondary-authors&gt;&lt;/contributors&gt;&lt;titles&gt;&lt;title&gt;Handbook of microemulsion science and technology&lt;/title&gt;&lt;secondary-title&gt;Ionic microemulsions&lt;/secondary-title&gt;&lt;/titles&gt;&lt;section&gt;247-280&lt;/section&gt;&lt;dates&gt;&lt;year&gt;1999&lt;/year&gt;&lt;/dates&gt;&lt;pub-location&gt;New York&lt;/pub-location&gt;&lt;publisher&gt;Marcel Dekker&lt;/publisher&gt;&lt;urls&gt;&lt;/urls&gt;&lt;/record&gt;&lt;/Cite&gt;&lt;/EndNote&gt;</w:instrText>
      </w:r>
      <w:r w:rsidRPr="003E2D46">
        <w:rPr>
          <w:lang w:bidi="en-US"/>
        </w:rPr>
        <w:fldChar w:fldCharType="separate"/>
      </w:r>
      <w:r w:rsidR="00332C11" w:rsidRPr="00332C11">
        <w:rPr>
          <w:noProof/>
          <w:vertAlign w:val="superscript"/>
          <w:lang w:bidi="en-US"/>
        </w:rPr>
        <w:t>45, 53</w:t>
      </w:r>
      <w:r w:rsidRPr="003E2D46">
        <w:rPr>
          <w:lang w:bidi="en-US"/>
        </w:rPr>
        <w:fldChar w:fldCharType="end"/>
      </w:r>
      <w:r w:rsidRPr="003E2D46">
        <w:rPr>
          <w:lang w:bidi="en-US"/>
        </w:rPr>
        <w:t xml:space="preserve">. Witthayapanyanon </w:t>
      </w:r>
      <w:r w:rsidRPr="003E2D46">
        <w:rPr>
          <w:i/>
          <w:lang w:bidi="en-US"/>
        </w:rPr>
        <w:t>et al</w:t>
      </w:r>
      <w:r w:rsidR="00F32707">
        <w:rPr>
          <w:lang w:bidi="en-US"/>
        </w:rPr>
        <w:t>.</w:t>
      </w:r>
      <w:r w:rsidRPr="003E2D46">
        <w:rPr>
          <w:lang w:bidi="en-US"/>
        </w:rPr>
        <w:fldChar w:fldCharType="begin"/>
      </w:r>
      <w:r w:rsidR="00332C11">
        <w:rPr>
          <w:lang w:bidi="en-US"/>
        </w:rPr>
        <w:instrText xml:space="preserve"> ADDIN EN.CITE &lt;EndNote&gt;&lt;Cite&gt;&lt;Author&gt;Witthayapanyanon&lt;/Author&gt;&lt;Year&gt;2008&lt;/Year&gt;&lt;RecNum&gt;45&lt;/RecNum&gt;&lt;DisplayText&gt;&lt;style face="superscript"&gt;47&lt;/style&gt;&lt;/DisplayText&gt;&lt;record&gt;&lt;rec-number&gt;45&lt;/rec-number&gt;&lt;foreign-keys&gt;&lt;key app="EN" db-id="a5zz9zdsp2tzdiedrdov0ztx9zwzps0patvs" timestamp="1424741474"&gt;45&lt;/key&gt;&lt;/foreign-keys&gt;&lt;ref-type name="Journal Article"&gt;17&lt;/ref-type&gt;&lt;contributors&gt;&lt;authors&gt;&lt;author&gt;Witthayapanyanon, A&lt;/author&gt;&lt;author&gt;Harwell, JH&lt;/author&gt;&lt;author&gt;Sabatini, DA&lt;/author&gt;&lt;/authors&gt;&lt;/contributors&gt;&lt;titles&gt;&lt;title&gt;Hydrophilic–lipophilic deviation (HLD) method for characterizing conventional and extended surfactants&lt;/title&gt;&lt;secondary-title&gt;Journal of colloid and interface science&lt;/secondary-title&gt;&lt;/titles&gt;&lt;periodical&gt;&lt;full-title&gt;Journal of colloid and interface science&lt;/full-title&gt;&lt;/periodical&gt;&lt;pages&gt;259-266&lt;/pages&gt;&lt;volume&gt;325&lt;/volume&gt;&lt;number&gt;1&lt;/number&gt;&lt;dates&gt;&lt;year&gt;2008&lt;/year&gt;&lt;/dates&gt;&lt;isbn&gt;0021-9797&lt;/isbn&gt;&lt;urls&gt;&lt;/urls&gt;&lt;/record&gt;&lt;/Cite&gt;&lt;/EndNote&gt;</w:instrText>
      </w:r>
      <w:r w:rsidRPr="003E2D46">
        <w:rPr>
          <w:lang w:bidi="en-US"/>
        </w:rPr>
        <w:fldChar w:fldCharType="separate"/>
      </w:r>
      <w:r w:rsidR="00332C11" w:rsidRPr="00332C11">
        <w:rPr>
          <w:noProof/>
          <w:vertAlign w:val="superscript"/>
          <w:lang w:bidi="en-US"/>
        </w:rPr>
        <w:t>47</w:t>
      </w:r>
      <w:r w:rsidRPr="003E2D46">
        <w:rPr>
          <w:lang w:bidi="en-US"/>
        </w:rPr>
        <w:fldChar w:fldCharType="end"/>
      </w:r>
      <w:r w:rsidRPr="003E2D46">
        <w:rPr>
          <w:lang w:bidi="en-US"/>
        </w:rPr>
        <w:t xml:space="preserve"> have reported the Cc-value of Steol Cs 230 to be -2.96 ± 0.25. This value is slightly lower compared to the Cc-value, -2.87, of Steol Cs460 that is determined in this study. In theory, because of one extra EO, Steol Cs460 should have a more negative Cc-value compared to that of Steol Cs230. Therefore, it is speculated that the both Steol Cs460 and Steol Cs230 being commercial mixtures with the distribution in EOs and alkyl chain length of alcohols might have </w:t>
      </w:r>
      <w:bookmarkStart w:id="40" w:name="_Toc413353883"/>
      <w:r w:rsidR="00F32707">
        <w:rPr>
          <w:lang w:bidi="en-US"/>
        </w:rPr>
        <w:t>resulted in such a discrepancy.</w:t>
      </w:r>
    </w:p>
    <w:p w:rsidR="003E2D46" w:rsidRPr="003E2D46" w:rsidRDefault="00CF5567" w:rsidP="00BF7BCE">
      <w:pPr>
        <w:pStyle w:val="Heading3"/>
      </w:pPr>
      <w:bookmarkStart w:id="41" w:name="_Toc426374018"/>
      <w:r>
        <w:lastRenderedPageBreak/>
        <w:t>Temperature Dependence of Extended and C</w:t>
      </w:r>
      <w:r w:rsidR="003E2D46" w:rsidRPr="003E2D46">
        <w:t xml:space="preserve">onventional </w:t>
      </w:r>
      <w:r>
        <w:t>Anionic S</w:t>
      </w:r>
      <w:r w:rsidR="003E2D46" w:rsidRPr="003E2D46">
        <w:t>urfactants</w:t>
      </w:r>
      <w:bookmarkEnd w:id="40"/>
      <w:bookmarkEnd w:id="41"/>
    </w:p>
    <w:p w:rsidR="003E2D46" w:rsidRPr="003E2D46" w:rsidRDefault="003E2D46" w:rsidP="003E2D46">
      <w:pPr>
        <w:jc w:val="both"/>
        <w:rPr>
          <w:lang w:bidi="en-US"/>
        </w:rPr>
      </w:pPr>
      <w:r w:rsidRPr="003E2D46">
        <w:rPr>
          <w:lang w:bidi="en-US"/>
        </w:rPr>
        <w:t>The temperature dependence, α</w:t>
      </w:r>
      <w:r w:rsidRPr="003E2D46">
        <w:rPr>
          <w:vertAlign w:val="subscript"/>
          <w:lang w:bidi="en-US"/>
        </w:rPr>
        <w:t>T</w:t>
      </w:r>
      <w:r w:rsidRPr="003E2D46">
        <w:rPr>
          <w:b/>
          <w:lang w:bidi="en-US"/>
        </w:rPr>
        <w:t>,</w:t>
      </w:r>
      <w:r w:rsidRPr="003E2D46">
        <w:rPr>
          <w:lang w:bidi="en-US"/>
        </w:rPr>
        <w:t xml:space="preserve"> of ionic surfactants is best understood using the HLD equation for ionic surfactants which is Equation 1. At the optimal formulation condition, HLD = 0, and when no alcohol is used,</w:t>
      </w:r>
      <m:oMath>
        <m:r>
          <w:rPr>
            <w:rFonts w:ascii="Cambria Math" w:hAnsi="Cambria Math"/>
            <w:lang w:bidi="en-US"/>
          </w:rPr>
          <m:t xml:space="preserve"> </m:t>
        </m:r>
      </m:oMath>
      <w:r w:rsidRPr="003E2D46">
        <w:rPr>
          <w:lang w:bidi="en-US"/>
        </w:rPr>
        <w:t>f(A) = 0, the Equation 1 can be rewritten as:</w:t>
      </w:r>
    </w:p>
    <w:p w:rsidR="003E2D46" w:rsidRPr="003E2D46" w:rsidRDefault="001C58A2" w:rsidP="003E2D46">
      <w:pPr>
        <w:jc w:val="both"/>
        <w:rPr>
          <w:lang w:bidi="en-US"/>
        </w:rPr>
      </w:pPr>
      <m:oMath>
        <m:func>
          <m:funcPr>
            <m:ctrlPr>
              <w:rPr>
                <w:rFonts w:ascii="Cambria Math" w:hAnsi="Cambria Math"/>
                <w:i/>
                <w:lang w:bidi="en-US"/>
              </w:rPr>
            </m:ctrlPr>
          </m:funcPr>
          <m:fName>
            <m:r>
              <m:rPr>
                <m:sty m:val="p"/>
              </m:rPr>
              <w:rPr>
                <w:rFonts w:ascii="Cambria Math" w:hAnsi="Cambria Math"/>
                <w:lang w:bidi="en-US"/>
              </w:rPr>
              <m:t>ln</m:t>
            </m:r>
          </m:fName>
          <m:e>
            <m:r>
              <w:rPr>
                <w:rFonts w:ascii="Cambria Math" w:hAnsi="Cambria Math"/>
                <w:lang w:bidi="en-US"/>
              </w:rPr>
              <m:t>(</m:t>
            </m:r>
            <m:sSup>
              <m:sSupPr>
                <m:ctrlPr>
                  <w:rPr>
                    <w:rFonts w:ascii="Cambria Math" w:hAnsi="Cambria Math"/>
                    <w:i/>
                    <w:lang w:bidi="en-US"/>
                  </w:rPr>
                </m:ctrlPr>
              </m:sSupPr>
              <m:e>
                <m:r>
                  <w:rPr>
                    <w:rFonts w:ascii="Cambria Math" w:hAnsi="Cambria Math"/>
                    <w:lang w:bidi="en-US"/>
                  </w:rPr>
                  <m:t>S</m:t>
                </m:r>
              </m:e>
              <m:sup>
                <m:r>
                  <w:rPr>
                    <w:rFonts w:ascii="Cambria Math" w:hAnsi="Cambria Math"/>
                    <w:lang w:bidi="en-US"/>
                  </w:rPr>
                  <m:t>*</m:t>
                </m:r>
              </m:sup>
            </m:sSup>
          </m:e>
        </m:func>
        <m:r>
          <w:rPr>
            <w:rFonts w:ascii="Cambria Math" w:hAnsi="Cambria Math"/>
            <w:lang w:bidi="en-US"/>
          </w:rPr>
          <m:t xml:space="preserve">)= </m:t>
        </m:r>
        <m:sSub>
          <m:sSubPr>
            <m:ctrlPr>
              <w:rPr>
                <w:rFonts w:ascii="Cambria Math" w:hAnsi="Cambria Math"/>
                <w:i/>
                <w:lang w:bidi="en-US"/>
              </w:rPr>
            </m:ctrlPr>
          </m:sSubPr>
          <m:e>
            <m:r>
              <w:rPr>
                <w:rFonts w:ascii="Cambria Math" w:hAnsi="Cambria Math"/>
                <w:lang w:bidi="en-US"/>
              </w:rPr>
              <m:t>K</m:t>
            </m:r>
            <m:d>
              <m:dPr>
                <m:ctrlPr>
                  <w:rPr>
                    <w:rFonts w:ascii="Cambria Math" w:hAnsi="Cambria Math"/>
                    <w:i/>
                    <w:lang w:bidi="en-US"/>
                  </w:rPr>
                </m:ctrlPr>
              </m:dPr>
              <m:e>
                <m:r>
                  <w:rPr>
                    <w:rFonts w:ascii="Cambria Math" w:hAnsi="Cambria Math"/>
                    <w:lang w:bidi="en-US"/>
                  </w:rPr>
                  <m:t>EACN</m:t>
                </m:r>
              </m:e>
            </m:d>
            <m:r>
              <w:rPr>
                <w:rFonts w:ascii="Cambria Math" w:hAnsi="Cambria Math"/>
                <w:lang w:bidi="en-US"/>
              </w:rPr>
              <m:t>-Cc+α</m:t>
            </m:r>
          </m:e>
          <m:sub>
            <m:r>
              <w:rPr>
                <w:rFonts w:ascii="Cambria Math" w:hAnsi="Cambria Math"/>
                <w:lang w:bidi="en-US"/>
              </w:rPr>
              <m:t>T</m:t>
            </m:r>
          </m:sub>
        </m:sSub>
        <m:r>
          <w:rPr>
            <w:rFonts w:ascii="Cambria Math" w:hAnsi="Cambria Math"/>
            <w:lang w:bidi="en-US"/>
          </w:rPr>
          <m:t>(ΔT)</m:t>
        </m:r>
      </m:oMath>
      <w:r w:rsidR="003E2D46" w:rsidRPr="003E2D46">
        <w:rPr>
          <w:lang w:bidi="en-US"/>
        </w:rPr>
        <w:t xml:space="preserve">                             (Equation 10)</w:t>
      </w:r>
    </w:p>
    <w:p w:rsidR="003E2D46" w:rsidRPr="003E2D46" w:rsidRDefault="003E2D46" w:rsidP="003E2D46">
      <w:pPr>
        <w:jc w:val="both"/>
        <w:rPr>
          <w:lang w:bidi="en-US"/>
        </w:rPr>
      </w:pPr>
      <w:r w:rsidRPr="003E2D46">
        <w:rPr>
          <w:lang w:bidi="en-US"/>
        </w:rPr>
        <w:t xml:space="preserve">According to Equation 10, the plot of ln (S*) vs </w:t>
      </w:r>
      <w:r w:rsidRPr="003E2D46">
        <w:rPr>
          <w:rFonts w:ascii="Cambria Math" w:hAnsi="Cambria Math" w:cs="Cambria Math"/>
          <w:lang w:bidi="en-US"/>
        </w:rPr>
        <w:t>𝛥</w:t>
      </w:r>
      <w:r w:rsidRPr="003E2D46">
        <w:rPr>
          <w:lang w:bidi="en-US"/>
        </w:rPr>
        <w:t>T for a single surfactant system i.e. Cc and EACN are constant, shows that the optimal salinity of an ionic surfactant increases with increasing temperature. Such behavior of ionic surfactants can be explained due the fact the head group of an ionic surfactant becomes more hydrophilic at higher temperature which increases the optimal salin</w:t>
      </w:r>
      <w:r w:rsidR="00F32707">
        <w:rPr>
          <w:lang w:bidi="en-US"/>
        </w:rPr>
        <w:t>ity and the solubility constant</w:t>
      </w:r>
      <w:r w:rsidRPr="003E2D46">
        <w:rPr>
          <w:lang w:bidi="en-US"/>
        </w:rPr>
        <w:fldChar w:fldCharType="begin"/>
      </w:r>
      <w:r w:rsidR="00332C11">
        <w:rPr>
          <w:lang w:bidi="en-US"/>
        </w:rPr>
        <w:instrText xml:space="preserve"> ADDIN EN.CITE &lt;EndNote&gt;&lt;Cite&gt;&lt;Author&gt;Velásquez&lt;/Author&gt;&lt;Year&gt;2010&lt;/Year&gt;&lt;RecNum&gt;52&lt;/RecNum&gt;&lt;DisplayText&gt;&lt;style face="superscript"&gt;49&lt;/style&gt;&lt;/DisplayText&gt;&lt;record&gt;&lt;rec-number&gt;52&lt;/rec-number&gt;&lt;foreign-keys&gt;&lt;key app="EN" db-id="a5zz9zdsp2tzdiedrdov0ztx9zwzps0patvs" timestamp="1425064008"&gt;52&lt;/key&gt;&lt;/foreign-keys&gt;&lt;ref-type name="Journal Article"&gt;17&lt;/ref-type&gt;&lt;contributors&gt;&lt;authors&gt;&lt;author&gt;Velásquez, Josmary&lt;/author&gt;&lt;author&gt;Scorzza, Cesar&lt;/author&gt;&lt;author&gt;Vejar, Francia&lt;/author&gt;&lt;author&gt;Forgiarini, Ana M&lt;/author&gt;&lt;author&gt;Antón, Raquel E&lt;/author&gt;&lt;author&gt;Salager, Jean-Louis&lt;/author&gt;&lt;/authors&gt;&lt;/contributors&gt;&lt;titles&gt;&lt;title&gt;Effect of temperature and other variables on the optimum formulation of anionic extended surfactant–alkane–brine systems&lt;/title&gt;&lt;secondary-title&gt;Journal of surfactants and detergents&lt;/secondary-title&gt;&lt;/titles&gt;&lt;periodical&gt;&lt;full-title&gt;Journal of Surfactants and Detergents&lt;/full-title&gt;&lt;/periodical&gt;&lt;pages&gt;69-73&lt;/pages&gt;&lt;volume&gt;13&lt;/volume&gt;&lt;number&gt;1&lt;/number&gt;&lt;dates&gt;&lt;year&gt;2010&lt;/year&gt;&lt;/dates&gt;&lt;isbn&gt;1097-3958&lt;/isbn&gt;&lt;urls&gt;&lt;/urls&gt;&lt;/record&gt;&lt;/Cite&gt;&lt;/EndNote&gt;</w:instrText>
      </w:r>
      <w:r w:rsidRPr="003E2D46">
        <w:rPr>
          <w:lang w:bidi="en-US"/>
        </w:rPr>
        <w:fldChar w:fldCharType="separate"/>
      </w:r>
      <w:r w:rsidR="00332C11" w:rsidRPr="00332C11">
        <w:rPr>
          <w:noProof/>
          <w:vertAlign w:val="superscript"/>
          <w:lang w:bidi="en-US"/>
        </w:rPr>
        <w:t>49</w:t>
      </w:r>
      <w:r w:rsidRPr="003E2D46">
        <w:rPr>
          <w:lang w:bidi="en-US"/>
        </w:rPr>
        <w:fldChar w:fldCharType="end"/>
      </w:r>
      <w:r w:rsidRPr="003E2D46">
        <w:rPr>
          <w:lang w:bidi="en-US"/>
        </w:rPr>
        <w:t>.  The temperature constant, α</w:t>
      </w:r>
      <w:r w:rsidRPr="003E2D46">
        <w:rPr>
          <w:vertAlign w:val="subscript"/>
          <w:lang w:bidi="en-US"/>
        </w:rPr>
        <w:t>T</w:t>
      </w:r>
      <w:r w:rsidRPr="003E2D46">
        <w:rPr>
          <w:lang w:bidi="en-US"/>
        </w:rPr>
        <w:t>, of ionic surfactants has been reported as 0.01°C</w:t>
      </w:r>
      <w:r w:rsidR="00F32707">
        <w:rPr>
          <w:vertAlign w:val="superscript"/>
          <w:lang w:bidi="en-US"/>
        </w:rPr>
        <w:t>-1</w:t>
      </w:r>
      <w:r w:rsidR="00E26B68">
        <w:rPr>
          <w:vertAlign w:val="superscript"/>
          <w:lang w:bidi="en-US"/>
        </w:rPr>
        <w:t xml:space="preserve"> </w:t>
      </w:r>
      <w:r w:rsidRPr="003E2D46">
        <w:rPr>
          <w:lang w:bidi="en-US"/>
        </w:rPr>
        <w:fldChar w:fldCharType="begin"/>
      </w:r>
      <w:r w:rsidR="00332C11">
        <w:rPr>
          <w:lang w:bidi="en-US"/>
        </w:rPr>
        <w:instrText xml:space="preserve"> ADDIN EN.CITE &lt;EndNote&gt;&lt;Cite&gt;&lt;Author&gt;Salager&lt;/Author&gt;&lt;Year&gt;1979&lt;/Year&gt;&lt;RecNum&gt;34&lt;/RecNum&gt;&lt;DisplayText&gt;&lt;style face="superscript"&gt;24, 48&lt;/style&gt;&lt;/DisplayText&gt;&lt;record&gt;&lt;rec-number&gt;34&lt;/rec-number&gt;&lt;foreign-keys&gt;&lt;key app="EN" db-id="a5zz9zdsp2tzdiedrdov0ztx9zwzps0patvs" timestamp="1424741472"&gt;34&lt;/key&gt;&lt;/foreign-keys&gt;&lt;ref-type name="Journal Article"&gt;17&lt;/ref-type&gt;&lt;contributors&gt;&lt;authors&gt;&lt;author&gt;Salager, JL&lt;/author&gt;&lt;author&gt;Morgan, JC&lt;/author&gt;&lt;author&gt;Schechter, RS&lt;/author&gt;&lt;author&gt;Wade, WH&lt;/author&gt;&lt;author&gt;Vasquez, E&lt;/author&gt;&lt;/authors&gt;&lt;/contributors&gt;&lt;titles&gt;&lt;title&gt;Optimum formulation of surfactant/water/oil systems for minimum interfacial tension or phase behavior&lt;/title&gt;&lt;secondary-title&gt;Soc. Pet. Eng. J&lt;/secondary-title&gt;&lt;/titles&gt;&lt;periodical&gt;&lt;full-title&gt;Soc. Pet. Eng. J&lt;/full-title&gt;&lt;/periodical&gt;&lt;pages&gt;107-115&lt;/pages&gt;&lt;volume&gt;19&lt;/volume&gt;&lt;number&gt;2&lt;/number&gt;&lt;dates&gt;&lt;year&gt;1979&lt;/year&gt;&lt;/dates&gt;&lt;urls&gt;&lt;/urls&gt;&lt;/record&gt;&lt;/Cite&gt;&lt;Cite&gt;&lt;Author&gt;Hammond&lt;/Author&gt;&lt;Year&gt;2012&lt;/Year&gt;&lt;RecNum&gt;48&lt;/RecNum&gt;&lt;record&gt;&lt;rec-number&gt;48&lt;/rec-number&gt;&lt;foreign-keys&gt;&lt;key app="EN" db-id="a5zz9zdsp2tzdiedrdov0ztx9zwzps0patvs" timestamp="1424742091"&gt;48&lt;/key&gt;&lt;/foreign-keys&gt;&lt;ref-type name="Journal Article"&gt;17&lt;/ref-type&gt;&lt;contributors&gt;&lt;authors&gt;&lt;author&gt;Hammond, Charles E&lt;/author&gt;&lt;author&gt;Acosta, Edgar J&lt;/author&gt;&lt;/authors&gt;&lt;/contributors&gt;&lt;titles&gt;&lt;title&gt;On the characteristic curvature of alkyl-polypropylene oxide sulfate extended surfactants&lt;/title&gt;&lt;secondary-title&gt;Journal of Surfactants and Detergents&lt;/secondary-title&gt;&lt;/titles&gt;&lt;periodical&gt;&lt;full-title&gt;Journal of Surfactants and Detergents&lt;/full-title&gt;&lt;/periodical&gt;&lt;pages&gt;157-165&lt;/pages&gt;&lt;volume&gt;15&lt;/volume&gt;&lt;number&gt;2&lt;/number&gt;&lt;dates&gt;&lt;year&gt;2012&lt;/year&gt;&lt;/dates&gt;&lt;isbn&gt;1097-3958&lt;/isbn&gt;&lt;urls&gt;&lt;/urls&gt;&lt;/record&gt;&lt;/Cite&gt;&lt;/EndNote&gt;</w:instrText>
      </w:r>
      <w:r w:rsidRPr="003E2D46">
        <w:rPr>
          <w:lang w:bidi="en-US"/>
        </w:rPr>
        <w:fldChar w:fldCharType="separate"/>
      </w:r>
      <w:r w:rsidR="00332C11" w:rsidRPr="00332C11">
        <w:rPr>
          <w:noProof/>
          <w:vertAlign w:val="superscript"/>
          <w:lang w:bidi="en-US"/>
        </w:rPr>
        <w:t>24, 48</w:t>
      </w:r>
      <w:r w:rsidRPr="003E2D46">
        <w:rPr>
          <w:lang w:bidi="en-US"/>
        </w:rPr>
        <w:fldChar w:fldCharType="end"/>
      </w:r>
      <w:r w:rsidRPr="003E2D46">
        <w:rPr>
          <w:lang w:bidi="en-US"/>
        </w:rPr>
        <w:t>. In the case of extended surfactants, mixed views about their temperature depend</w:t>
      </w:r>
      <w:r w:rsidR="00F32707">
        <w:rPr>
          <w:lang w:bidi="en-US"/>
        </w:rPr>
        <w:t>ence can be found. Some authors</w:t>
      </w:r>
      <w:r w:rsidRPr="003E2D46">
        <w:rPr>
          <w:lang w:bidi="en-US"/>
        </w:rPr>
        <w:fldChar w:fldCharType="begin"/>
      </w:r>
      <w:r w:rsidR="00332C11">
        <w:rPr>
          <w:lang w:bidi="en-US"/>
        </w:rPr>
        <w:instrText xml:space="preserve"> ADDIN EN.CITE &lt;EndNote&gt;&lt;Cite&gt;&lt;Author&gt;Antón&lt;/Author&gt;&lt;Year&gt;1992&lt;/Year&gt;&lt;RecNum&gt;72&lt;/RecNum&gt;&lt;DisplayText&gt;&lt;style face="superscript"&gt;52&lt;/style&gt;&lt;/DisplayText&gt;&lt;record&gt;&lt;rec-number&gt;72&lt;/rec-number&gt;&lt;foreign-keys&gt;&lt;key app="EN" db-id="a5zz9zdsp2tzdiedrdov0ztx9zwzps0patvs" timestamp="1425608536"&gt;72&lt;/key&gt;&lt;/foreign-keys&gt;&lt;ref-type name="Journal Article"&gt;17&lt;/ref-type&gt;&lt;contributors&gt;&lt;authors&gt;&lt;author&gt;Antón, RE&lt;/author&gt;&lt;author&gt;Graciaa, A&lt;/author&gt;&lt;author&gt;Lachaise, J&lt;/author&gt;&lt;author&gt;Salager, JL&lt;/author&gt;&lt;/authors&gt;&lt;/contributors&gt;&lt;titles&gt;&lt;title&gt;Surfactant-oil-water systems near the affinity inversion part viii: optimum formulation and phase behavior of mixed anionic-nonionic systems versus temperature&lt;/title&gt;&lt;secondary-title&gt;Journal of dispersion science and technology&lt;/secondary-title&gt;&lt;/titles&gt;&lt;periodical&gt;&lt;full-title&gt;Journal of dispersion science and technology&lt;/full-title&gt;&lt;/periodical&gt;&lt;pages&gt;565-579&lt;/pages&gt;&lt;volume&gt;13&lt;/volume&gt;&lt;number&gt;5&lt;/number&gt;&lt;dates&gt;&lt;year&gt;1992&lt;/year&gt;&lt;/dates&gt;&lt;isbn&gt;0193-2691&lt;/isbn&gt;&lt;urls&gt;&lt;/urls&gt;&lt;/record&gt;&lt;/Cite&gt;&lt;/EndNote&gt;</w:instrText>
      </w:r>
      <w:r w:rsidRPr="003E2D46">
        <w:rPr>
          <w:lang w:bidi="en-US"/>
        </w:rPr>
        <w:fldChar w:fldCharType="separate"/>
      </w:r>
      <w:r w:rsidR="00332C11" w:rsidRPr="00332C11">
        <w:rPr>
          <w:noProof/>
          <w:vertAlign w:val="superscript"/>
          <w:lang w:bidi="en-US"/>
        </w:rPr>
        <w:t>52</w:t>
      </w:r>
      <w:r w:rsidRPr="003E2D46">
        <w:rPr>
          <w:lang w:bidi="en-US"/>
        </w:rPr>
        <w:fldChar w:fldCharType="end"/>
      </w:r>
      <w:r w:rsidRPr="003E2D46">
        <w:rPr>
          <w:lang w:bidi="en-US"/>
        </w:rPr>
        <w:t xml:space="preserve"> have claimed that extended surfactants behave like mixtures of anionic and nonionic surfactants with increasing temperature. In another words, these systems do not show any significant temperature dependent behavior. This is because the extended surfactants contain ionic head groups and non-ionic polar groups, POs and EOs, in the same molecule, which nearly balances any temperature effect. Hammond </w:t>
      </w:r>
      <w:r w:rsidR="00F32707">
        <w:rPr>
          <w:i/>
          <w:lang w:bidi="en-US"/>
        </w:rPr>
        <w:t>et al.</w:t>
      </w:r>
      <w:r w:rsidRPr="003E2D46">
        <w:rPr>
          <w:lang w:bidi="en-US"/>
        </w:rPr>
        <w:fldChar w:fldCharType="begin"/>
      </w:r>
      <w:r w:rsidR="00332C11">
        <w:rPr>
          <w:lang w:bidi="en-US"/>
        </w:rPr>
        <w:instrText xml:space="preserve"> ADDIN EN.CITE &lt;EndNote&gt;&lt;Cite&gt;&lt;Author&gt;Hammond&lt;/Author&gt;&lt;Year&gt;2012&lt;/Year&gt;&lt;RecNum&gt;48&lt;/RecNum&gt;&lt;DisplayText&gt;&lt;style face="superscript"&gt;48&lt;/style&gt;&lt;/DisplayText&gt;&lt;record&gt;&lt;rec-number&gt;48&lt;/rec-number&gt;&lt;foreign-keys&gt;&lt;key app="EN" db-id="a5zz9zdsp2tzdiedrdov0ztx9zwzps0patvs" timestamp="1424742091"&gt;48&lt;/key&gt;&lt;/foreign-keys&gt;&lt;ref-type name="Journal Article"&gt;17&lt;/ref-type&gt;&lt;contributors&gt;&lt;authors&gt;&lt;author&gt;Hammond, Charles E&lt;/author&gt;&lt;author&gt;Acosta, Edgar J&lt;/author&gt;&lt;/authors&gt;&lt;/contributors&gt;&lt;titles&gt;&lt;title&gt;On the characteristic curvature of alkyl-polypropylene oxide sulfate extended surfactants&lt;/title&gt;&lt;secondary-title&gt;Journal of Surfactants and Detergents&lt;/secondary-title&gt;&lt;/titles&gt;&lt;periodical&gt;&lt;full-title&gt;Journal of Surfactants and Detergents&lt;/full-title&gt;&lt;/periodical&gt;&lt;pages&gt;157-165&lt;/pages&gt;&lt;volume&gt;15&lt;/volume&gt;&lt;number&gt;2&lt;/number&gt;&lt;dates&gt;&lt;year&gt;2012&lt;/year&gt;&lt;/dates&gt;&lt;isbn&gt;1097-3958&lt;/isbn&gt;&lt;urls&gt;&lt;/urls&gt;&lt;/record&gt;&lt;/Cite&gt;&lt;/EndNote&gt;</w:instrText>
      </w:r>
      <w:r w:rsidRPr="003E2D46">
        <w:rPr>
          <w:lang w:bidi="en-US"/>
        </w:rPr>
        <w:fldChar w:fldCharType="separate"/>
      </w:r>
      <w:r w:rsidR="00332C11" w:rsidRPr="00332C11">
        <w:rPr>
          <w:noProof/>
          <w:vertAlign w:val="superscript"/>
          <w:lang w:bidi="en-US"/>
        </w:rPr>
        <w:t>48</w:t>
      </w:r>
      <w:r w:rsidRPr="003E2D46">
        <w:rPr>
          <w:lang w:bidi="en-US"/>
        </w:rPr>
        <w:fldChar w:fldCharType="end"/>
      </w:r>
      <w:r w:rsidRPr="003E2D46">
        <w:rPr>
          <w:lang w:bidi="en-US"/>
        </w:rPr>
        <w:t xml:space="preserve"> found the optimal salinity of C</w:t>
      </w:r>
      <w:r w:rsidRPr="003E2D46">
        <w:rPr>
          <w:vertAlign w:val="subscript"/>
          <w:lang w:bidi="en-US"/>
        </w:rPr>
        <w:t>12</w:t>
      </w:r>
      <w:r w:rsidRPr="003E2D46">
        <w:rPr>
          <w:lang w:bidi="en-US"/>
        </w:rPr>
        <w:t>-(PO)</w:t>
      </w:r>
      <w:r w:rsidRPr="003E2D46">
        <w:rPr>
          <w:vertAlign w:val="subscript"/>
          <w:lang w:bidi="en-US"/>
        </w:rPr>
        <w:t>4</w:t>
      </w:r>
      <w:r w:rsidRPr="003E2D46">
        <w:rPr>
          <w:lang w:bidi="en-US"/>
        </w:rPr>
        <w:t>-SO</w:t>
      </w:r>
      <w:r w:rsidRPr="003E2D46">
        <w:rPr>
          <w:vertAlign w:val="subscript"/>
          <w:lang w:bidi="en-US"/>
        </w:rPr>
        <w:t>4</w:t>
      </w:r>
      <w:r w:rsidRPr="003E2D46">
        <w:rPr>
          <w:lang w:bidi="en-US"/>
        </w:rPr>
        <w:t>Na decreases with the increase in temperature and has reported the α</w:t>
      </w:r>
      <w:r w:rsidRPr="003E2D46">
        <w:rPr>
          <w:vertAlign w:val="subscript"/>
          <w:lang w:bidi="en-US"/>
        </w:rPr>
        <w:t>T</w:t>
      </w:r>
      <w:r w:rsidRPr="003E2D46">
        <w:rPr>
          <w:lang w:bidi="en-US"/>
        </w:rPr>
        <w:t xml:space="preserve"> value as -0.0059 °C</w:t>
      </w:r>
      <w:r w:rsidRPr="003E2D46">
        <w:rPr>
          <w:vertAlign w:val="superscript"/>
          <w:lang w:bidi="en-US"/>
        </w:rPr>
        <w:t>-1</w:t>
      </w:r>
      <w:r w:rsidRPr="003E2D46">
        <w:rPr>
          <w:lang w:bidi="en-US"/>
        </w:rPr>
        <w:t>. Some authors also noticed the same behavior and have reported the α</w:t>
      </w:r>
      <w:r w:rsidRPr="003E2D46">
        <w:rPr>
          <w:vertAlign w:val="subscript"/>
          <w:lang w:bidi="en-US"/>
        </w:rPr>
        <w:t xml:space="preserve">T </w:t>
      </w:r>
      <w:r w:rsidRPr="003E2D46">
        <w:rPr>
          <w:lang w:bidi="en-US"/>
        </w:rPr>
        <w:t>values of extended surfactants to be in the range of -0.008 to -0.012 °C</w:t>
      </w:r>
      <w:r w:rsidR="00F32707">
        <w:rPr>
          <w:vertAlign w:val="superscript"/>
          <w:lang w:bidi="en-US"/>
        </w:rPr>
        <w:t xml:space="preserve">-1 </w:t>
      </w:r>
      <w:r w:rsidRPr="003E2D46">
        <w:rPr>
          <w:lang w:bidi="en-US"/>
        </w:rPr>
        <w:fldChar w:fldCharType="begin"/>
      </w:r>
      <w:r w:rsidR="00332C11">
        <w:rPr>
          <w:lang w:bidi="en-US"/>
        </w:rPr>
        <w:instrText xml:space="preserve"> ADDIN EN.CITE &lt;EndNote&gt;&lt;Cite&gt;&lt;Author&gt;Velásquez&lt;/Author&gt;&lt;Year&gt;2010&lt;/Year&gt;&lt;RecNum&gt;52&lt;/RecNum&gt;&lt;DisplayText&gt;&lt;style face="superscript"&gt;49&lt;/style&gt;&lt;/DisplayText&gt;&lt;record&gt;&lt;rec-number&gt;52&lt;/rec-number&gt;&lt;foreign-keys&gt;&lt;key app="EN" db-id="a5zz9zdsp2tzdiedrdov0ztx9zwzps0patvs" timestamp="1425064008"&gt;52&lt;/key&gt;&lt;/foreign-keys&gt;&lt;ref-type name="Journal Article"&gt;17&lt;/ref-type&gt;&lt;contributors&gt;&lt;authors&gt;&lt;author&gt;Velásquez, Josmary&lt;/author&gt;&lt;author&gt;Scorzza, Cesar&lt;/author&gt;&lt;author&gt;Vejar, Francia&lt;/author&gt;&lt;author&gt;Forgiarini, Ana M&lt;/author&gt;&lt;author&gt;Antón, Raquel E&lt;/author&gt;&lt;author&gt;Salager, Jean-Louis&lt;/author&gt;&lt;/authors&gt;&lt;/contributors&gt;&lt;titles&gt;&lt;title&gt;Effect of temperature and other variables on the optimum formulation of anionic extended surfactant–alkane–brine systems&lt;/title&gt;&lt;secondary-title&gt;Journal of surfactants and detergents&lt;/secondary-title&gt;&lt;/titles&gt;&lt;periodical&gt;&lt;full-title&gt;Journal of Surfactants and Detergents&lt;/full-title&gt;&lt;/periodical&gt;&lt;pages&gt;69-73&lt;/pages&gt;&lt;volume&gt;13&lt;/volume&gt;&lt;number&gt;1&lt;/number&gt;&lt;dates&gt;&lt;year&gt;2010&lt;/year&gt;&lt;/dates&gt;&lt;isbn&gt;1097-3958&lt;/isbn&gt;&lt;urls&gt;&lt;/urls&gt;&lt;/record&gt;&lt;/Cite&gt;&lt;/EndNote&gt;</w:instrText>
      </w:r>
      <w:r w:rsidRPr="003E2D46">
        <w:rPr>
          <w:lang w:bidi="en-US"/>
        </w:rPr>
        <w:fldChar w:fldCharType="separate"/>
      </w:r>
      <w:r w:rsidR="00332C11" w:rsidRPr="00332C11">
        <w:rPr>
          <w:noProof/>
          <w:vertAlign w:val="superscript"/>
          <w:lang w:bidi="en-US"/>
        </w:rPr>
        <w:t>49</w:t>
      </w:r>
      <w:r w:rsidRPr="003E2D46">
        <w:rPr>
          <w:lang w:bidi="en-US"/>
        </w:rPr>
        <w:fldChar w:fldCharType="end"/>
      </w:r>
      <w:r w:rsidRPr="003E2D46">
        <w:rPr>
          <w:lang w:bidi="en-US"/>
        </w:rPr>
        <w:t>. The α</w:t>
      </w:r>
      <w:r w:rsidRPr="003E2D46">
        <w:rPr>
          <w:vertAlign w:val="subscript"/>
          <w:lang w:bidi="en-US"/>
        </w:rPr>
        <w:t xml:space="preserve">T </w:t>
      </w:r>
      <w:r w:rsidRPr="003E2D46">
        <w:rPr>
          <w:lang w:bidi="en-US"/>
        </w:rPr>
        <w:t xml:space="preserve">value reported by the group of Hammond for extended surfactants is used in our calculations, since the number of PO’s in the extended surfactants that are used in this study and by the group of Hammond are exactly the same. </w:t>
      </w:r>
    </w:p>
    <w:p w:rsidR="003E2D46" w:rsidRPr="003E2D46" w:rsidRDefault="003E2D46" w:rsidP="003E2D46">
      <w:pPr>
        <w:jc w:val="both"/>
        <w:rPr>
          <w:lang w:bidi="en-US"/>
        </w:rPr>
      </w:pPr>
      <w:r w:rsidRPr="003E2D46">
        <w:rPr>
          <w:lang w:bidi="en-US"/>
        </w:rPr>
        <w:lastRenderedPageBreak/>
        <w:t xml:space="preserve">Very limited studies have been done to identify the temperature dependence of sodium alkyl ethoxylate sulfate surfactants in microemulsions. Looking at the structure of alkyl ethoxylate sulfate surfactants, one would assume that, similar to PO groups of extended surfactants, the oxygen atoms of EO groups present in alkyl ethoxylate sulfate dehydrates at higher temperature and decreases the optimal salinity.  However, Vasqueaz </w:t>
      </w:r>
      <w:r w:rsidR="00F32707">
        <w:rPr>
          <w:i/>
          <w:lang w:bidi="en-US"/>
        </w:rPr>
        <w:t>et al.</w:t>
      </w:r>
      <w:r w:rsidRPr="003E2D46">
        <w:rPr>
          <w:lang w:bidi="en-US"/>
        </w:rPr>
        <w:fldChar w:fldCharType="begin"/>
      </w:r>
      <w:r w:rsidR="00332C11">
        <w:rPr>
          <w:lang w:bidi="en-US"/>
        </w:rPr>
        <w:instrText xml:space="preserve"> ADDIN EN.CITE &lt;EndNote&gt;&lt;Cite&gt;&lt;Author&gt;Velásquez&lt;/Author&gt;&lt;Year&gt;2010&lt;/Year&gt;&lt;RecNum&gt;52&lt;/RecNum&gt;&lt;DisplayText&gt;&lt;style face="superscript"&gt;49&lt;/style&gt;&lt;/DisplayText&gt;&lt;record&gt;&lt;rec-number&gt;52&lt;/rec-number&gt;&lt;foreign-keys&gt;&lt;key app="EN" db-id="a5zz9zdsp2tzdiedrdov0ztx9zwzps0patvs" timestamp="1425064008"&gt;52&lt;/key&gt;&lt;/foreign-keys&gt;&lt;ref-type name="Journal Article"&gt;17&lt;/ref-type&gt;&lt;contributors&gt;&lt;authors&gt;&lt;author&gt;Velásquez, Josmary&lt;/author&gt;&lt;author&gt;Scorzza, Cesar&lt;/author&gt;&lt;author&gt;Vejar, Francia&lt;/author&gt;&lt;author&gt;Forgiarini, Ana M&lt;/author&gt;&lt;author&gt;Antón, Raquel E&lt;/author&gt;&lt;author&gt;Salager, Jean-Louis&lt;/author&gt;&lt;/authors&gt;&lt;/contributors&gt;&lt;titles&gt;&lt;title&gt;Effect of temperature and other variables on the optimum formulation of anionic extended surfactant–alkane–brine systems&lt;/title&gt;&lt;secondary-title&gt;Journal of surfactants and detergents&lt;/secondary-title&gt;&lt;/titles&gt;&lt;periodical&gt;&lt;full-title&gt;Journal of Surfactants and Detergents&lt;/full-title&gt;&lt;/periodical&gt;&lt;pages&gt;69-73&lt;/pages&gt;&lt;volume&gt;13&lt;/volume&gt;&lt;number&gt;1&lt;/number&gt;&lt;dates&gt;&lt;year&gt;2010&lt;/year&gt;&lt;/dates&gt;&lt;isbn&gt;1097-3958&lt;/isbn&gt;&lt;urls&gt;&lt;/urls&gt;&lt;/record&gt;&lt;/Cite&gt;&lt;/EndNote&gt;</w:instrText>
      </w:r>
      <w:r w:rsidRPr="003E2D46">
        <w:rPr>
          <w:lang w:bidi="en-US"/>
        </w:rPr>
        <w:fldChar w:fldCharType="separate"/>
      </w:r>
      <w:r w:rsidR="00332C11" w:rsidRPr="00332C11">
        <w:rPr>
          <w:noProof/>
          <w:vertAlign w:val="superscript"/>
          <w:lang w:bidi="en-US"/>
        </w:rPr>
        <w:t>49</w:t>
      </w:r>
      <w:r w:rsidRPr="003E2D46">
        <w:rPr>
          <w:lang w:bidi="en-US"/>
        </w:rPr>
        <w:fldChar w:fldCharType="end"/>
      </w:r>
      <w:r w:rsidRPr="003E2D46">
        <w:rPr>
          <w:lang w:bidi="en-US"/>
        </w:rPr>
        <w:t xml:space="preserve"> have mentioned the slope, α</w:t>
      </w:r>
      <w:r w:rsidRPr="003E2D46">
        <w:rPr>
          <w:vertAlign w:val="subscript"/>
          <w:lang w:bidi="en-US"/>
        </w:rPr>
        <w:t>T</w:t>
      </w:r>
      <w:r w:rsidRPr="003E2D46">
        <w:rPr>
          <w:lang w:bidi="en-US"/>
        </w:rPr>
        <w:t xml:space="preserve">, of the lnS* vs temperature plot for extended surfactant having both POs and EOs groups are higher compared to non-EO extended surfactants. This suggests that the decrease in optimal salinity with the increase in temperature is a function of POs not EOs. Skauge </w:t>
      </w:r>
      <w:r w:rsidR="00F32707">
        <w:rPr>
          <w:i/>
          <w:lang w:bidi="en-US"/>
        </w:rPr>
        <w:t>et al.</w:t>
      </w:r>
      <w:r w:rsidRPr="003E2D46">
        <w:rPr>
          <w:lang w:bidi="en-US"/>
        </w:rPr>
        <w:fldChar w:fldCharType="begin"/>
      </w:r>
      <w:r w:rsidR="00332C11">
        <w:rPr>
          <w:lang w:bidi="en-US"/>
        </w:rPr>
        <w:instrText xml:space="preserve"> ADDIN EN.CITE &lt;EndNote&gt;&lt;Cite&gt;&lt;Author&gt;Skauge&lt;/Author&gt;&lt;Year&gt;1990&lt;/Year&gt;&lt;RecNum&gt;68&lt;/RecNum&gt;&lt;DisplayText&gt;&lt;style face="superscript"&gt;43&lt;/style&gt;&lt;/DisplayText&gt;&lt;record&gt;&lt;rec-number&gt;68&lt;/rec-number&gt;&lt;foreign-keys&gt;&lt;key app="EN" db-id="a5zz9zdsp2tzdiedrdov0ztx9zwzps0patvs" timestamp="1425600745"&gt;68&lt;/key&gt;&lt;/foreign-keys&gt;&lt;ref-type name="Journal Article"&gt;17&lt;/ref-type&gt;&lt;contributors&gt;&lt;authors&gt;&lt;author&gt;Skauge, Arne&lt;/author&gt;&lt;author&gt;Fotland, Per&lt;/author&gt;&lt;/authors&gt;&lt;/contributors&gt;&lt;titles&gt;&lt;title&gt;Effect of pressure and temperature on the phase behavior of microemulsions&lt;/title&gt;&lt;secondary-title&gt;SPE Reservoir Engineering&lt;/secondary-title&gt;&lt;/titles&gt;&lt;periodical&gt;&lt;full-title&gt;SPE Reservoir Engineering&lt;/full-title&gt;&lt;/periodical&gt;&lt;pages&gt;601-608&lt;/pages&gt;&lt;volume&gt;5&lt;/volume&gt;&lt;number&gt;04&lt;/number&gt;&lt;dates&gt;&lt;year&gt;1990&lt;/year&gt;&lt;/dates&gt;&lt;isbn&gt;0885-9248&lt;/isbn&gt;&lt;urls&gt;&lt;/urls&gt;&lt;/record&gt;&lt;/Cite&gt;&lt;/EndNote&gt;</w:instrText>
      </w:r>
      <w:r w:rsidRPr="003E2D46">
        <w:rPr>
          <w:lang w:bidi="en-US"/>
        </w:rPr>
        <w:fldChar w:fldCharType="separate"/>
      </w:r>
      <w:r w:rsidR="00332C11" w:rsidRPr="00332C11">
        <w:rPr>
          <w:noProof/>
          <w:vertAlign w:val="superscript"/>
          <w:lang w:bidi="en-US"/>
        </w:rPr>
        <w:t>43</w:t>
      </w:r>
      <w:r w:rsidRPr="003E2D46">
        <w:rPr>
          <w:lang w:bidi="en-US"/>
        </w:rPr>
        <w:fldChar w:fldCharType="end"/>
      </w:r>
      <w:r w:rsidRPr="003E2D46" w:rsidDel="00A87C81">
        <w:rPr>
          <w:lang w:bidi="en-US"/>
        </w:rPr>
        <w:t xml:space="preserve"> </w:t>
      </w:r>
      <w:r w:rsidRPr="003E2D46">
        <w:rPr>
          <w:lang w:bidi="en-US"/>
        </w:rPr>
        <w:t>reported the temperature effect on optimal salinities of alkylaryl ethoxylate sulfonate having 4 EOs and report that the optimal salinities of such system increase with increasing temperature. Based on the available literature data, it is safe to assume that at higher temperature, the increases in hydrophilicity of the ionic head group is much larger compared to the dehydration of EO groups and thus the positive increase in α</w:t>
      </w:r>
      <w:r w:rsidRPr="003E2D46">
        <w:rPr>
          <w:vertAlign w:val="subscript"/>
          <w:lang w:bidi="en-US"/>
        </w:rPr>
        <w:t>T</w:t>
      </w:r>
      <w:r w:rsidRPr="003E2D46">
        <w:rPr>
          <w:lang w:bidi="en-US"/>
        </w:rPr>
        <w:t xml:space="preserve"> of lnS* vs temperature plot is expected. Therefore, for similar reasons, the α</w:t>
      </w:r>
      <w:r w:rsidRPr="003E2D46">
        <w:rPr>
          <w:vertAlign w:val="subscript"/>
          <w:lang w:bidi="en-US"/>
        </w:rPr>
        <w:t>T</w:t>
      </w:r>
      <w:r w:rsidRPr="003E2D46">
        <w:rPr>
          <w:lang w:bidi="en-US"/>
        </w:rPr>
        <w:t xml:space="preserve"> value of 0.01°C</w:t>
      </w:r>
      <w:r w:rsidRPr="003E2D46">
        <w:rPr>
          <w:vertAlign w:val="superscript"/>
          <w:lang w:bidi="en-US"/>
        </w:rPr>
        <w:t>-1</w:t>
      </w:r>
      <w:r w:rsidRPr="003E2D46">
        <w:rPr>
          <w:lang w:bidi="en-US"/>
        </w:rPr>
        <w:t xml:space="preserve"> is used for C</w:t>
      </w:r>
      <w:r w:rsidRPr="003E2D46">
        <w:rPr>
          <w:vertAlign w:val="subscript"/>
          <w:lang w:bidi="en-US"/>
        </w:rPr>
        <w:t>12</w:t>
      </w:r>
      <w:r w:rsidRPr="003E2D46">
        <w:rPr>
          <w:lang w:bidi="en-US"/>
        </w:rPr>
        <w:t>-(EO)</w:t>
      </w:r>
      <w:r w:rsidRPr="003E2D46">
        <w:rPr>
          <w:vertAlign w:val="subscript"/>
          <w:lang w:bidi="en-US"/>
        </w:rPr>
        <w:t>3</w:t>
      </w:r>
      <w:r w:rsidRPr="003E2D46">
        <w:rPr>
          <w:lang w:bidi="en-US"/>
        </w:rPr>
        <w:t>-SO</w:t>
      </w:r>
      <w:r w:rsidRPr="003E2D46">
        <w:rPr>
          <w:vertAlign w:val="subscript"/>
          <w:lang w:bidi="en-US"/>
        </w:rPr>
        <w:t>4</w:t>
      </w:r>
      <w:r w:rsidR="00F32707">
        <w:rPr>
          <w:lang w:bidi="en-US"/>
        </w:rPr>
        <w:t>Na (Steol Cs460) in this work.</w:t>
      </w:r>
    </w:p>
    <w:p w:rsidR="003E2D46" w:rsidRPr="003E2D46" w:rsidRDefault="00CF5567" w:rsidP="00BF7BCE">
      <w:pPr>
        <w:pStyle w:val="Heading3"/>
      </w:pPr>
      <w:bookmarkStart w:id="42" w:name="_Toc426374019"/>
      <w:bookmarkStart w:id="43" w:name="_Toc413353884"/>
      <w:r>
        <w:t>Prediction of Surfactant/Co-Surfactant R</w:t>
      </w:r>
      <w:r w:rsidR="003E2D46" w:rsidRPr="003E2D46">
        <w:t>atio</w:t>
      </w:r>
      <w:bookmarkEnd w:id="42"/>
      <w:r w:rsidR="003E2D46" w:rsidRPr="003E2D46">
        <w:t xml:space="preserve"> </w:t>
      </w:r>
      <w:bookmarkEnd w:id="43"/>
    </w:p>
    <w:p w:rsidR="003E2D46" w:rsidRDefault="003E2D46" w:rsidP="003E2D46">
      <w:pPr>
        <w:jc w:val="both"/>
        <w:rPr>
          <w:lang w:bidi="en-US"/>
        </w:rPr>
      </w:pPr>
      <w:r w:rsidRPr="003E2D46">
        <w:rPr>
          <w:lang w:bidi="en-US"/>
        </w:rPr>
        <w:t>The HL</w:t>
      </w:r>
      <w:r w:rsidR="00C47BB2">
        <w:rPr>
          <w:lang w:bidi="en-US"/>
        </w:rPr>
        <w:t xml:space="preserve">D predicts the Cc-value that is required </w:t>
      </w:r>
      <w:r w:rsidRPr="003E2D46">
        <w:rPr>
          <w:lang w:bidi="en-US"/>
        </w:rPr>
        <w:t>to form an optimal Type III microemulsion at the reservoir conditions and is calculated by using Equation 1. Since the parameters, K and α</w:t>
      </w:r>
      <w:r w:rsidRPr="003E2D46">
        <w:rPr>
          <w:vertAlign w:val="subscript"/>
          <w:lang w:bidi="en-US"/>
        </w:rPr>
        <w:t>T</w:t>
      </w:r>
      <w:r w:rsidRPr="003E2D46">
        <w:rPr>
          <w:lang w:bidi="en-US"/>
        </w:rPr>
        <w:t>, of Equation 1 depend on the type of surfactant, the mole-average K and α</w:t>
      </w:r>
      <w:r w:rsidRPr="003E2D46">
        <w:rPr>
          <w:vertAlign w:val="subscript"/>
          <w:lang w:bidi="en-US"/>
        </w:rPr>
        <w:t xml:space="preserve">T </w:t>
      </w:r>
      <w:r w:rsidRPr="003E2D46">
        <w:rPr>
          <w:lang w:bidi="en-US"/>
        </w:rPr>
        <w:t>v</w:t>
      </w:r>
      <w:r w:rsidR="00C47BB2">
        <w:rPr>
          <w:lang w:bidi="en-US"/>
        </w:rPr>
        <w:t>alues are used</w:t>
      </w:r>
      <w:r w:rsidRPr="003E2D46">
        <w:rPr>
          <w:lang w:bidi="en-US"/>
        </w:rPr>
        <w:t>. The HLD predicted Cc</w:t>
      </w:r>
      <w:r w:rsidRPr="003E2D46">
        <w:rPr>
          <w:vertAlign w:val="subscript"/>
          <w:lang w:bidi="en-US"/>
        </w:rPr>
        <w:t xml:space="preserve"> </w:t>
      </w:r>
      <w:r w:rsidRPr="003E2D46">
        <w:rPr>
          <w:lang w:bidi="en-US"/>
        </w:rPr>
        <w:t>is shown in Table 6.</w:t>
      </w:r>
    </w:p>
    <w:p w:rsidR="00C35DE4" w:rsidRPr="00C35DE4" w:rsidRDefault="00C35DE4" w:rsidP="00BA2D85">
      <w:pPr>
        <w:pStyle w:val="Caption"/>
        <w:keepNext/>
        <w:rPr>
          <w:b w:val="0"/>
        </w:rPr>
      </w:pPr>
      <w:bookmarkStart w:id="44" w:name="_Toc426967284"/>
      <w:r>
        <w:lastRenderedPageBreak/>
        <w:t xml:space="preserve">Table </w:t>
      </w:r>
      <w:r w:rsidR="001C58A2">
        <w:fldChar w:fldCharType="begin"/>
      </w:r>
      <w:r w:rsidR="001C58A2">
        <w:instrText xml:space="preserve"> SEQ Table \* ARABIC </w:instrText>
      </w:r>
      <w:r w:rsidR="001C58A2">
        <w:fldChar w:fldCharType="separate"/>
      </w:r>
      <w:r w:rsidR="003F7947">
        <w:rPr>
          <w:noProof/>
        </w:rPr>
        <w:t>6</w:t>
      </w:r>
      <w:r w:rsidR="001C58A2">
        <w:rPr>
          <w:noProof/>
        </w:rPr>
        <w:fldChar w:fldCharType="end"/>
      </w:r>
      <w:r>
        <w:t xml:space="preserve">. </w:t>
      </w:r>
      <w:r w:rsidR="00C47BB2">
        <w:rPr>
          <w:b w:val="0"/>
        </w:rPr>
        <w:t xml:space="preserve">Calculated required or </w:t>
      </w:r>
      <w:r w:rsidRPr="00C35DE4">
        <w:rPr>
          <w:b w:val="0"/>
        </w:rPr>
        <w:t>predicted Cc to produce optimal Type III microemulsion of the site specific crude and brine at the reservoir conditions</w:t>
      </w:r>
      <w:bookmarkEnd w:id="44"/>
    </w:p>
    <w:tbl>
      <w:tblPr>
        <w:tblpPr w:leftFromText="180" w:rightFromText="180" w:vertAnchor="text" w:horzAnchor="margin" w:tblpXSpec="center" w:tblpY="335"/>
        <w:tblW w:w="4573" w:type="pct"/>
        <w:tblCellMar>
          <w:left w:w="0" w:type="dxa"/>
          <w:right w:w="0" w:type="dxa"/>
        </w:tblCellMar>
        <w:tblLook w:val="0600" w:firstRow="0" w:lastRow="0" w:firstColumn="0" w:lastColumn="0" w:noHBand="1" w:noVBand="1"/>
      </w:tblPr>
      <w:tblGrid>
        <w:gridCol w:w="1512"/>
        <w:gridCol w:w="949"/>
        <w:gridCol w:w="1124"/>
        <w:gridCol w:w="1551"/>
        <w:gridCol w:w="755"/>
        <w:gridCol w:w="1879"/>
      </w:tblGrid>
      <w:tr w:rsidR="00DA2319" w:rsidRPr="00C35DE4" w:rsidTr="00DA2319">
        <w:trPr>
          <w:trHeight w:val="587"/>
        </w:trPr>
        <w:tc>
          <w:tcPr>
            <w:tcW w:w="97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jc w:val="center"/>
              <w:rPr>
                <w:b/>
                <w:sz w:val="22"/>
                <w:lang w:bidi="en-US"/>
              </w:rPr>
            </w:pPr>
            <w:r w:rsidRPr="00C35DE4">
              <w:rPr>
                <w:b/>
                <w:bCs/>
                <w:sz w:val="22"/>
                <w:lang w:bidi="en-US"/>
              </w:rPr>
              <w:t>TDS (S*)</w:t>
            </w:r>
          </w:p>
        </w:tc>
        <w:tc>
          <w:tcPr>
            <w:tcW w:w="611"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jc w:val="center"/>
              <w:rPr>
                <w:b/>
                <w:sz w:val="22"/>
                <w:lang w:bidi="en-US"/>
              </w:rPr>
            </w:pPr>
            <w:r w:rsidRPr="00C35DE4">
              <w:rPr>
                <w:b/>
                <w:bCs/>
                <w:sz w:val="22"/>
                <w:lang w:bidi="en-US"/>
              </w:rPr>
              <w:t>Ave  K</w:t>
            </w:r>
          </w:p>
        </w:tc>
        <w:tc>
          <w:tcPr>
            <w:tcW w:w="72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jc w:val="center"/>
              <w:rPr>
                <w:b/>
                <w:sz w:val="22"/>
                <w:lang w:bidi="en-US"/>
              </w:rPr>
            </w:pPr>
            <w:r w:rsidRPr="00C35DE4">
              <w:rPr>
                <w:b/>
                <w:bCs/>
                <w:sz w:val="22"/>
                <w:lang w:bidi="en-US"/>
              </w:rPr>
              <w:t xml:space="preserve">Ave  </w:t>
            </w:r>
            <w:r w:rsidRPr="00C35DE4">
              <w:rPr>
                <w:b/>
                <w:bCs/>
                <w:sz w:val="22"/>
                <w:lang w:val="el-GR" w:bidi="en-US"/>
              </w:rPr>
              <w:t>α</w:t>
            </w:r>
            <w:r w:rsidRPr="00C35DE4">
              <w:rPr>
                <w:b/>
                <w:bCs/>
                <w:sz w:val="22"/>
                <w:vertAlign w:val="subscript"/>
                <w:lang w:bidi="en-US"/>
              </w:rPr>
              <w:t>T</w:t>
            </w:r>
          </w:p>
        </w:tc>
        <w:tc>
          <w:tcPr>
            <w:tcW w:w="998"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jc w:val="center"/>
              <w:rPr>
                <w:b/>
                <w:sz w:val="22"/>
                <w:lang w:bidi="en-US"/>
              </w:rPr>
            </w:pPr>
            <w:r w:rsidRPr="00C35DE4">
              <w:rPr>
                <w:b/>
                <w:bCs/>
                <w:sz w:val="22"/>
                <w:lang w:bidi="en-US"/>
              </w:rPr>
              <w:t>Temperature</w:t>
            </w:r>
          </w:p>
        </w:tc>
        <w:tc>
          <w:tcPr>
            <w:tcW w:w="486"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jc w:val="center"/>
              <w:rPr>
                <w:b/>
                <w:sz w:val="22"/>
                <w:lang w:bidi="en-US"/>
              </w:rPr>
            </w:pPr>
            <w:r w:rsidRPr="00C35DE4">
              <w:rPr>
                <w:b/>
                <w:bCs/>
                <w:sz w:val="22"/>
                <w:lang w:bidi="en-US"/>
              </w:rPr>
              <w:t>EACN</w:t>
            </w:r>
          </w:p>
        </w:tc>
        <w:tc>
          <w:tcPr>
            <w:tcW w:w="1209"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jc w:val="center"/>
              <w:rPr>
                <w:b/>
                <w:sz w:val="22"/>
                <w:lang w:bidi="en-US"/>
              </w:rPr>
            </w:pPr>
            <w:r w:rsidRPr="00C35DE4">
              <w:rPr>
                <w:b/>
                <w:bCs/>
                <w:sz w:val="22"/>
                <w:lang w:bidi="en-US"/>
              </w:rPr>
              <w:t>Predicted Cc</w:t>
            </w:r>
          </w:p>
        </w:tc>
      </w:tr>
      <w:tr w:rsidR="00DA2319" w:rsidRPr="00C35DE4" w:rsidTr="00DA2319">
        <w:trPr>
          <w:trHeight w:val="560"/>
        </w:trPr>
        <w:tc>
          <w:tcPr>
            <w:tcW w:w="97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jc w:val="center"/>
              <w:rPr>
                <w:sz w:val="22"/>
                <w:lang w:bidi="en-US"/>
              </w:rPr>
            </w:pPr>
            <w:r w:rsidRPr="00C35DE4">
              <w:rPr>
                <w:sz w:val="22"/>
                <w:lang w:bidi="en-US"/>
              </w:rPr>
              <w:t>30.17 g/100 ml</w:t>
            </w:r>
          </w:p>
        </w:tc>
        <w:tc>
          <w:tcPr>
            <w:tcW w:w="611"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jc w:val="center"/>
              <w:rPr>
                <w:sz w:val="22"/>
                <w:lang w:bidi="en-US"/>
              </w:rPr>
            </w:pPr>
            <w:r w:rsidRPr="00C35DE4">
              <w:rPr>
                <w:sz w:val="22"/>
                <w:lang w:bidi="en-US"/>
              </w:rPr>
              <w:t>0.06</w:t>
            </w:r>
          </w:p>
        </w:tc>
        <w:tc>
          <w:tcPr>
            <w:tcW w:w="72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jc w:val="center"/>
              <w:rPr>
                <w:sz w:val="22"/>
                <w:lang w:bidi="en-US"/>
              </w:rPr>
            </w:pPr>
            <w:r w:rsidRPr="00C35DE4">
              <w:rPr>
                <w:sz w:val="22"/>
                <w:lang w:bidi="en-US"/>
              </w:rPr>
              <w:t>0.002 °C</w:t>
            </w:r>
            <w:r w:rsidRPr="0002352A">
              <w:rPr>
                <w:sz w:val="22"/>
                <w:vertAlign w:val="superscript"/>
                <w:lang w:bidi="en-US"/>
              </w:rPr>
              <w:t>-1</w:t>
            </w:r>
          </w:p>
        </w:tc>
        <w:tc>
          <w:tcPr>
            <w:tcW w:w="998"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jc w:val="center"/>
              <w:rPr>
                <w:sz w:val="22"/>
                <w:lang w:bidi="en-US"/>
              </w:rPr>
            </w:pPr>
            <w:r w:rsidRPr="00C35DE4">
              <w:rPr>
                <w:sz w:val="22"/>
                <w:lang w:bidi="en-US"/>
              </w:rPr>
              <w:t>52 °C</w:t>
            </w:r>
          </w:p>
        </w:tc>
        <w:tc>
          <w:tcPr>
            <w:tcW w:w="486"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jc w:val="center"/>
              <w:rPr>
                <w:sz w:val="22"/>
                <w:lang w:bidi="en-US"/>
              </w:rPr>
            </w:pPr>
            <w:r w:rsidRPr="00C35DE4">
              <w:rPr>
                <w:sz w:val="22"/>
                <w:lang w:bidi="en-US"/>
              </w:rPr>
              <w:t>9.8</w:t>
            </w:r>
          </w:p>
        </w:tc>
        <w:tc>
          <w:tcPr>
            <w:tcW w:w="1209"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jc w:val="center"/>
              <w:rPr>
                <w:sz w:val="22"/>
                <w:lang w:bidi="en-US"/>
              </w:rPr>
            </w:pPr>
            <w:r w:rsidRPr="00C35DE4">
              <w:rPr>
                <w:sz w:val="22"/>
                <w:lang w:bidi="en-US"/>
              </w:rPr>
              <w:t>-2.76</w:t>
            </w:r>
          </w:p>
        </w:tc>
      </w:tr>
    </w:tbl>
    <w:p w:rsidR="00C35DE4" w:rsidRDefault="00C35DE4" w:rsidP="00C35DE4">
      <w:pPr>
        <w:pStyle w:val="Caption"/>
        <w:keepNext/>
      </w:pPr>
    </w:p>
    <w:p w:rsidR="00C35DE4" w:rsidRDefault="00C35DE4" w:rsidP="00C35DE4">
      <w:pPr>
        <w:pStyle w:val="Caption"/>
        <w:keepNext/>
      </w:pPr>
    </w:p>
    <w:p w:rsidR="00BA2D85" w:rsidRDefault="00BA2D85" w:rsidP="00BA2D85">
      <w:pPr>
        <w:pStyle w:val="Caption"/>
        <w:keepNext/>
      </w:pPr>
    </w:p>
    <w:p w:rsidR="00C35DE4" w:rsidRPr="00C35DE4" w:rsidRDefault="00C35DE4" w:rsidP="00BA2D85">
      <w:pPr>
        <w:pStyle w:val="Caption"/>
        <w:keepNext/>
        <w:rPr>
          <w:b w:val="0"/>
        </w:rPr>
      </w:pPr>
      <w:bookmarkStart w:id="45" w:name="_Toc426967285"/>
      <w:r>
        <w:t xml:space="preserve">Table </w:t>
      </w:r>
      <w:r w:rsidR="001C58A2">
        <w:fldChar w:fldCharType="begin"/>
      </w:r>
      <w:r w:rsidR="001C58A2">
        <w:instrText xml:space="preserve"> SEQ Table \* ARABIC </w:instrText>
      </w:r>
      <w:r w:rsidR="001C58A2">
        <w:fldChar w:fldCharType="separate"/>
      </w:r>
      <w:r w:rsidR="003F7947">
        <w:rPr>
          <w:noProof/>
        </w:rPr>
        <w:t>7</w:t>
      </w:r>
      <w:r w:rsidR="001C58A2">
        <w:rPr>
          <w:noProof/>
        </w:rPr>
        <w:fldChar w:fldCharType="end"/>
      </w:r>
      <w:r>
        <w:t xml:space="preserve">. </w:t>
      </w:r>
      <w:r w:rsidRPr="00C35DE4">
        <w:rPr>
          <w:b w:val="0"/>
        </w:rPr>
        <w:t>Predicted mole fractio</w:t>
      </w:r>
      <w:r w:rsidR="00E26B68">
        <w:rPr>
          <w:b w:val="0"/>
        </w:rPr>
        <w:t>n (x) and weight fraction (y</w:t>
      </w:r>
      <w:r w:rsidRPr="00C35DE4">
        <w:rPr>
          <w:b w:val="0"/>
        </w:rPr>
        <w:t>) of the binary mixtures to</w:t>
      </w:r>
      <w:r w:rsidR="00426A6D">
        <w:rPr>
          <w:b w:val="0"/>
        </w:rPr>
        <w:t xml:space="preserve"> produce optimal type III micro</w:t>
      </w:r>
      <w:r w:rsidRPr="00C35DE4">
        <w:rPr>
          <w:b w:val="0"/>
        </w:rPr>
        <w:t>emulsions</w:t>
      </w:r>
      <w:bookmarkEnd w:id="45"/>
    </w:p>
    <w:p w:rsidR="00C35DE4" w:rsidRDefault="00C35DE4" w:rsidP="00BA2D85">
      <w:pPr>
        <w:pStyle w:val="Caption"/>
        <w:keepNext/>
      </w:pPr>
    </w:p>
    <w:tbl>
      <w:tblPr>
        <w:tblpPr w:leftFromText="180" w:rightFromText="180" w:vertAnchor="page" w:horzAnchor="margin" w:tblpXSpec="center" w:tblpY="5026"/>
        <w:tblW w:w="7020" w:type="dxa"/>
        <w:tblCellMar>
          <w:left w:w="0" w:type="dxa"/>
          <w:right w:w="0" w:type="dxa"/>
        </w:tblCellMar>
        <w:tblLook w:val="0600" w:firstRow="0" w:lastRow="0" w:firstColumn="0" w:lastColumn="0" w:noHBand="1" w:noVBand="1"/>
      </w:tblPr>
      <w:tblGrid>
        <w:gridCol w:w="1940"/>
        <w:gridCol w:w="490"/>
        <w:gridCol w:w="1430"/>
        <w:gridCol w:w="1450"/>
        <w:gridCol w:w="900"/>
        <w:gridCol w:w="810"/>
      </w:tblGrid>
      <w:tr w:rsidR="00DA2319" w:rsidRPr="00C35DE4" w:rsidTr="00DA2319">
        <w:trPr>
          <w:trHeight w:val="630"/>
        </w:trPr>
        <w:tc>
          <w:tcPr>
            <w:tcW w:w="2430" w:type="dxa"/>
            <w:gridSpan w:val="2"/>
            <w:vMerge w:val="restar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b/>
                <w:bCs/>
                <w:color w:val="000000"/>
                <w:kern w:val="24"/>
                <w:sz w:val="22"/>
              </w:rPr>
              <w:t>Systems with Steol Cs460</w:t>
            </w:r>
          </w:p>
        </w:tc>
        <w:tc>
          <w:tcPr>
            <w:tcW w:w="2880" w:type="dxa"/>
            <w:gridSpan w:val="2"/>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u w:val="single"/>
              </w:rPr>
            </w:pPr>
            <w:r w:rsidRPr="00C35DE4">
              <w:rPr>
                <w:rFonts w:ascii="Times New Roman" w:hAnsi="Times New Roman"/>
                <w:b/>
                <w:bCs/>
                <w:color w:val="000000"/>
                <w:kern w:val="24"/>
                <w:sz w:val="22"/>
              </w:rPr>
              <w:t>Extended Surfactant</w:t>
            </w:r>
            <w:r w:rsidRPr="00C35DE4">
              <w:rPr>
                <w:rFonts w:ascii="Times New Roman" w:hAnsi="Times New Roman"/>
                <w:b/>
                <w:bCs/>
                <w:color w:val="000000"/>
                <w:kern w:val="24"/>
                <w:sz w:val="22"/>
                <w:u w:val="single"/>
              </w:rPr>
              <w:t xml:space="preserve"> </w:t>
            </w:r>
            <w:r w:rsidR="004D3D1F">
              <w:rPr>
                <w:rFonts w:ascii="Times New Roman" w:hAnsi="Times New Roman"/>
                <w:b/>
                <w:bCs/>
                <w:color w:val="000000"/>
                <w:kern w:val="24"/>
                <w:sz w:val="22"/>
              </w:rPr>
              <w:t>(P</w:t>
            </w:r>
            <w:r w:rsidRPr="00C35DE4">
              <w:rPr>
                <w:rFonts w:ascii="Times New Roman" w:hAnsi="Times New Roman"/>
                <w:b/>
                <w:bCs/>
                <w:color w:val="000000"/>
                <w:kern w:val="24"/>
                <w:sz w:val="22"/>
              </w:rPr>
              <w:t>rimary Surfactant)</w:t>
            </w:r>
          </w:p>
        </w:tc>
        <w:tc>
          <w:tcPr>
            <w:tcW w:w="1710" w:type="dxa"/>
            <w:gridSpan w:val="2"/>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DA2319" w:rsidRPr="00C35DE4" w:rsidRDefault="00DA2319" w:rsidP="00DA2319">
            <w:pPr>
              <w:spacing w:line="240" w:lineRule="auto"/>
              <w:jc w:val="center"/>
              <w:textAlignment w:val="bottom"/>
              <w:rPr>
                <w:rFonts w:ascii="Times New Roman" w:hAnsi="Times New Roman"/>
                <w:b/>
                <w:bCs/>
                <w:color w:val="000000"/>
                <w:kern w:val="24"/>
                <w:sz w:val="22"/>
              </w:rPr>
            </w:pPr>
            <w:r w:rsidRPr="00C35DE4">
              <w:rPr>
                <w:rFonts w:ascii="Times New Roman" w:hAnsi="Times New Roman"/>
                <w:b/>
                <w:bCs/>
                <w:color w:val="000000"/>
                <w:kern w:val="24"/>
                <w:sz w:val="22"/>
              </w:rPr>
              <w:t>Steol Cs460</w:t>
            </w:r>
          </w:p>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b/>
                <w:bCs/>
                <w:color w:val="000000"/>
                <w:kern w:val="24"/>
                <w:sz w:val="22"/>
              </w:rPr>
              <w:t>(Co-Surfactant)</w:t>
            </w:r>
          </w:p>
        </w:tc>
      </w:tr>
      <w:tr w:rsidR="00DA2319" w:rsidRPr="00C35DE4" w:rsidTr="00DA2319">
        <w:trPr>
          <w:trHeight w:val="330"/>
        </w:trPr>
        <w:tc>
          <w:tcPr>
            <w:tcW w:w="2430" w:type="dxa"/>
            <w:gridSpan w:val="2"/>
            <w:vMerge/>
            <w:tcBorders>
              <w:top w:val="single" w:sz="8" w:space="0" w:color="000000"/>
              <w:left w:val="nil"/>
              <w:bottom w:val="single" w:sz="8" w:space="0" w:color="000000"/>
              <w:right w:val="nil"/>
            </w:tcBorders>
            <w:vAlign w:val="center"/>
            <w:hideMark/>
          </w:tcPr>
          <w:p w:rsidR="00DA2319" w:rsidRPr="00C35DE4" w:rsidRDefault="00DA2319" w:rsidP="00DA2319">
            <w:pPr>
              <w:spacing w:line="240" w:lineRule="auto"/>
              <w:jc w:val="center"/>
              <w:rPr>
                <w:rFonts w:ascii="Arial" w:hAnsi="Arial" w:cs="Arial"/>
                <w:sz w:val="22"/>
                <w:szCs w:val="36"/>
              </w:rPr>
            </w:pPr>
          </w:p>
        </w:tc>
        <w:tc>
          <w:tcPr>
            <w:tcW w:w="1430" w:type="dxa"/>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DA2319" w:rsidRPr="00C35DE4" w:rsidRDefault="00E26B68" w:rsidP="00DA2319">
            <w:pPr>
              <w:spacing w:line="240" w:lineRule="auto"/>
              <w:jc w:val="center"/>
              <w:textAlignment w:val="bottom"/>
              <w:rPr>
                <w:rFonts w:ascii="Arial" w:hAnsi="Arial" w:cs="Arial"/>
                <w:sz w:val="22"/>
                <w:szCs w:val="36"/>
              </w:rPr>
            </w:pPr>
            <w:r>
              <w:rPr>
                <w:rFonts w:ascii="Times New Roman" w:hAnsi="Times New Roman"/>
                <w:b/>
                <w:bCs/>
                <w:color w:val="000000"/>
                <w:kern w:val="24"/>
                <w:sz w:val="22"/>
              </w:rPr>
              <w:t>x</w:t>
            </w:r>
            <w:r w:rsidR="00DA2319" w:rsidRPr="00E26B68">
              <w:rPr>
                <w:rFonts w:ascii="Times New Roman" w:hAnsi="Times New Roman"/>
                <w:b/>
                <w:bCs/>
                <w:color w:val="000000"/>
                <w:kern w:val="24"/>
                <w:sz w:val="22"/>
                <w:vertAlign w:val="subscript"/>
              </w:rPr>
              <w:t>1</w:t>
            </w:r>
          </w:p>
        </w:tc>
        <w:tc>
          <w:tcPr>
            <w:tcW w:w="1450" w:type="dxa"/>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DA2319" w:rsidRPr="00C35DE4" w:rsidRDefault="00E26B68" w:rsidP="00DA2319">
            <w:pPr>
              <w:spacing w:line="240" w:lineRule="auto"/>
              <w:jc w:val="center"/>
              <w:textAlignment w:val="bottom"/>
              <w:rPr>
                <w:rFonts w:ascii="Arial" w:hAnsi="Arial" w:cs="Arial"/>
                <w:sz w:val="22"/>
                <w:szCs w:val="36"/>
              </w:rPr>
            </w:pPr>
            <w:r>
              <w:rPr>
                <w:rFonts w:ascii="Times New Roman" w:hAnsi="Times New Roman"/>
                <w:b/>
                <w:bCs/>
                <w:color w:val="000000"/>
                <w:kern w:val="24"/>
                <w:sz w:val="22"/>
              </w:rPr>
              <w:t>y</w:t>
            </w:r>
            <w:r w:rsidR="00DA2319" w:rsidRPr="00E26B68">
              <w:rPr>
                <w:rFonts w:ascii="Times New Roman" w:hAnsi="Times New Roman"/>
                <w:b/>
                <w:bCs/>
                <w:color w:val="000000"/>
                <w:kern w:val="24"/>
                <w:sz w:val="22"/>
                <w:vertAlign w:val="subscript"/>
              </w:rPr>
              <w:t>1</w:t>
            </w:r>
          </w:p>
        </w:tc>
        <w:tc>
          <w:tcPr>
            <w:tcW w:w="900" w:type="dxa"/>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DA2319" w:rsidRPr="00C35DE4" w:rsidRDefault="00E26B68" w:rsidP="00DA2319">
            <w:pPr>
              <w:spacing w:line="240" w:lineRule="auto"/>
              <w:jc w:val="center"/>
              <w:textAlignment w:val="bottom"/>
              <w:rPr>
                <w:rFonts w:ascii="Arial" w:hAnsi="Arial" w:cs="Arial"/>
                <w:sz w:val="22"/>
                <w:szCs w:val="36"/>
              </w:rPr>
            </w:pPr>
            <w:r>
              <w:rPr>
                <w:rFonts w:ascii="Times New Roman" w:hAnsi="Times New Roman"/>
                <w:b/>
                <w:bCs/>
                <w:color w:val="000000"/>
                <w:kern w:val="24"/>
                <w:sz w:val="22"/>
              </w:rPr>
              <w:t>x</w:t>
            </w:r>
            <w:r w:rsidR="00DA2319" w:rsidRPr="00E26B68">
              <w:rPr>
                <w:rFonts w:ascii="Times New Roman" w:hAnsi="Times New Roman"/>
                <w:b/>
                <w:bCs/>
                <w:color w:val="000000"/>
                <w:kern w:val="24"/>
                <w:sz w:val="22"/>
                <w:vertAlign w:val="subscript"/>
              </w:rPr>
              <w:t>2</w:t>
            </w:r>
          </w:p>
        </w:tc>
        <w:tc>
          <w:tcPr>
            <w:tcW w:w="810" w:type="dxa"/>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DA2319" w:rsidRPr="00C35DE4" w:rsidRDefault="00E26B68" w:rsidP="00DA2319">
            <w:pPr>
              <w:spacing w:line="240" w:lineRule="auto"/>
              <w:jc w:val="center"/>
              <w:textAlignment w:val="bottom"/>
              <w:rPr>
                <w:rFonts w:ascii="Arial" w:hAnsi="Arial" w:cs="Arial"/>
                <w:sz w:val="22"/>
                <w:szCs w:val="36"/>
              </w:rPr>
            </w:pPr>
            <w:r>
              <w:rPr>
                <w:rFonts w:ascii="Times New Roman" w:hAnsi="Times New Roman"/>
                <w:b/>
                <w:bCs/>
                <w:color w:val="000000"/>
                <w:kern w:val="24"/>
                <w:sz w:val="22"/>
              </w:rPr>
              <w:t>y</w:t>
            </w:r>
            <w:r w:rsidR="00DA2319" w:rsidRPr="00E26B68">
              <w:rPr>
                <w:rFonts w:ascii="Times New Roman" w:hAnsi="Times New Roman"/>
                <w:b/>
                <w:bCs/>
                <w:color w:val="000000"/>
                <w:kern w:val="24"/>
                <w:sz w:val="22"/>
                <w:vertAlign w:val="subscript"/>
              </w:rPr>
              <w:t>2</w:t>
            </w:r>
          </w:p>
        </w:tc>
      </w:tr>
      <w:tr w:rsidR="00DA2319" w:rsidRPr="00C35DE4" w:rsidTr="00DA2319">
        <w:trPr>
          <w:trHeight w:val="481"/>
        </w:trPr>
        <w:tc>
          <w:tcPr>
            <w:tcW w:w="2430" w:type="dxa"/>
            <w:gridSpan w:val="2"/>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C</w:t>
            </w:r>
            <w:r w:rsidRPr="00C35DE4">
              <w:rPr>
                <w:rFonts w:ascii="Times New Roman" w:hAnsi="Times New Roman"/>
                <w:color w:val="000000"/>
                <w:kern w:val="24"/>
                <w:position w:val="-6"/>
                <w:sz w:val="22"/>
                <w:vertAlign w:val="subscript"/>
              </w:rPr>
              <w:t>8</w:t>
            </w:r>
            <w:r w:rsidRPr="00C35DE4">
              <w:rPr>
                <w:rFonts w:ascii="Times New Roman" w:hAnsi="Times New Roman"/>
                <w:color w:val="000000"/>
                <w:kern w:val="24"/>
                <w:sz w:val="22"/>
              </w:rPr>
              <w:t>-(PO)</w:t>
            </w:r>
            <w:r w:rsidRPr="00C35DE4">
              <w:rPr>
                <w:rFonts w:ascii="Times New Roman" w:hAnsi="Times New Roman"/>
                <w:color w:val="000000"/>
                <w:kern w:val="24"/>
                <w:position w:val="-6"/>
                <w:sz w:val="22"/>
                <w:vertAlign w:val="subscript"/>
              </w:rPr>
              <w:t>4</w:t>
            </w:r>
            <w:r w:rsidRPr="00C35DE4">
              <w:rPr>
                <w:rFonts w:ascii="Times New Roman" w:hAnsi="Times New Roman"/>
                <w:color w:val="000000"/>
                <w:kern w:val="24"/>
                <w:sz w:val="22"/>
              </w:rPr>
              <w:t>-(EO)</w:t>
            </w:r>
            <w:r w:rsidRPr="00C35DE4">
              <w:rPr>
                <w:rFonts w:ascii="Times New Roman" w:hAnsi="Times New Roman"/>
                <w:color w:val="000000"/>
                <w:kern w:val="24"/>
                <w:position w:val="-6"/>
                <w:sz w:val="22"/>
                <w:vertAlign w:val="subscript"/>
              </w:rPr>
              <w:t>1</w:t>
            </w:r>
            <w:r w:rsidRPr="00C35DE4">
              <w:rPr>
                <w:rFonts w:ascii="Times New Roman" w:hAnsi="Times New Roman"/>
                <w:color w:val="000000"/>
                <w:kern w:val="24"/>
                <w:sz w:val="22"/>
              </w:rPr>
              <w:t>-SO4Na</w:t>
            </w:r>
          </w:p>
        </w:tc>
        <w:tc>
          <w:tcPr>
            <w:tcW w:w="143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0.31</w:t>
            </w:r>
          </w:p>
        </w:tc>
        <w:tc>
          <w:tcPr>
            <w:tcW w:w="145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0.34</w:t>
            </w:r>
          </w:p>
        </w:tc>
        <w:tc>
          <w:tcPr>
            <w:tcW w:w="90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0.69</w:t>
            </w:r>
          </w:p>
        </w:tc>
        <w:tc>
          <w:tcPr>
            <w:tcW w:w="81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0.65</w:t>
            </w:r>
          </w:p>
        </w:tc>
      </w:tr>
      <w:tr w:rsidR="00DA2319" w:rsidRPr="00C35DE4" w:rsidTr="00DA2319">
        <w:trPr>
          <w:trHeight w:val="420"/>
        </w:trPr>
        <w:tc>
          <w:tcPr>
            <w:tcW w:w="2430"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C</w:t>
            </w:r>
            <w:r w:rsidRPr="00C35DE4">
              <w:rPr>
                <w:rFonts w:ascii="Times New Roman" w:hAnsi="Times New Roman"/>
                <w:color w:val="000000"/>
                <w:kern w:val="24"/>
                <w:position w:val="-6"/>
                <w:sz w:val="22"/>
                <w:vertAlign w:val="subscript"/>
              </w:rPr>
              <w:t>8</w:t>
            </w:r>
            <w:r w:rsidRPr="00C35DE4">
              <w:rPr>
                <w:rFonts w:ascii="Times New Roman" w:hAnsi="Times New Roman"/>
                <w:color w:val="000000"/>
                <w:kern w:val="24"/>
                <w:sz w:val="22"/>
              </w:rPr>
              <w:t>-(PO)</w:t>
            </w:r>
            <w:r w:rsidRPr="00C35DE4">
              <w:rPr>
                <w:rFonts w:ascii="Times New Roman" w:hAnsi="Times New Roman"/>
                <w:color w:val="000000"/>
                <w:kern w:val="24"/>
                <w:position w:val="-6"/>
                <w:sz w:val="22"/>
                <w:vertAlign w:val="subscript"/>
              </w:rPr>
              <w:t>4</w:t>
            </w:r>
            <w:r w:rsidRPr="00C35DE4">
              <w:rPr>
                <w:rFonts w:ascii="Times New Roman" w:hAnsi="Times New Roman"/>
                <w:color w:val="000000"/>
                <w:kern w:val="24"/>
                <w:sz w:val="22"/>
              </w:rPr>
              <w:t>-SO4Na</w:t>
            </w:r>
          </w:p>
        </w:tc>
        <w:tc>
          <w:tcPr>
            <w:tcW w:w="1430" w:type="dxa"/>
            <w:tcBorders>
              <w:top w:val="nil"/>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0.32</w:t>
            </w:r>
          </w:p>
        </w:tc>
        <w:tc>
          <w:tcPr>
            <w:tcW w:w="1450" w:type="dxa"/>
            <w:tcBorders>
              <w:top w:val="nil"/>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0.31</w:t>
            </w:r>
          </w:p>
        </w:tc>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0.68</w:t>
            </w: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0.69</w:t>
            </w:r>
          </w:p>
        </w:tc>
      </w:tr>
      <w:tr w:rsidR="00DA2319" w:rsidRPr="00C35DE4" w:rsidTr="00DA2319">
        <w:trPr>
          <w:trHeight w:val="497"/>
        </w:trPr>
        <w:tc>
          <w:tcPr>
            <w:tcW w:w="2430"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C</w:t>
            </w:r>
            <w:r w:rsidRPr="00C35DE4">
              <w:rPr>
                <w:rFonts w:ascii="Times New Roman" w:hAnsi="Times New Roman"/>
                <w:color w:val="000000"/>
                <w:kern w:val="24"/>
                <w:position w:val="-6"/>
                <w:sz w:val="22"/>
                <w:vertAlign w:val="subscript"/>
              </w:rPr>
              <w:t>10</w:t>
            </w:r>
            <w:r w:rsidRPr="00C35DE4">
              <w:rPr>
                <w:rFonts w:ascii="Times New Roman" w:hAnsi="Times New Roman"/>
                <w:color w:val="000000"/>
                <w:kern w:val="24"/>
                <w:sz w:val="22"/>
              </w:rPr>
              <w:t>-(PO)</w:t>
            </w:r>
            <w:r w:rsidRPr="00C35DE4">
              <w:rPr>
                <w:rFonts w:ascii="Times New Roman" w:hAnsi="Times New Roman"/>
                <w:color w:val="000000"/>
                <w:kern w:val="24"/>
                <w:position w:val="-6"/>
                <w:sz w:val="22"/>
                <w:vertAlign w:val="subscript"/>
              </w:rPr>
              <w:t>4</w:t>
            </w:r>
            <w:r w:rsidRPr="00C35DE4">
              <w:rPr>
                <w:rFonts w:ascii="Times New Roman" w:hAnsi="Times New Roman"/>
                <w:color w:val="000000"/>
                <w:kern w:val="24"/>
                <w:sz w:val="22"/>
              </w:rPr>
              <w:t>-(EO)</w:t>
            </w:r>
            <w:r w:rsidRPr="00C35DE4">
              <w:rPr>
                <w:rFonts w:ascii="Times New Roman" w:hAnsi="Times New Roman"/>
                <w:color w:val="000000"/>
                <w:kern w:val="24"/>
                <w:position w:val="-6"/>
                <w:sz w:val="22"/>
                <w:vertAlign w:val="subscript"/>
              </w:rPr>
              <w:t>1</w:t>
            </w:r>
            <w:r w:rsidRPr="00C35DE4">
              <w:rPr>
                <w:rFonts w:ascii="Times New Roman" w:hAnsi="Times New Roman"/>
                <w:color w:val="000000"/>
                <w:kern w:val="24"/>
                <w:sz w:val="22"/>
              </w:rPr>
              <w:t>-SO4Na</w:t>
            </w:r>
          </w:p>
        </w:tc>
        <w:tc>
          <w:tcPr>
            <w:tcW w:w="1430" w:type="dxa"/>
            <w:tcBorders>
              <w:top w:val="nil"/>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0.19</w:t>
            </w:r>
          </w:p>
        </w:tc>
        <w:tc>
          <w:tcPr>
            <w:tcW w:w="1450" w:type="dxa"/>
            <w:tcBorders>
              <w:top w:val="nil"/>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0.22</w:t>
            </w:r>
          </w:p>
        </w:tc>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0.81</w:t>
            </w: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0.78</w:t>
            </w:r>
          </w:p>
        </w:tc>
      </w:tr>
      <w:tr w:rsidR="00DA2319" w:rsidRPr="00C35DE4" w:rsidTr="00DA2319">
        <w:trPr>
          <w:trHeight w:val="484"/>
        </w:trPr>
        <w:tc>
          <w:tcPr>
            <w:tcW w:w="2430" w:type="dxa"/>
            <w:gridSpan w:val="2"/>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C</w:t>
            </w:r>
            <w:r w:rsidRPr="00C35DE4">
              <w:rPr>
                <w:rFonts w:ascii="Times New Roman" w:hAnsi="Times New Roman"/>
                <w:color w:val="000000"/>
                <w:kern w:val="24"/>
                <w:position w:val="-6"/>
                <w:sz w:val="22"/>
                <w:vertAlign w:val="subscript"/>
              </w:rPr>
              <w:t>10</w:t>
            </w:r>
            <w:r w:rsidRPr="00C35DE4">
              <w:rPr>
                <w:rFonts w:ascii="Times New Roman" w:hAnsi="Times New Roman"/>
                <w:color w:val="000000"/>
                <w:kern w:val="24"/>
                <w:sz w:val="22"/>
              </w:rPr>
              <w:t>-(PO)</w:t>
            </w:r>
            <w:r w:rsidRPr="00C35DE4">
              <w:rPr>
                <w:rFonts w:ascii="Times New Roman" w:hAnsi="Times New Roman"/>
                <w:color w:val="000000"/>
                <w:kern w:val="24"/>
                <w:position w:val="-6"/>
                <w:sz w:val="22"/>
                <w:vertAlign w:val="subscript"/>
              </w:rPr>
              <w:t>4</w:t>
            </w:r>
            <w:r w:rsidRPr="00C35DE4">
              <w:rPr>
                <w:rFonts w:ascii="Times New Roman" w:hAnsi="Times New Roman"/>
                <w:color w:val="000000"/>
                <w:kern w:val="24"/>
                <w:sz w:val="22"/>
              </w:rPr>
              <w:t>-SO4Na</w:t>
            </w:r>
          </w:p>
        </w:tc>
        <w:tc>
          <w:tcPr>
            <w:tcW w:w="143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0.17</w:t>
            </w:r>
          </w:p>
        </w:tc>
        <w:tc>
          <w:tcPr>
            <w:tcW w:w="145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0.19</w:t>
            </w:r>
          </w:p>
        </w:tc>
        <w:tc>
          <w:tcPr>
            <w:tcW w:w="90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0.83</w:t>
            </w:r>
          </w:p>
        </w:tc>
        <w:tc>
          <w:tcPr>
            <w:tcW w:w="81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DA2319" w:rsidRPr="00C35DE4" w:rsidRDefault="00DA2319" w:rsidP="00DA2319">
            <w:pPr>
              <w:spacing w:line="240" w:lineRule="auto"/>
              <w:jc w:val="center"/>
              <w:textAlignment w:val="bottom"/>
              <w:rPr>
                <w:rFonts w:ascii="Arial" w:hAnsi="Arial" w:cs="Arial"/>
                <w:sz w:val="22"/>
                <w:szCs w:val="36"/>
              </w:rPr>
            </w:pPr>
            <w:r w:rsidRPr="00C35DE4">
              <w:rPr>
                <w:rFonts w:ascii="Times New Roman" w:hAnsi="Times New Roman"/>
                <w:color w:val="000000"/>
                <w:kern w:val="24"/>
                <w:sz w:val="22"/>
              </w:rPr>
              <w:t>0.81</w:t>
            </w:r>
          </w:p>
        </w:tc>
      </w:tr>
      <w:tr w:rsidR="00DA2319" w:rsidRPr="00C35DE4" w:rsidTr="00DA2319">
        <w:trPr>
          <w:trHeight w:val="300"/>
        </w:trPr>
        <w:tc>
          <w:tcPr>
            <w:tcW w:w="1940"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DA2319" w:rsidRPr="00C35DE4" w:rsidRDefault="00DA2319" w:rsidP="00DA2319">
            <w:pPr>
              <w:spacing w:line="240" w:lineRule="auto"/>
              <w:rPr>
                <w:rFonts w:ascii="Arial" w:hAnsi="Arial" w:cs="Arial"/>
                <w:sz w:val="36"/>
                <w:szCs w:val="36"/>
              </w:rPr>
            </w:pPr>
          </w:p>
        </w:tc>
        <w:tc>
          <w:tcPr>
            <w:tcW w:w="490"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DA2319" w:rsidRPr="00C35DE4" w:rsidRDefault="00DA2319" w:rsidP="00DA2319">
            <w:pPr>
              <w:spacing w:line="240" w:lineRule="auto"/>
              <w:rPr>
                <w:rFonts w:ascii="Times New Roman" w:hAnsi="Times New Roman"/>
                <w:sz w:val="20"/>
                <w:szCs w:val="20"/>
              </w:rPr>
            </w:pPr>
          </w:p>
        </w:tc>
        <w:tc>
          <w:tcPr>
            <w:tcW w:w="1430"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DA2319" w:rsidRPr="00C35DE4" w:rsidRDefault="00DA2319" w:rsidP="00DA2319">
            <w:pPr>
              <w:spacing w:line="240" w:lineRule="auto"/>
              <w:rPr>
                <w:rFonts w:ascii="Times New Roman" w:hAnsi="Times New Roman"/>
                <w:sz w:val="20"/>
                <w:szCs w:val="20"/>
              </w:rPr>
            </w:pPr>
          </w:p>
        </w:tc>
        <w:tc>
          <w:tcPr>
            <w:tcW w:w="1450"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DA2319" w:rsidRPr="00C35DE4" w:rsidRDefault="00DA2319" w:rsidP="00DA2319">
            <w:pPr>
              <w:spacing w:line="240" w:lineRule="auto"/>
              <w:rPr>
                <w:rFonts w:ascii="Times New Roman" w:hAnsi="Times New Roman"/>
                <w:sz w:val="20"/>
                <w:szCs w:val="20"/>
              </w:rPr>
            </w:pPr>
          </w:p>
        </w:tc>
        <w:tc>
          <w:tcPr>
            <w:tcW w:w="900"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DA2319" w:rsidRPr="00C35DE4" w:rsidRDefault="00DA2319" w:rsidP="00DA2319">
            <w:pPr>
              <w:spacing w:line="240" w:lineRule="auto"/>
              <w:rPr>
                <w:rFonts w:ascii="Times New Roman" w:hAnsi="Times New Roman"/>
                <w:sz w:val="20"/>
                <w:szCs w:val="20"/>
              </w:rPr>
            </w:pPr>
          </w:p>
        </w:tc>
        <w:tc>
          <w:tcPr>
            <w:tcW w:w="810" w:type="dxa"/>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DA2319" w:rsidRPr="00C35DE4" w:rsidRDefault="00DA2319" w:rsidP="00DA2319">
            <w:pPr>
              <w:spacing w:line="240" w:lineRule="auto"/>
              <w:rPr>
                <w:rFonts w:ascii="Times New Roman" w:hAnsi="Times New Roman"/>
                <w:sz w:val="20"/>
                <w:szCs w:val="20"/>
              </w:rPr>
            </w:pPr>
          </w:p>
        </w:tc>
      </w:tr>
    </w:tbl>
    <w:p w:rsidR="00C35DE4" w:rsidRDefault="00C35DE4" w:rsidP="003E2D46">
      <w:pPr>
        <w:jc w:val="both"/>
        <w:rPr>
          <w:lang w:bidi="en-US"/>
        </w:rPr>
      </w:pPr>
    </w:p>
    <w:p w:rsidR="00C35DE4" w:rsidRDefault="00C35DE4" w:rsidP="003E2D46">
      <w:pPr>
        <w:jc w:val="both"/>
        <w:rPr>
          <w:lang w:bidi="en-US"/>
        </w:rPr>
      </w:pPr>
    </w:p>
    <w:p w:rsidR="00C35DE4" w:rsidRDefault="00C35DE4" w:rsidP="003E2D46">
      <w:pPr>
        <w:jc w:val="both"/>
        <w:rPr>
          <w:lang w:bidi="en-US"/>
        </w:rPr>
      </w:pPr>
    </w:p>
    <w:p w:rsidR="00C35DE4" w:rsidRDefault="00C35DE4" w:rsidP="003E2D46">
      <w:pPr>
        <w:jc w:val="both"/>
        <w:rPr>
          <w:lang w:bidi="en-US"/>
        </w:rPr>
      </w:pPr>
    </w:p>
    <w:p w:rsidR="00C35DE4" w:rsidRDefault="00C35DE4" w:rsidP="003E2D46">
      <w:pPr>
        <w:jc w:val="both"/>
        <w:rPr>
          <w:lang w:bidi="en-US"/>
        </w:rPr>
      </w:pPr>
    </w:p>
    <w:p w:rsidR="003E2D46" w:rsidRPr="003E2D46" w:rsidRDefault="003E2D46" w:rsidP="003E2D46">
      <w:pPr>
        <w:jc w:val="both"/>
        <w:rPr>
          <w:lang w:bidi="en-US"/>
        </w:rPr>
      </w:pPr>
      <w:r w:rsidRPr="003E2D46">
        <w:rPr>
          <w:lang w:bidi="en-US"/>
        </w:rPr>
        <w:t>Using the calculated Cc-values of the surfactants that are used in this study, the surfactant/co-surfactant ratio to form an optimal Type III microemulsion was predicted using Equation 7. The mole fraction of surfactants are varied until the Cc</w:t>
      </w:r>
      <w:r w:rsidRPr="003E2D46">
        <w:rPr>
          <w:vertAlign w:val="subscript"/>
          <w:lang w:bidi="en-US"/>
        </w:rPr>
        <w:t>mix</w:t>
      </w:r>
      <w:r w:rsidRPr="003E2D46">
        <w:rPr>
          <w:lang w:bidi="en-US"/>
        </w:rPr>
        <w:t xml:space="preserve"> is similar to the HLD predicted Cc</w:t>
      </w:r>
      <w:r w:rsidR="00C47BB2">
        <w:rPr>
          <w:lang w:bidi="en-US"/>
        </w:rPr>
        <w:t>-value</w:t>
      </w:r>
      <w:r w:rsidRPr="003E2D46">
        <w:rPr>
          <w:lang w:bidi="en-US"/>
        </w:rPr>
        <w:t xml:space="preserve">, -2.76. The predicted mole fractions and weight fractions of the binary mixtures are listed in Table 7. It is observed that the extended surfactant with the longer carbon chain length, C10, requires more Steol Cs460 to generate a Type III microemulsions compared to the shorter carbon chain length, C8. This trend can be explained due to the fact that increasing the number of carbon molecules in the tail makes the extended surfactant more hydrophobic and adding additional hydrophilic co-surfactant, Steol Cs460, balances such effects and keeps the system in a Type III microemulsion region. </w:t>
      </w:r>
    </w:p>
    <w:p w:rsidR="00426A6D" w:rsidRDefault="00BA2D85" w:rsidP="00BF7BCE">
      <w:pPr>
        <w:pStyle w:val="Heading3"/>
      </w:pPr>
      <w:bookmarkStart w:id="46" w:name="_Toc413353885"/>
      <w:bookmarkStart w:id="47" w:name="_Toc426374020"/>
      <w:r w:rsidRPr="00426A6D">
        <w:rPr>
          <w:rFonts w:ascii="Times New Roman" w:eastAsia="Calibri" w:hAnsi="Times New Roman"/>
          <w:noProof/>
          <w:lang w:bidi="ar-SA"/>
        </w:rPr>
        <w:lastRenderedPageBreak/>
        <w:drawing>
          <wp:anchor distT="0" distB="0" distL="114300" distR="114300" simplePos="0" relativeHeight="251671552" behindDoc="0" locked="0" layoutInCell="1" allowOverlap="1" wp14:anchorId="1D4DD9C4" wp14:editId="4EA7F9F6">
            <wp:simplePos x="0" y="0"/>
            <wp:positionH relativeFrom="column">
              <wp:posOffset>394335</wp:posOffset>
            </wp:positionH>
            <wp:positionV relativeFrom="paragraph">
              <wp:posOffset>348615</wp:posOffset>
            </wp:positionV>
            <wp:extent cx="4562475" cy="305371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4">
                      <a:extLst>
                        <a:ext uri="{28A0092B-C50C-407E-A947-70E740481C1C}">
                          <a14:useLocalDpi xmlns:a14="http://schemas.microsoft.com/office/drawing/2010/main" val="0"/>
                        </a:ext>
                      </a:extLst>
                    </a:blip>
                    <a:srcRect b="7795"/>
                    <a:stretch/>
                  </pic:blipFill>
                  <pic:spPr bwMode="auto">
                    <a:xfrm>
                      <a:off x="0" y="0"/>
                      <a:ext cx="4562475" cy="30537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6A6D">
        <w:rPr>
          <w:noProof/>
          <w:lang w:bidi="ar-SA"/>
        </w:rPr>
        <mc:AlternateContent>
          <mc:Choice Requires="wps">
            <w:drawing>
              <wp:anchor distT="0" distB="0" distL="114300" distR="114300" simplePos="0" relativeHeight="251673600" behindDoc="0" locked="0" layoutInCell="1" allowOverlap="1" wp14:anchorId="1D2D3054" wp14:editId="69A3D7D0">
                <wp:simplePos x="0" y="0"/>
                <wp:positionH relativeFrom="column">
                  <wp:posOffset>394335</wp:posOffset>
                </wp:positionH>
                <wp:positionV relativeFrom="paragraph">
                  <wp:posOffset>3535680</wp:posOffset>
                </wp:positionV>
                <wp:extent cx="4562475"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4562475" cy="635"/>
                        </a:xfrm>
                        <a:prstGeom prst="rect">
                          <a:avLst/>
                        </a:prstGeom>
                        <a:solidFill>
                          <a:prstClr val="white"/>
                        </a:solidFill>
                        <a:ln>
                          <a:noFill/>
                        </a:ln>
                        <a:effectLst/>
                      </wps:spPr>
                      <wps:txbx>
                        <w:txbxContent>
                          <w:p w:rsidR="005C410D" w:rsidRPr="00426A6D" w:rsidRDefault="005C410D" w:rsidP="00BA2D85">
                            <w:pPr>
                              <w:pStyle w:val="Caption"/>
                              <w:rPr>
                                <w:b w:val="0"/>
                              </w:rPr>
                            </w:pPr>
                            <w:bookmarkStart w:id="48" w:name="_Toc426967296"/>
                            <w:r>
                              <w:t xml:space="preserve">Figure </w:t>
                            </w:r>
                            <w:r w:rsidR="001C58A2">
                              <w:fldChar w:fldCharType="begin"/>
                            </w:r>
                            <w:r w:rsidR="001C58A2">
                              <w:instrText xml:space="preserve"> SEQ Figure \* ARABIC </w:instrText>
                            </w:r>
                            <w:r w:rsidR="001C58A2">
                              <w:fldChar w:fldCharType="separate"/>
                            </w:r>
                            <w:r w:rsidR="003F7947">
                              <w:rPr>
                                <w:noProof/>
                              </w:rPr>
                              <w:t>4</w:t>
                            </w:r>
                            <w:r w:rsidR="001C58A2">
                              <w:rPr>
                                <w:noProof/>
                              </w:rPr>
                              <w:fldChar w:fldCharType="end"/>
                            </w:r>
                            <w:r>
                              <w:t xml:space="preserve">. </w:t>
                            </w:r>
                            <w:r w:rsidRPr="00426A6D">
                              <w:rPr>
                                <w:b w:val="0"/>
                              </w:rPr>
                              <w:t>Phase behavior: Steol Cs460 scan for C</w:t>
                            </w:r>
                            <w:r w:rsidRPr="00426A6D">
                              <w:rPr>
                                <w:b w:val="0"/>
                                <w:vertAlign w:val="subscript"/>
                              </w:rPr>
                              <w:t>8</w:t>
                            </w:r>
                            <w:r w:rsidRPr="00426A6D">
                              <w:rPr>
                                <w:b w:val="0"/>
                              </w:rPr>
                              <w:t>-(PO)</w:t>
                            </w:r>
                            <w:r w:rsidRPr="00426A6D">
                              <w:rPr>
                                <w:b w:val="0"/>
                                <w:vertAlign w:val="subscript"/>
                              </w:rPr>
                              <w:t>4</w:t>
                            </w:r>
                            <w:r w:rsidRPr="00426A6D">
                              <w:rPr>
                                <w:b w:val="0"/>
                              </w:rPr>
                              <w:t>-(EO)</w:t>
                            </w:r>
                            <w:r w:rsidRPr="00426A6D">
                              <w:rPr>
                                <w:b w:val="0"/>
                                <w:vertAlign w:val="subscript"/>
                              </w:rPr>
                              <w:t>1</w:t>
                            </w:r>
                            <w:r w:rsidRPr="00426A6D">
                              <w:rPr>
                                <w:b w:val="0"/>
                              </w:rPr>
                              <w:t>-SO</w:t>
                            </w:r>
                            <w:r w:rsidRPr="00426A6D">
                              <w:rPr>
                                <w:b w:val="0"/>
                                <w:vertAlign w:val="subscript"/>
                              </w:rPr>
                              <w:t>4</w:t>
                            </w:r>
                            <w:r w:rsidRPr="00426A6D">
                              <w:rPr>
                                <w:b w:val="0"/>
                              </w:rPr>
                              <w:t>Na (0.25 wt. %) at the reservoir temperature (52°C) with crude oil</w:t>
                            </w:r>
                            <w:bookmarkEnd w:id="48"/>
                          </w:p>
                          <w:p w:rsidR="005C410D" w:rsidRPr="00744965" w:rsidRDefault="005C410D" w:rsidP="00426A6D">
                            <w:pPr>
                              <w:pStyle w:val="Caption"/>
                              <w:rPr>
                                <w:rFonts w:ascii="Times New Roman" w:eastAsia="Calibri" w:hAnsi="Times New Roman"/>
                                <w:i/>
                                <w:noProof/>
                                <w:lang w:bidi="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2D3054" id="Text Box 9" o:spid="_x0000_s1029" type="#_x0000_t202" style="position:absolute;left:0;text-align:left;margin-left:31.05pt;margin-top:278.4pt;width:359.2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" stroked="f">
                <v:textbox style="mso-fit-shape-to-text:t" inset="0,0,0,0">
                  <w:txbxContent>
                    <w:p w:rsidR="005C410D" w:rsidRPr="00426A6D" w:rsidRDefault="005C410D" w:rsidP="00BA2D85">
                      <w:pPr>
                        <w:pStyle w:val="Caption"/>
                        <w:rPr>
                          <w:b w:val="0"/>
                        </w:rPr>
                      </w:pPr>
                      <w:bookmarkStart w:id="53" w:name="_Toc426967296"/>
                      <w:r>
                        <w:t xml:space="preserve">Figure </w:t>
                      </w:r>
                      <w:fldSimple w:instr=" SEQ Figure \* ARABIC ">
                        <w:r w:rsidR="003F7947">
                          <w:rPr>
                            <w:noProof/>
                          </w:rPr>
                          <w:t>4</w:t>
                        </w:r>
                      </w:fldSimple>
                      <w:r>
                        <w:t xml:space="preserve">. </w:t>
                      </w:r>
                      <w:r w:rsidRPr="00426A6D">
                        <w:rPr>
                          <w:b w:val="0"/>
                        </w:rPr>
                        <w:t>Phase behavior: Steol Cs460 scan for C</w:t>
                      </w:r>
                      <w:r w:rsidRPr="00426A6D">
                        <w:rPr>
                          <w:b w:val="0"/>
                          <w:vertAlign w:val="subscript"/>
                        </w:rPr>
                        <w:t>8</w:t>
                      </w:r>
                      <w:r w:rsidRPr="00426A6D">
                        <w:rPr>
                          <w:b w:val="0"/>
                        </w:rPr>
                        <w:t>-(PO)</w:t>
                      </w:r>
                      <w:r w:rsidRPr="00426A6D">
                        <w:rPr>
                          <w:b w:val="0"/>
                          <w:vertAlign w:val="subscript"/>
                        </w:rPr>
                        <w:t>4</w:t>
                      </w:r>
                      <w:r w:rsidRPr="00426A6D">
                        <w:rPr>
                          <w:b w:val="0"/>
                        </w:rPr>
                        <w:t>-(EO)</w:t>
                      </w:r>
                      <w:r w:rsidRPr="00426A6D">
                        <w:rPr>
                          <w:b w:val="0"/>
                          <w:vertAlign w:val="subscript"/>
                        </w:rPr>
                        <w:t>1</w:t>
                      </w:r>
                      <w:r w:rsidRPr="00426A6D">
                        <w:rPr>
                          <w:b w:val="0"/>
                        </w:rPr>
                        <w:t>-SO</w:t>
                      </w:r>
                      <w:r w:rsidRPr="00426A6D">
                        <w:rPr>
                          <w:b w:val="0"/>
                          <w:vertAlign w:val="subscript"/>
                        </w:rPr>
                        <w:t>4</w:t>
                      </w:r>
                      <w:r w:rsidRPr="00426A6D">
                        <w:rPr>
                          <w:b w:val="0"/>
                        </w:rPr>
                        <w:t>Na (0.25 wt. %) at the reservoir temperature (52°C) with crude oil</w:t>
                      </w:r>
                      <w:bookmarkEnd w:id="53"/>
                    </w:p>
                    <w:p w:rsidR="005C410D" w:rsidRPr="00744965" w:rsidRDefault="005C410D" w:rsidP="00426A6D">
                      <w:pPr>
                        <w:pStyle w:val="Caption"/>
                        <w:rPr>
                          <w:rFonts w:ascii="Times New Roman" w:eastAsia="Calibri" w:hAnsi="Times New Roman"/>
                          <w:i/>
                          <w:noProof/>
                          <w:lang w:bidi="en-US"/>
                        </w:rPr>
                      </w:pPr>
                    </w:p>
                  </w:txbxContent>
                </v:textbox>
                <w10:wrap type="topAndBottom"/>
              </v:shape>
            </w:pict>
          </mc:Fallback>
        </mc:AlternateContent>
      </w:r>
      <w:r w:rsidR="00CF5567">
        <w:t>Phase Behavior Study and Surfactant Stability T</w:t>
      </w:r>
      <w:r w:rsidR="003E2D46" w:rsidRPr="003E2D46">
        <w:t>est</w:t>
      </w:r>
      <w:bookmarkEnd w:id="46"/>
      <w:bookmarkEnd w:id="47"/>
    </w:p>
    <w:tbl>
      <w:tblPr>
        <w:tblpPr w:leftFromText="180" w:rightFromText="180" w:vertAnchor="page" w:horzAnchor="margin" w:tblpY="8821"/>
        <w:tblW w:w="5000" w:type="pct"/>
        <w:tblCellMar>
          <w:left w:w="0" w:type="dxa"/>
          <w:right w:w="0" w:type="dxa"/>
        </w:tblCellMar>
        <w:tblLook w:val="0600" w:firstRow="0" w:lastRow="0" w:firstColumn="0" w:lastColumn="0" w:noHBand="1" w:noVBand="1"/>
      </w:tblPr>
      <w:tblGrid>
        <w:gridCol w:w="2291"/>
        <w:gridCol w:w="1551"/>
        <w:gridCol w:w="1444"/>
        <w:gridCol w:w="1606"/>
        <w:gridCol w:w="1604"/>
      </w:tblGrid>
      <w:tr w:rsidR="00BF7BCE" w:rsidRPr="00426A6D" w:rsidTr="00AD3A47">
        <w:trPr>
          <w:trHeight w:val="630"/>
        </w:trPr>
        <w:tc>
          <w:tcPr>
            <w:tcW w:w="1348"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bottom"/>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b/>
                <w:bCs/>
                <w:color w:val="000000"/>
                <w:kern w:val="24"/>
                <w:sz w:val="22"/>
              </w:rPr>
              <w:t>Systems with Steol Cs460</w:t>
            </w:r>
          </w:p>
        </w:tc>
        <w:tc>
          <w:tcPr>
            <w:tcW w:w="913"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bottom"/>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b/>
                <w:bCs/>
                <w:color w:val="000000"/>
                <w:kern w:val="24"/>
                <w:sz w:val="22"/>
              </w:rPr>
              <w:t xml:space="preserve">Aqueous Phase Stability </w:t>
            </w:r>
          </w:p>
        </w:tc>
        <w:tc>
          <w:tcPr>
            <w:tcW w:w="850"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bottom"/>
            <w:hideMark/>
          </w:tcPr>
          <w:p w:rsidR="00BF7BCE" w:rsidRPr="00426A6D" w:rsidRDefault="004D3D1F" w:rsidP="00AD3A47">
            <w:pPr>
              <w:spacing w:line="240" w:lineRule="auto"/>
              <w:jc w:val="center"/>
              <w:textAlignment w:val="bottom"/>
              <w:rPr>
                <w:rFonts w:ascii="Arial" w:hAnsi="Arial" w:cs="Arial"/>
                <w:sz w:val="22"/>
                <w:szCs w:val="36"/>
              </w:rPr>
            </w:pPr>
            <w:r>
              <w:rPr>
                <w:rFonts w:ascii="Times New Roman" w:hAnsi="Times New Roman"/>
                <w:b/>
                <w:bCs/>
                <w:color w:val="000000"/>
                <w:kern w:val="24"/>
                <w:sz w:val="22"/>
              </w:rPr>
              <w:t>Coalescence T</w:t>
            </w:r>
            <w:r w:rsidR="00BF7BCE" w:rsidRPr="00426A6D">
              <w:rPr>
                <w:rFonts w:ascii="Times New Roman" w:hAnsi="Times New Roman"/>
                <w:b/>
                <w:bCs/>
                <w:color w:val="000000"/>
                <w:kern w:val="24"/>
                <w:sz w:val="22"/>
              </w:rPr>
              <w:t>ime, minutes</w:t>
            </w:r>
          </w:p>
        </w:tc>
        <w:tc>
          <w:tcPr>
            <w:tcW w:w="945"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bottom"/>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b/>
                <w:bCs/>
                <w:color w:val="000000"/>
                <w:kern w:val="24"/>
                <w:sz w:val="22"/>
              </w:rPr>
              <w:t xml:space="preserve">Optimal IFT, </w:t>
            </w:r>
            <w:r w:rsidRPr="00426A6D">
              <w:rPr>
                <w:rFonts w:ascii="Arial" w:hAnsi="Arial" w:cs="Arial"/>
                <w:b/>
                <w:bCs/>
                <w:color w:val="000000"/>
                <w:kern w:val="24"/>
                <w:sz w:val="22"/>
              </w:rPr>
              <w:t>±</w:t>
            </w:r>
            <w:r w:rsidRPr="00426A6D">
              <w:rPr>
                <w:rFonts w:ascii="Times New Roman" w:hAnsi="Times New Roman"/>
                <w:b/>
                <w:bCs/>
                <w:color w:val="000000"/>
                <w:kern w:val="24"/>
                <w:sz w:val="22"/>
              </w:rPr>
              <w:t xml:space="preserve"> 5E-4 mN/m</w:t>
            </w:r>
          </w:p>
        </w:tc>
        <w:tc>
          <w:tcPr>
            <w:tcW w:w="944"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bottom"/>
            <w:hideMark/>
          </w:tcPr>
          <w:p w:rsidR="00BF7BCE" w:rsidRPr="00426A6D" w:rsidRDefault="004D3D1F" w:rsidP="00AD3A47">
            <w:pPr>
              <w:spacing w:line="240" w:lineRule="auto"/>
              <w:jc w:val="center"/>
              <w:textAlignment w:val="bottom"/>
              <w:rPr>
                <w:rFonts w:ascii="Arial" w:hAnsi="Arial" w:cs="Arial"/>
                <w:sz w:val="22"/>
                <w:szCs w:val="36"/>
              </w:rPr>
            </w:pPr>
            <w:r>
              <w:rPr>
                <w:rFonts w:ascii="Times New Roman" w:hAnsi="Times New Roman"/>
                <w:b/>
                <w:bCs/>
                <w:color w:val="000000"/>
                <w:kern w:val="24"/>
                <w:sz w:val="22"/>
                <w:lang w:val="da-DK"/>
              </w:rPr>
              <w:t>Steol Cs wt. % at O</w:t>
            </w:r>
            <w:r w:rsidR="00BF7BCE" w:rsidRPr="00426A6D">
              <w:rPr>
                <w:rFonts w:ascii="Times New Roman" w:hAnsi="Times New Roman"/>
                <w:b/>
                <w:bCs/>
                <w:color w:val="000000"/>
                <w:kern w:val="24"/>
                <w:sz w:val="22"/>
                <w:lang w:val="da-DK"/>
              </w:rPr>
              <w:t>ptimal</w:t>
            </w:r>
          </w:p>
        </w:tc>
      </w:tr>
      <w:tr w:rsidR="00BF7BCE" w:rsidRPr="00426A6D" w:rsidTr="00AD3A47">
        <w:trPr>
          <w:trHeight w:val="584"/>
        </w:trPr>
        <w:tc>
          <w:tcPr>
            <w:tcW w:w="1348"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C</w:t>
            </w:r>
            <w:r w:rsidRPr="00426A6D">
              <w:rPr>
                <w:rFonts w:ascii="Times New Roman" w:hAnsi="Times New Roman"/>
                <w:color w:val="000000"/>
                <w:kern w:val="24"/>
                <w:position w:val="-6"/>
                <w:sz w:val="22"/>
                <w:vertAlign w:val="subscript"/>
              </w:rPr>
              <w:t>8</w:t>
            </w:r>
            <w:r w:rsidRPr="00426A6D">
              <w:rPr>
                <w:rFonts w:ascii="Times New Roman" w:hAnsi="Times New Roman"/>
                <w:color w:val="000000"/>
                <w:kern w:val="24"/>
                <w:sz w:val="22"/>
              </w:rPr>
              <w:t>-(PO)</w:t>
            </w:r>
            <w:r w:rsidRPr="00426A6D">
              <w:rPr>
                <w:rFonts w:ascii="Times New Roman" w:hAnsi="Times New Roman"/>
                <w:color w:val="000000"/>
                <w:kern w:val="24"/>
                <w:position w:val="-6"/>
                <w:sz w:val="22"/>
                <w:vertAlign w:val="subscript"/>
              </w:rPr>
              <w:t>4</w:t>
            </w:r>
            <w:r w:rsidRPr="00426A6D">
              <w:rPr>
                <w:rFonts w:ascii="Times New Roman" w:hAnsi="Times New Roman"/>
                <w:color w:val="000000"/>
                <w:kern w:val="24"/>
                <w:sz w:val="22"/>
              </w:rPr>
              <w:t>-(EO)</w:t>
            </w:r>
            <w:r w:rsidRPr="00426A6D">
              <w:rPr>
                <w:rFonts w:ascii="Times New Roman" w:hAnsi="Times New Roman"/>
                <w:color w:val="000000"/>
                <w:kern w:val="24"/>
                <w:position w:val="-6"/>
                <w:sz w:val="22"/>
                <w:vertAlign w:val="subscript"/>
              </w:rPr>
              <w:t>1</w:t>
            </w:r>
            <w:r w:rsidRPr="00426A6D">
              <w:rPr>
                <w:rFonts w:ascii="Times New Roman" w:hAnsi="Times New Roman"/>
                <w:color w:val="000000"/>
                <w:kern w:val="24"/>
                <w:sz w:val="22"/>
              </w:rPr>
              <w:t>-SO4Na</w:t>
            </w:r>
          </w:p>
        </w:tc>
        <w:tc>
          <w:tcPr>
            <w:tcW w:w="913"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Clear/single phase</w:t>
            </w:r>
          </w:p>
        </w:tc>
        <w:tc>
          <w:tcPr>
            <w:tcW w:w="850"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&lt; 25</w:t>
            </w:r>
          </w:p>
        </w:tc>
        <w:tc>
          <w:tcPr>
            <w:tcW w:w="945"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8.68E-03</w:t>
            </w:r>
          </w:p>
        </w:tc>
        <w:tc>
          <w:tcPr>
            <w:tcW w:w="944"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0.437</w:t>
            </w:r>
          </w:p>
        </w:tc>
      </w:tr>
      <w:tr w:rsidR="00BF7BCE" w:rsidRPr="00426A6D" w:rsidTr="00AD3A47">
        <w:trPr>
          <w:trHeight w:val="522"/>
        </w:trPr>
        <w:tc>
          <w:tcPr>
            <w:tcW w:w="1348"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C</w:t>
            </w:r>
            <w:r w:rsidRPr="00426A6D">
              <w:rPr>
                <w:rFonts w:ascii="Times New Roman" w:hAnsi="Times New Roman"/>
                <w:color w:val="000000"/>
                <w:kern w:val="24"/>
                <w:position w:val="-6"/>
                <w:sz w:val="22"/>
                <w:vertAlign w:val="subscript"/>
              </w:rPr>
              <w:t>8</w:t>
            </w:r>
            <w:r w:rsidRPr="00426A6D">
              <w:rPr>
                <w:rFonts w:ascii="Times New Roman" w:hAnsi="Times New Roman"/>
                <w:color w:val="000000"/>
                <w:kern w:val="24"/>
                <w:sz w:val="22"/>
              </w:rPr>
              <w:t>-(PO)</w:t>
            </w:r>
            <w:r w:rsidRPr="00426A6D">
              <w:rPr>
                <w:rFonts w:ascii="Times New Roman" w:hAnsi="Times New Roman"/>
                <w:color w:val="000000"/>
                <w:kern w:val="24"/>
                <w:position w:val="-6"/>
                <w:sz w:val="22"/>
                <w:vertAlign w:val="subscript"/>
              </w:rPr>
              <w:t>4</w:t>
            </w:r>
            <w:r w:rsidRPr="00426A6D">
              <w:rPr>
                <w:rFonts w:ascii="Times New Roman" w:hAnsi="Times New Roman"/>
                <w:color w:val="000000"/>
                <w:kern w:val="24"/>
                <w:sz w:val="22"/>
              </w:rPr>
              <w:t>-SO4Na</w:t>
            </w:r>
          </w:p>
        </w:tc>
        <w:tc>
          <w:tcPr>
            <w:tcW w:w="913"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w:t>
            </w:r>
          </w:p>
        </w:tc>
        <w:tc>
          <w:tcPr>
            <w:tcW w:w="850"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&lt; 20</w:t>
            </w:r>
          </w:p>
        </w:tc>
        <w:tc>
          <w:tcPr>
            <w:tcW w:w="945"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6.07E-03</w:t>
            </w:r>
          </w:p>
        </w:tc>
        <w:tc>
          <w:tcPr>
            <w:tcW w:w="944"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0.375</w:t>
            </w:r>
          </w:p>
        </w:tc>
      </w:tr>
      <w:tr w:rsidR="00BF7BCE" w:rsidRPr="00426A6D" w:rsidTr="00AD3A47">
        <w:trPr>
          <w:trHeight w:val="524"/>
        </w:trPr>
        <w:tc>
          <w:tcPr>
            <w:tcW w:w="1348"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C</w:t>
            </w:r>
            <w:r w:rsidRPr="00426A6D">
              <w:rPr>
                <w:rFonts w:ascii="Times New Roman" w:hAnsi="Times New Roman"/>
                <w:color w:val="000000"/>
                <w:kern w:val="24"/>
                <w:position w:val="-6"/>
                <w:sz w:val="22"/>
                <w:vertAlign w:val="subscript"/>
              </w:rPr>
              <w:t>10</w:t>
            </w:r>
            <w:r w:rsidRPr="00426A6D">
              <w:rPr>
                <w:rFonts w:ascii="Times New Roman" w:hAnsi="Times New Roman"/>
                <w:color w:val="000000"/>
                <w:kern w:val="24"/>
                <w:sz w:val="22"/>
              </w:rPr>
              <w:t>-(PO)</w:t>
            </w:r>
            <w:r w:rsidRPr="00426A6D">
              <w:rPr>
                <w:rFonts w:ascii="Times New Roman" w:hAnsi="Times New Roman"/>
                <w:color w:val="000000"/>
                <w:kern w:val="24"/>
                <w:position w:val="-6"/>
                <w:sz w:val="22"/>
                <w:vertAlign w:val="subscript"/>
              </w:rPr>
              <w:t>4</w:t>
            </w:r>
            <w:r w:rsidRPr="00426A6D">
              <w:rPr>
                <w:rFonts w:ascii="Times New Roman" w:hAnsi="Times New Roman"/>
                <w:color w:val="000000"/>
                <w:kern w:val="24"/>
                <w:sz w:val="22"/>
              </w:rPr>
              <w:t>-(EO)</w:t>
            </w:r>
            <w:r w:rsidRPr="00426A6D">
              <w:rPr>
                <w:rFonts w:ascii="Times New Roman" w:hAnsi="Times New Roman"/>
                <w:color w:val="000000"/>
                <w:kern w:val="24"/>
                <w:position w:val="-6"/>
                <w:sz w:val="22"/>
                <w:vertAlign w:val="subscript"/>
              </w:rPr>
              <w:t>1</w:t>
            </w:r>
            <w:r w:rsidRPr="00426A6D">
              <w:rPr>
                <w:rFonts w:ascii="Times New Roman" w:hAnsi="Times New Roman"/>
                <w:color w:val="000000"/>
                <w:kern w:val="24"/>
                <w:sz w:val="22"/>
              </w:rPr>
              <w:t>-SO4Na</w:t>
            </w:r>
          </w:p>
        </w:tc>
        <w:tc>
          <w:tcPr>
            <w:tcW w:w="913"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w:t>
            </w:r>
          </w:p>
        </w:tc>
        <w:tc>
          <w:tcPr>
            <w:tcW w:w="850"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&lt; 30</w:t>
            </w:r>
          </w:p>
        </w:tc>
        <w:tc>
          <w:tcPr>
            <w:tcW w:w="945"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4.08E-03</w:t>
            </w:r>
          </w:p>
        </w:tc>
        <w:tc>
          <w:tcPr>
            <w:tcW w:w="944"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0.667</w:t>
            </w:r>
          </w:p>
        </w:tc>
      </w:tr>
      <w:tr w:rsidR="00BF7BCE" w:rsidRPr="00426A6D" w:rsidTr="00AD3A47">
        <w:trPr>
          <w:trHeight w:val="497"/>
        </w:trPr>
        <w:tc>
          <w:tcPr>
            <w:tcW w:w="1348"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C</w:t>
            </w:r>
            <w:r w:rsidRPr="00426A6D">
              <w:rPr>
                <w:rFonts w:ascii="Times New Roman" w:hAnsi="Times New Roman"/>
                <w:color w:val="000000"/>
                <w:kern w:val="24"/>
                <w:position w:val="-6"/>
                <w:sz w:val="22"/>
                <w:vertAlign w:val="subscript"/>
              </w:rPr>
              <w:t>10</w:t>
            </w:r>
            <w:r w:rsidRPr="00426A6D">
              <w:rPr>
                <w:rFonts w:ascii="Times New Roman" w:hAnsi="Times New Roman"/>
                <w:color w:val="000000"/>
                <w:kern w:val="24"/>
                <w:sz w:val="22"/>
              </w:rPr>
              <w:t>-(PO)</w:t>
            </w:r>
            <w:r w:rsidRPr="00426A6D">
              <w:rPr>
                <w:rFonts w:ascii="Times New Roman" w:hAnsi="Times New Roman"/>
                <w:color w:val="000000"/>
                <w:kern w:val="24"/>
                <w:position w:val="-6"/>
                <w:sz w:val="22"/>
                <w:vertAlign w:val="subscript"/>
              </w:rPr>
              <w:t>4</w:t>
            </w:r>
            <w:r w:rsidRPr="00426A6D">
              <w:rPr>
                <w:rFonts w:ascii="Times New Roman" w:hAnsi="Times New Roman"/>
                <w:color w:val="000000"/>
                <w:kern w:val="24"/>
                <w:sz w:val="22"/>
              </w:rPr>
              <w:t>-SO4Na</w:t>
            </w:r>
          </w:p>
        </w:tc>
        <w:tc>
          <w:tcPr>
            <w:tcW w:w="913"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w:t>
            </w:r>
          </w:p>
        </w:tc>
        <w:tc>
          <w:tcPr>
            <w:tcW w:w="850"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&lt;30</w:t>
            </w:r>
          </w:p>
        </w:tc>
        <w:tc>
          <w:tcPr>
            <w:tcW w:w="945"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4.92E-03</w:t>
            </w:r>
          </w:p>
        </w:tc>
        <w:tc>
          <w:tcPr>
            <w:tcW w:w="944"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BF7BCE" w:rsidRPr="00426A6D" w:rsidRDefault="00BF7BCE" w:rsidP="00AD3A47">
            <w:pPr>
              <w:spacing w:line="240" w:lineRule="auto"/>
              <w:jc w:val="center"/>
              <w:textAlignment w:val="bottom"/>
              <w:rPr>
                <w:rFonts w:ascii="Arial" w:hAnsi="Arial" w:cs="Arial"/>
                <w:sz w:val="22"/>
                <w:szCs w:val="36"/>
              </w:rPr>
            </w:pPr>
            <w:r w:rsidRPr="00426A6D">
              <w:rPr>
                <w:rFonts w:ascii="Times New Roman" w:hAnsi="Times New Roman"/>
                <w:color w:val="000000"/>
                <w:kern w:val="24"/>
                <w:sz w:val="22"/>
              </w:rPr>
              <w:t>0.687</w:t>
            </w:r>
          </w:p>
        </w:tc>
      </w:tr>
    </w:tbl>
    <w:p w:rsidR="00AD3A47" w:rsidRDefault="00AD3A47" w:rsidP="00AD3A47">
      <w:pPr>
        <w:pStyle w:val="Caption"/>
        <w:keepNext/>
        <w:rPr>
          <w:b w:val="0"/>
        </w:rPr>
      </w:pPr>
      <w:bookmarkStart w:id="49" w:name="_Toc426967286"/>
      <w:r>
        <w:t xml:space="preserve">Table </w:t>
      </w:r>
      <w:r w:rsidR="001C58A2">
        <w:fldChar w:fldCharType="begin"/>
      </w:r>
      <w:r w:rsidR="001C58A2">
        <w:instrText xml:space="preserve"> SEQ Table \* ARABIC </w:instrText>
      </w:r>
      <w:r w:rsidR="001C58A2">
        <w:fldChar w:fldCharType="separate"/>
      </w:r>
      <w:r w:rsidR="003F7947">
        <w:rPr>
          <w:noProof/>
        </w:rPr>
        <w:t>8</w:t>
      </w:r>
      <w:r w:rsidR="001C58A2">
        <w:rPr>
          <w:noProof/>
        </w:rPr>
        <w:fldChar w:fldCharType="end"/>
      </w:r>
      <w:r>
        <w:t xml:space="preserve">. </w:t>
      </w:r>
      <w:r w:rsidRPr="00557298">
        <w:rPr>
          <w:b w:val="0"/>
        </w:rPr>
        <w:t>Phase behavior studies, IFT measurement, and concentration of Steol Cs460 at optimal for each surfactant mixture. The concentration of extended su</w:t>
      </w:r>
      <w:r>
        <w:rPr>
          <w:b w:val="0"/>
        </w:rPr>
        <w:t>rfactants at optimal is 0.25 wt</w:t>
      </w:r>
      <w:r w:rsidRPr="00557298">
        <w:rPr>
          <w:b w:val="0"/>
        </w:rPr>
        <w:t xml:space="preserve"> %</w:t>
      </w:r>
      <w:r>
        <w:rPr>
          <w:b w:val="0"/>
        </w:rPr>
        <w:t>.</w:t>
      </w:r>
      <w:bookmarkEnd w:id="49"/>
    </w:p>
    <w:p w:rsidR="00BF7BCE" w:rsidRDefault="00BF7BCE" w:rsidP="00BA2D85">
      <w:pPr>
        <w:pStyle w:val="Caption"/>
        <w:keepNext/>
      </w:pPr>
    </w:p>
    <w:p w:rsidR="00BF7BCE" w:rsidRPr="00BF7BCE" w:rsidRDefault="00BF7BCE" w:rsidP="00BF7BCE">
      <w:pPr>
        <w:jc w:val="both"/>
        <w:rPr>
          <w:lang w:bidi="en-US"/>
        </w:rPr>
      </w:pPr>
      <w:r w:rsidRPr="00BF7BCE">
        <w:rPr>
          <w:lang w:bidi="en-US"/>
        </w:rPr>
        <w:t>To verify our claim above, phase behavior studies are conducted by holding the concentration of the extended</w:t>
      </w:r>
      <w:r w:rsidR="00AD3A47">
        <w:rPr>
          <w:lang w:bidi="en-US"/>
        </w:rPr>
        <w:t xml:space="preserve"> surfactant constant at 0.25 wt</w:t>
      </w:r>
      <w:r w:rsidRPr="00BF7BCE">
        <w:rPr>
          <w:lang w:bidi="en-US"/>
        </w:rPr>
        <w:t xml:space="preserve"> % and varying the concentration of Steol Cs460 from the point where the surfactant mixture is predicted to form the optimal middle phase microemulsions as shown in Table 7. An example phase </w:t>
      </w:r>
      <w:r w:rsidRPr="00BF7BCE">
        <w:rPr>
          <w:lang w:bidi="en-US"/>
        </w:rPr>
        <w:lastRenderedPageBreak/>
        <w:t>behavior scan of C</w:t>
      </w:r>
      <w:r w:rsidRPr="00BF7BCE">
        <w:rPr>
          <w:vertAlign w:val="subscript"/>
          <w:lang w:bidi="en-US"/>
        </w:rPr>
        <w:t>8</w:t>
      </w:r>
      <w:r w:rsidR="004D3D1F">
        <w:rPr>
          <w:lang w:bidi="en-US"/>
        </w:rPr>
        <w:t>-(P</w:t>
      </w:r>
      <w:r w:rsidRPr="00BF7BCE">
        <w:rPr>
          <w:lang w:bidi="en-US"/>
        </w:rPr>
        <w:t>O)</w:t>
      </w:r>
      <w:r w:rsidR="004D3D1F">
        <w:rPr>
          <w:vertAlign w:val="subscript"/>
          <w:lang w:bidi="en-US"/>
        </w:rPr>
        <w:t>4</w:t>
      </w:r>
      <w:r w:rsidR="004D3D1F">
        <w:rPr>
          <w:lang w:bidi="en-US"/>
        </w:rPr>
        <w:t>-(E</w:t>
      </w:r>
      <w:r w:rsidRPr="00BF7BCE">
        <w:rPr>
          <w:lang w:bidi="en-US"/>
        </w:rPr>
        <w:t>O)</w:t>
      </w:r>
      <w:r w:rsidR="004D3D1F">
        <w:rPr>
          <w:vertAlign w:val="subscript"/>
          <w:lang w:bidi="en-US"/>
        </w:rPr>
        <w:t>1</w:t>
      </w:r>
      <w:r w:rsidRPr="00BF7BCE">
        <w:rPr>
          <w:lang w:bidi="en-US"/>
        </w:rPr>
        <w:t>-SO</w:t>
      </w:r>
      <w:r w:rsidRPr="00BF7BCE">
        <w:rPr>
          <w:vertAlign w:val="subscript"/>
          <w:lang w:bidi="en-US"/>
        </w:rPr>
        <w:t>4</w:t>
      </w:r>
      <w:r w:rsidRPr="00BF7BCE">
        <w:rPr>
          <w:lang w:bidi="en-US"/>
        </w:rPr>
        <w:t>Na and Steol Cs460 is shown in Figure 4. Table 8 gives the information of surfactant aqueous phase stability and the coalescence time of the region where middle phase microemulsions are formed. As noticed in the Table 8, all surfactant systems show a single, clear, and homogeneous aqueous phase indicating that surfactant precipitation or salting out is not present or observed. Additionally, the coalescence time is observed to be less than 30 minutes which is in the range for a robust surfactant formulation giving good oil recovery</w:t>
      </w:r>
      <w:r w:rsidRPr="00BF7BCE">
        <w:rPr>
          <w:lang w:bidi="en-US"/>
        </w:rPr>
        <w:fldChar w:fldCharType="begin"/>
      </w:r>
      <w:r w:rsidR="00332C11">
        <w:rPr>
          <w:lang w:bidi="en-US"/>
        </w:rPr>
        <w:instrText xml:space="preserve"> ADDIN EN.CITE &lt;EndNote&gt;&lt;Cite&gt;&lt;Author&gt;Flaaten&lt;/Author&gt;&lt;Year&gt;2009&lt;/Year&gt;&lt;RecNum&gt;73&lt;/RecNum&gt;&lt;DisplayText&gt;&lt;style face="superscript"&gt;12, 54&lt;/style&gt;&lt;/DisplayText&gt;&lt;record&gt;&lt;rec-number&gt;73&lt;/rec-number&gt;&lt;foreign-keys&gt;&lt;key app="EN" db-id="a5zz9zdsp2tzdiedrdov0ztx9zwzps0patvs" timestamp="1425609032"&gt;73&lt;/key&gt;&lt;/foreign-keys&gt;&lt;ref-type name="Journal Article"&gt;17&lt;/ref-type&gt;&lt;contributors&gt;&lt;authors&gt;&lt;author&gt;Flaaten, Adam&lt;/author&gt;&lt;author&gt;Nguyen, Quoc P&lt;/author&gt;&lt;author&gt;Pope, Gary A&lt;/author&gt;&lt;author&gt;Zhang, Jieyuan&lt;/author&gt;&lt;/authors&gt;&lt;/contributors&gt;&lt;titles&gt;&lt;title&gt;A systematic laboratory approach to low-cost, high-performance chemical flooding&lt;/title&gt;&lt;secondary-title&gt;SPE Reservoir Evaluation &amp;amp; Engineering&lt;/secondary-title&gt;&lt;/titles&gt;&lt;periodical&gt;&lt;full-title&gt;SPE Reservoir Evaluation &amp;amp; Engineering&lt;/full-title&gt;&lt;/periodical&gt;&lt;pages&gt;713-723&lt;/pages&gt;&lt;volume&gt;12&lt;/volume&gt;&lt;number&gt;05&lt;/number&gt;&lt;dates&gt;&lt;year&gt;2009&lt;/year&gt;&lt;/dates&gt;&lt;isbn&gt;1094-6470&lt;/isbn&gt;&lt;urls&gt;&lt;/urls&gt;&lt;/record&gt;&lt;/Cite&gt;&lt;Cite&gt;&lt;Author&gt;A.&lt;/Author&gt;&lt;Year&gt;2009&lt;/Year&gt;&lt;RecNum&gt;74&lt;/RecNum&gt;&lt;record&gt;&lt;rec-number&gt;74&lt;/rec-number&gt;&lt;foreign-keys&gt;&lt;key app="EN" db-id="a5zz9zdsp2tzdiedrdov0ztx9zwzps0patvs" timestamp="1425609119"&gt;74&lt;/key&gt;&lt;/foreign-keys&gt;&lt;ref-type name="Journal Article"&gt;17&lt;/ref-type&gt;&lt;contributors&gt;&lt;authors&gt;&lt;author&gt;David B. Levitt  &lt;/author&gt;&lt;author&gt;Adam C.  Jackson; &lt;/author&gt;&lt;author&gt;Christopher Heinson &lt;/author&gt;&lt;author&gt;Larry N.  Britton&lt;/author&gt;&lt;author&gt;Taimur Malik &lt;/author&gt;&lt;author&gt;Varadarajan Dwarakanath&lt;/author&gt;&lt;author&gt;Gary A. Pope &lt;/author&gt;&lt;/authors&gt;&lt;/contributors&gt;&lt;titles&gt;&lt;title&gt;Identification and evaluation of high-performance EOR surfactants&lt;/title&gt;&lt;secondary-title&gt;SPE Reservoir Evaluation &amp;amp; Engineering&lt;/secondary-title&gt;&lt;/titles&gt;&lt;periodical&gt;&lt;full-title&gt;SPE Reservoir Evaluation &amp;amp; Engineering&lt;/full-title&gt;&lt;/periodical&gt;&lt;pages&gt;243-253&lt;/pages&gt;&lt;volume&gt;2&lt;/volume&gt;&lt;number&gt;12&lt;/number&gt;&lt;dates&gt;&lt;year&gt;2009&lt;/year&gt;&lt;/dates&gt;&lt;urls&gt;&lt;/urls&gt;&lt;/record&gt;&lt;/Cite&gt;&lt;/EndNote&gt;</w:instrText>
      </w:r>
      <w:r w:rsidRPr="00BF7BCE">
        <w:rPr>
          <w:lang w:bidi="en-US"/>
        </w:rPr>
        <w:fldChar w:fldCharType="separate"/>
      </w:r>
      <w:r w:rsidR="00332C11" w:rsidRPr="00332C11">
        <w:rPr>
          <w:noProof/>
          <w:vertAlign w:val="superscript"/>
          <w:lang w:bidi="en-US"/>
        </w:rPr>
        <w:t>12, 54</w:t>
      </w:r>
      <w:r w:rsidRPr="00BF7BCE">
        <w:fldChar w:fldCharType="end"/>
      </w:r>
      <w:r w:rsidRPr="00BF7BCE">
        <w:rPr>
          <w:lang w:bidi="en-US"/>
        </w:rPr>
        <w:t>.</w:t>
      </w:r>
    </w:p>
    <w:p w:rsidR="003E2D46" w:rsidRPr="00BF7BCE" w:rsidRDefault="00CF5567" w:rsidP="00BF7BCE">
      <w:pPr>
        <w:pStyle w:val="Heading3"/>
      </w:pPr>
      <w:bookmarkStart w:id="50" w:name="_Toc413353886"/>
      <w:bookmarkStart w:id="51" w:name="_Toc426374021"/>
      <w:r>
        <w:t>IFT Measurements and Optimal P</w:t>
      </w:r>
      <w:r w:rsidR="003E2D46" w:rsidRPr="00BF7BCE">
        <w:t>oint</w:t>
      </w:r>
      <w:bookmarkEnd w:id="50"/>
      <w:bookmarkEnd w:id="51"/>
    </w:p>
    <w:p w:rsidR="003E2D46" w:rsidRDefault="003E2D46" w:rsidP="003E2D46">
      <w:pPr>
        <w:jc w:val="both"/>
        <w:rPr>
          <w:lang w:bidi="en-US"/>
        </w:rPr>
      </w:pPr>
      <w:r w:rsidRPr="003E2D46">
        <w:rPr>
          <w:lang w:bidi="en-US"/>
        </w:rPr>
        <w:t>The IFT measurement data of the surfactant mixtures as the function of Steol Cs460 concentration a</w:t>
      </w:r>
      <w:r w:rsidR="00961EE9">
        <w:rPr>
          <w:lang w:bidi="en-US"/>
        </w:rPr>
        <w:t>re shown in Figure 5. Focusing o</w:t>
      </w:r>
      <w:r w:rsidRPr="003E2D46">
        <w:rPr>
          <w:lang w:bidi="en-US"/>
        </w:rPr>
        <w:t>n Figure 5, the concentration of Steol Cs460 at which the minimum IFT value is observed is considered the optimal point for that specific system. At the optimal point, surfactants have an equal affinity for both oil and water phases and thus most of the surfactants migrate from the bulk oil and water phases into a separate middle phase containing equal volumes of oil and water; at these condi</w:t>
      </w:r>
      <w:r w:rsidR="00F32707">
        <w:rPr>
          <w:lang w:bidi="en-US"/>
        </w:rPr>
        <w:t>tions a minimum IFT is achieved</w:t>
      </w:r>
      <w:r w:rsidRPr="003E2D46">
        <w:rPr>
          <w:lang w:bidi="en-US"/>
        </w:rPr>
        <w:fldChar w:fldCharType="begin"/>
      </w:r>
      <w:r w:rsidR="00332C11">
        <w:rPr>
          <w:lang w:bidi="en-US"/>
        </w:rPr>
        <w:instrText xml:space="preserve"> ADDIN EN.CITE &lt;EndNote&gt;&lt;Cite&gt;&lt;Author&gt;Shah&lt;/Author&gt;&lt;Year&gt;1977&lt;/Year&gt;&lt;RecNum&gt;76&lt;/RecNum&gt;&lt;DisplayText&gt;&lt;style face="superscript"&gt;29, 55&lt;/style&gt;&lt;/DisplayText&gt;&lt;record&gt;&lt;rec-number&gt;76&lt;/rec-number&gt;&lt;foreign-keys&gt;&lt;key app="EN" db-id="a5zz9zdsp2tzdiedrdov0ztx9zwzps0patvs" timestamp="1425610506"&gt;76&lt;/key&gt;&lt;/foreign-keys&gt;&lt;ref-type name="Book"&gt;6&lt;/ref-type&gt;&lt;contributors&gt;&lt;authors&gt;&lt;author&gt;Shah, D.O., and R.S. Schechter (eds)&lt;/author&gt;&lt;/authors&gt;&lt;/contributors&gt;&lt;titles&gt;&lt;title&gt;Improved Oil Recovery by Surfactant and Polymer Flooding&lt;/title&gt;&lt;/titles&gt;&lt;dates&gt;&lt;year&gt;1977&lt;/year&gt;&lt;pub-dates&gt;&lt;date&gt;1977&lt;/date&gt;&lt;/pub-dates&gt;&lt;/dates&gt;&lt;pub-location&gt;New York&lt;/pub-location&gt;&lt;publisher&gt;Academic Press&lt;/publisher&gt;&lt;urls&gt;&lt;/urls&gt;&lt;/record&gt;&lt;/Cite&gt;&lt;Cite&gt;&lt;Author&gt;Salager&lt;/Author&gt;&lt;Year&gt;2005&lt;/Year&gt;&lt;RecNum&gt;77&lt;/RecNum&gt;&lt;record&gt;&lt;rec-number&gt;77&lt;/rec-number&gt;&lt;foreign-keys&gt;&lt;key app="EN" db-id="a5zz9zdsp2tzdiedrdov0ztx9zwzps0patvs" timestamp="1425610674"&gt;77&lt;/key&gt;&lt;/foreign-keys&gt;&lt;ref-type name="Journal Article"&gt;17&lt;/ref-type&gt;&lt;contributors&gt;&lt;authors&gt;&lt;author&gt;Salager, Jean-Louis&lt;/author&gt;&lt;author&gt;Antón, Raquel E&lt;/author&gt;&lt;author&gt;Sabatini, David A&lt;/author&gt;&lt;author&gt;Harwell, Jeffrey H&lt;/author&gt;&lt;author&gt;Acosta, Edgar J&lt;/author&gt;&lt;author&gt;Tolosa, Laura I&lt;/author&gt;&lt;/authors&gt;&lt;/contributors&gt;&lt;titles&gt;&lt;title&gt;Enhancing solubilization in microemulsions—state of the art and current trends&lt;/title&gt;&lt;secondary-title&gt;Journal of surfactants and detergents&lt;/secondary-title&gt;&lt;/titles&gt;&lt;periodical&gt;&lt;full-title&gt;Journal of Surfactants and Detergents&lt;/full-title&gt;&lt;/periodical&gt;&lt;pages&gt;3-21&lt;/pages&gt;&lt;volume&gt;8&lt;/volume&gt;&lt;number&gt;1&lt;/number&gt;&lt;dates&gt;&lt;year&gt;2005&lt;/year&gt;&lt;/dates&gt;&lt;isbn&gt;1097-3958&lt;/isbn&gt;&lt;urls&gt;&lt;/urls&gt;&lt;/record&gt;&lt;/Cite&gt;&lt;/EndNote&gt;</w:instrText>
      </w:r>
      <w:r w:rsidRPr="003E2D46">
        <w:rPr>
          <w:lang w:bidi="en-US"/>
        </w:rPr>
        <w:fldChar w:fldCharType="separate"/>
      </w:r>
      <w:r w:rsidR="00332C11" w:rsidRPr="00332C11">
        <w:rPr>
          <w:noProof/>
          <w:vertAlign w:val="superscript"/>
          <w:lang w:bidi="en-US"/>
        </w:rPr>
        <w:t>29, 55</w:t>
      </w:r>
      <w:r w:rsidRPr="003E2D46">
        <w:rPr>
          <w:lang w:bidi="en-US"/>
        </w:rPr>
        <w:fldChar w:fldCharType="end"/>
      </w:r>
      <w:r w:rsidRPr="003E2D46">
        <w:rPr>
          <w:lang w:bidi="en-US"/>
        </w:rPr>
        <w:t xml:space="preserve"> at the interface between the bulk oil and water phases. The IFT values and the Steol Cs460 concentration of surfactant mixtures at the optimal point are presented in Table 8. In addition to the ultralow IFT (&lt;10</w:t>
      </w:r>
      <w:r w:rsidRPr="003E2D46">
        <w:rPr>
          <w:vertAlign w:val="superscript"/>
          <w:lang w:bidi="en-US"/>
        </w:rPr>
        <w:t>-3</w:t>
      </w:r>
      <w:r w:rsidRPr="003E2D46">
        <w:rPr>
          <w:lang w:bidi="en-US"/>
        </w:rPr>
        <w:t xml:space="preserve"> mN/m) nature of the optimal point as shown in Table 8, the coalescence time at the optimal region of each surfactant system are also observed to be less than 30 minutes. This behavior further verifies that the HLD predicted surfactant formulation satisfies the requirement of</w:t>
      </w:r>
      <w:r w:rsidR="00BF7BCE">
        <w:rPr>
          <w:lang w:bidi="en-US"/>
        </w:rPr>
        <w:t xml:space="preserve"> </w:t>
      </w:r>
      <w:r w:rsidRPr="003E2D46">
        <w:rPr>
          <w:lang w:bidi="en-US"/>
        </w:rPr>
        <w:t>a robust surfactant for</w:t>
      </w:r>
      <w:r w:rsidR="00F32707">
        <w:rPr>
          <w:lang w:bidi="en-US"/>
        </w:rPr>
        <w:t>mulation for a cEOR application</w:t>
      </w:r>
      <w:r w:rsidRPr="003E2D46">
        <w:rPr>
          <w:lang w:bidi="en-US"/>
        </w:rPr>
        <w:fldChar w:fldCharType="begin"/>
      </w:r>
      <w:r w:rsidR="00332C11">
        <w:rPr>
          <w:lang w:bidi="en-US"/>
        </w:rPr>
        <w:instrText xml:space="preserve"> ADDIN EN.CITE &lt;EndNote&gt;&lt;Cite&gt;&lt;Author&gt;Hirasaki&lt;/Author&gt;&lt;Year&gt;2011&lt;/Year&gt;&lt;RecNum&gt;24&lt;/RecNum&gt;&lt;DisplayText&gt;&lt;style face="superscript"&gt;7, 56&lt;/style&gt;&lt;/DisplayText&gt;&lt;record&gt;&lt;rec-number&gt;24&lt;/rec-number&gt;&lt;foreign-keys&gt;&lt;key app="EN" db-id="a5zz9zdsp2tzdiedrdov0ztx9zwzps0patvs" timestamp="1424741470"&gt;24&lt;/key&gt;&lt;/foreign-keys&gt;&lt;ref-type name="Journal Article"&gt;17&lt;/ref-type&gt;&lt;contributors&gt;&lt;authors&gt;&lt;author&gt;Hirasaki, George&lt;/author&gt;&lt;author&gt;Miller, Clarence A&lt;/author&gt;&lt;author&gt;Puerto, Maura&lt;/author&gt;&lt;/authors&gt;&lt;/contributors&gt;&lt;titles&gt;&lt;title&gt;Recent advances in surfactant EOR&lt;/title&gt;&lt;secondary-title&gt;SPE Journal&lt;/secondary-title&gt;&lt;/titles&gt;&lt;periodical&gt;&lt;full-title&gt;SPE Journal&lt;/full-title&gt;&lt;/periodical&gt;&lt;pages&gt;889-907&lt;/pages&gt;&lt;volume&gt;16&lt;/volume&gt;&lt;number&gt;04&lt;/number&gt;&lt;dates&gt;&lt;year&gt;2011&lt;/year&gt;&lt;/dates&gt;&lt;isbn&gt;1086-055X&lt;/isbn&gt;&lt;urls&gt;&lt;/urls&gt;&lt;/record&gt;&lt;/Cite&gt;&lt;Cite&gt;&lt;Author&gt;Rosen&lt;/Author&gt;&lt;Year&gt;2005&lt;/Year&gt;&lt;RecNum&gt;75&lt;/RecNum&gt;&lt;record&gt;&lt;rec-number&gt;75&lt;/rec-number&gt;&lt;foreign-keys&gt;&lt;key app="EN" db-id="a5zz9zdsp2tzdiedrdov0ztx9zwzps0patvs" timestamp="1425609846"&gt;75&lt;/key&gt;&lt;/foreign-keys&gt;&lt;ref-type name="Journal Article"&gt;17&lt;/ref-type&gt;&lt;contributors&gt;&lt;authors&gt;&lt;author&gt;Rosen, Milton J&lt;/author&gt;&lt;author&gt;Wang, Hongzhuang&lt;/author&gt;&lt;author&gt;Shen, Pingping&lt;/author&gt;&lt;author&gt;Zhu, Youyi&lt;/author&gt;&lt;/authors&gt;&lt;/contributors&gt;&lt;titles&gt;&lt;title&gt;Ultralow interfacial tension for enhanced oil recovery at very low surfactant concentrations&lt;/title&gt;&lt;secondary-title&gt;Langmuir&lt;/secondary-title&gt;&lt;/titles&gt;&lt;periodical&gt;&lt;full-title&gt;Langmuir&lt;/full-title&gt;&lt;/periodical&gt;&lt;pages&gt;3749-3756&lt;/pages&gt;&lt;volume&gt;21&lt;/volume&gt;&lt;number&gt;9&lt;/number&gt;&lt;dates&gt;&lt;year&gt;2005&lt;/year&gt;&lt;/dates&gt;&lt;isbn&gt;0743-7463&lt;/isbn&gt;&lt;urls&gt;&lt;/urls&gt;&lt;/record&gt;&lt;/Cite&gt;&lt;/EndNote&gt;</w:instrText>
      </w:r>
      <w:r w:rsidRPr="003E2D46">
        <w:rPr>
          <w:lang w:bidi="en-US"/>
        </w:rPr>
        <w:fldChar w:fldCharType="separate"/>
      </w:r>
      <w:r w:rsidR="00332C11" w:rsidRPr="00332C11">
        <w:rPr>
          <w:noProof/>
          <w:vertAlign w:val="superscript"/>
          <w:lang w:bidi="en-US"/>
        </w:rPr>
        <w:t>7, 56</w:t>
      </w:r>
      <w:r w:rsidRPr="003E2D46">
        <w:rPr>
          <w:lang w:bidi="en-US"/>
        </w:rPr>
        <w:fldChar w:fldCharType="end"/>
      </w:r>
      <w:r w:rsidRPr="003E2D46">
        <w:rPr>
          <w:lang w:bidi="en-US"/>
        </w:rPr>
        <w:t xml:space="preserve">. The sand pack study discussed below validates the designed formulation. </w:t>
      </w:r>
    </w:p>
    <w:p w:rsidR="00557298" w:rsidRPr="003E2D46" w:rsidRDefault="00BF7BCE" w:rsidP="003E2D46">
      <w:pPr>
        <w:jc w:val="both"/>
        <w:rPr>
          <w:lang w:bidi="en-US"/>
        </w:rPr>
      </w:pPr>
      <w:r>
        <w:rPr>
          <w:noProof/>
        </w:rPr>
        <w:lastRenderedPageBreak/>
        <mc:AlternateContent>
          <mc:Choice Requires="wps">
            <w:drawing>
              <wp:anchor distT="0" distB="0" distL="114300" distR="114300" simplePos="0" relativeHeight="251677696" behindDoc="0" locked="0" layoutInCell="1" allowOverlap="1" wp14:anchorId="4D9B2379" wp14:editId="53ACBBC9">
                <wp:simplePos x="0" y="0"/>
                <wp:positionH relativeFrom="column">
                  <wp:posOffset>-6985</wp:posOffset>
                </wp:positionH>
                <wp:positionV relativeFrom="paragraph">
                  <wp:posOffset>2743200</wp:posOffset>
                </wp:positionV>
                <wp:extent cx="5401310" cy="488950"/>
                <wp:effectExtent l="0" t="0" r="8890" b="6350"/>
                <wp:wrapTopAndBottom/>
                <wp:docPr id="11" name="Text Box 11"/>
                <wp:cNvGraphicFramePr/>
                <a:graphic xmlns:a="http://schemas.openxmlformats.org/drawingml/2006/main">
                  <a:graphicData uri="http://schemas.microsoft.com/office/word/2010/wordprocessingShape">
                    <wps:wsp>
                      <wps:cNvSpPr txBox="1"/>
                      <wps:spPr>
                        <a:xfrm>
                          <a:off x="0" y="0"/>
                          <a:ext cx="5401310" cy="488950"/>
                        </a:xfrm>
                        <a:prstGeom prst="rect">
                          <a:avLst/>
                        </a:prstGeom>
                        <a:solidFill>
                          <a:prstClr val="white"/>
                        </a:solidFill>
                        <a:ln>
                          <a:noFill/>
                        </a:ln>
                        <a:effectLst/>
                      </wps:spPr>
                      <wps:txbx>
                        <w:txbxContent>
                          <w:p w:rsidR="005C410D" w:rsidRPr="00722EE5" w:rsidRDefault="005C410D" w:rsidP="00BF7BCE">
                            <w:pPr>
                              <w:pStyle w:val="Caption"/>
                              <w:rPr>
                                <w:szCs w:val="24"/>
                                <w:lang w:bidi="en-US"/>
                              </w:rPr>
                            </w:pPr>
                            <w:bookmarkStart w:id="52" w:name="_Toc426967297"/>
                            <w:r>
                              <w:t xml:space="preserve">Figure </w:t>
                            </w:r>
                            <w:r w:rsidR="001C58A2">
                              <w:fldChar w:fldCharType="begin"/>
                            </w:r>
                            <w:r w:rsidR="001C58A2">
                              <w:instrText xml:space="preserve"> SEQ Figure \* ARABIC </w:instrText>
                            </w:r>
                            <w:r w:rsidR="001C58A2">
                              <w:fldChar w:fldCharType="separate"/>
                            </w:r>
                            <w:r w:rsidR="003F7947">
                              <w:rPr>
                                <w:noProof/>
                              </w:rPr>
                              <w:t>5</w:t>
                            </w:r>
                            <w:r w:rsidR="001C58A2">
                              <w:rPr>
                                <w:noProof/>
                              </w:rPr>
                              <w:fldChar w:fldCharType="end"/>
                            </w:r>
                            <w:r>
                              <w:t xml:space="preserve">. </w:t>
                            </w:r>
                            <w:r w:rsidRPr="00557298">
                              <w:rPr>
                                <w:rFonts w:ascii="Times New Roman" w:eastAsia="Calibri" w:hAnsi="Times New Roman"/>
                                <w:b w:val="0"/>
                                <w:bCs w:val="0"/>
                                <w:szCs w:val="24"/>
                              </w:rPr>
                              <w:t>Equilibrium IFT measurements of the binary mixtures (extended surfactant, 0.25 wt. % + Steol Cs460) with the reservoir crude oil at 52°C</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B2379" id="Text Box 11" o:spid="_x0000_s1030" type="#_x0000_t202" style="position:absolute;left:0;text-align:left;margin-left:-.55pt;margin-top:3in;width:425.3pt;height:3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" stroked="f">
                <v:textbox inset="0,0,0,0">
                  <w:txbxContent>
                    <w:p w:rsidR="005C410D" w:rsidRPr="00722EE5" w:rsidRDefault="005C410D" w:rsidP="00BF7BCE">
                      <w:pPr>
                        <w:pStyle w:val="Caption"/>
                        <w:rPr>
                          <w:szCs w:val="24"/>
                          <w:lang w:bidi="en-US"/>
                        </w:rPr>
                      </w:pPr>
                      <w:bookmarkStart w:id="58" w:name="_Toc426967297"/>
                      <w:r>
                        <w:t xml:space="preserve">Figure </w:t>
                      </w:r>
                      <w:fldSimple w:instr=" SEQ Figure \* ARABIC ">
                        <w:r w:rsidR="003F7947">
                          <w:rPr>
                            <w:noProof/>
                          </w:rPr>
                          <w:t>5</w:t>
                        </w:r>
                      </w:fldSimple>
                      <w:r>
                        <w:t xml:space="preserve">. </w:t>
                      </w:r>
                      <w:r w:rsidRPr="00557298">
                        <w:rPr>
                          <w:rFonts w:ascii="Times New Roman" w:eastAsia="Calibri" w:hAnsi="Times New Roman"/>
                          <w:b w:val="0"/>
                          <w:bCs w:val="0"/>
                          <w:szCs w:val="24"/>
                        </w:rPr>
                        <w:t>Equilibrium IFT measurements of the binary mixtures (extended surfactant, 0.25 wt. % + Steol Cs460) with the reservoir crude oil at 52°C</w:t>
                      </w:r>
                      <w:bookmarkEnd w:id="58"/>
                    </w:p>
                  </w:txbxContent>
                </v:textbox>
                <w10:wrap type="topAndBottom"/>
              </v:shape>
            </w:pict>
          </mc:Fallback>
        </mc:AlternateContent>
      </w:r>
      <w:r w:rsidRPr="003A07C5">
        <w:rPr>
          <w:rFonts w:ascii="Times New Roman" w:hAnsi="Times New Roman"/>
          <w:noProof/>
        </w:rPr>
        <w:drawing>
          <wp:anchor distT="0" distB="0" distL="114300" distR="114300" simplePos="0" relativeHeight="251675648" behindDoc="0" locked="0" layoutInCell="1" allowOverlap="1" wp14:anchorId="24ACFE44" wp14:editId="1BA32DEE">
            <wp:simplePos x="0" y="0"/>
            <wp:positionH relativeFrom="column">
              <wp:posOffset>338957</wp:posOffset>
            </wp:positionH>
            <wp:positionV relativeFrom="page">
              <wp:posOffset>384810</wp:posOffset>
            </wp:positionV>
            <wp:extent cx="4629150" cy="3057525"/>
            <wp:effectExtent l="0" t="0" r="0" b="9525"/>
            <wp:wrapTopAndBottom/>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14:sizeRelH relativeFrom="margin">
              <wp14:pctWidth>0</wp14:pctWidth>
            </wp14:sizeRelH>
            <wp14:sizeRelV relativeFrom="margin">
              <wp14:pctHeight>0</wp14:pctHeight>
            </wp14:sizeRelV>
          </wp:anchor>
        </w:drawing>
      </w:r>
    </w:p>
    <w:p w:rsidR="003E2D46" w:rsidRPr="003E2D46" w:rsidRDefault="003E2D46" w:rsidP="003E2D46">
      <w:pPr>
        <w:jc w:val="both"/>
        <w:rPr>
          <w:lang w:bidi="en-US"/>
        </w:rPr>
      </w:pPr>
      <w:r w:rsidRPr="003E2D46">
        <w:rPr>
          <w:lang w:bidi="en-US"/>
        </w:rPr>
        <w:t>In general, surfactants with longer carbon tail length have stronger interactions with the oil phase and thus generate  a lower IFT compared to the surfactant with</w:t>
      </w:r>
      <w:r w:rsidR="00F32707">
        <w:rPr>
          <w:lang w:bidi="en-US"/>
        </w:rPr>
        <w:t xml:space="preserve"> the shorter carbon tail length</w:t>
      </w:r>
      <w:r w:rsidRPr="003E2D46">
        <w:rPr>
          <w:lang w:bidi="en-US"/>
        </w:rPr>
        <w:fldChar w:fldCharType="begin"/>
      </w:r>
      <w:r w:rsidR="00332C11">
        <w:rPr>
          <w:lang w:bidi="en-US"/>
        </w:rPr>
        <w:instrText xml:space="preserve"> ADDIN EN.CITE &lt;EndNote&gt;&lt;Cite&gt;&lt;Author&gt;Salager&lt;/Author&gt;&lt;Year&gt;2013&lt;/Year&gt;&lt;RecNum&gt;78&lt;/RecNum&gt;&lt;DisplayText&gt;&lt;style face="superscript"&gt;28&lt;/style&gt;&lt;/DisplayText&gt;&lt;record&gt;&lt;rec-number&gt;78&lt;/rec-number&gt;&lt;foreign-keys&gt;&lt;key app="EN" db-id="a5zz9zdsp2tzdiedrdov0ztx9zwzps0patvs" timestamp="1425610894"&gt;78&lt;/key&gt;&lt;/foreign-keys&gt;&lt;ref-type name="Journal Article"&gt;17&lt;/ref-type&gt;&lt;contributors&gt;&lt;authors&gt;&lt;author&gt;Salager, Jean-Louis&lt;/author&gt;&lt;author&gt;Forgiarini, Ana M&lt;/author&gt;&lt;author&gt;Bullón, Johnny&lt;/author&gt;&lt;/authors&gt;&lt;/contributors&gt;&lt;titles&gt;&lt;title&gt;How to attain ultralow interfacial tension and three-phase behavior with surfactant formulation for enhanced oil recovery: a review. Part 1. Optimum formulation for simple surfactant–oil–water ternary systems&lt;/title&gt;&lt;secondary-title&gt;Journal of Surfactants and Detergents&lt;/secondary-title&gt;&lt;/titles&gt;&lt;periodical&gt;&lt;full-title&gt;Journal of Surfactants and Detergents&lt;/full-title&gt;&lt;/periodical&gt;&lt;pages&gt;449-472&lt;/pages&gt;&lt;volume&gt;16&lt;/volume&gt;&lt;number&gt;4&lt;/number&gt;&lt;dates&gt;&lt;year&gt;2013&lt;/year&gt;&lt;/dates&gt;&lt;isbn&gt;1097-3958&lt;/isbn&gt;&lt;urls&gt;&lt;/urls&gt;&lt;/record&gt;&lt;/Cite&gt;&lt;/EndNote&gt;</w:instrText>
      </w:r>
      <w:r w:rsidRPr="003E2D46">
        <w:rPr>
          <w:lang w:bidi="en-US"/>
        </w:rPr>
        <w:fldChar w:fldCharType="separate"/>
      </w:r>
      <w:r w:rsidR="00332C11" w:rsidRPr="00332C11">
        <w:rPr>
          <w:noProof/>
          <w:vertAlign w:val="superscript"/>
          <w:lang w:bidi="en-US"/>
        </w:rPr>
        <w:t>28</w:t>
      </w:r>
      <w:r w:rsidRPr="003E2D46">
        <w:rPr>
          <w:lang w:bidi="en-US"/>
        </w:rPr>
        <w:fldChar w:fldCharType="end"/>
      </w:r>
      <w:r w:rsidRPr="003E2D46">
        <w:rPr>
          <w:lang w:bidi="en-US"/>
        </w:rPr>
        <w:t>. Therefore, as shown in Figure 5 and also in Table 8, the optimal IFT values of extended surfactants with C</w:t>
      </w:r>
      <w:r w:rsidRPr="003E2D46">
        <w:rPr>
          <w:vertAlign w:val="subscript"/>
          <w:lang w:bidi="en-US"/>
        </w:rPr>
        <w:t>10</w:t>
      </w:r>
      <w:r w:rsidRPr="003E2D46">
        <w:rPr>
          <w:lang w:bidi="en-US"/>
        </w:rPr>
        <w:t xml:space="preserve"> carbon chain length have lower IFT values than the ones with C</w:t>
      </w:r>
      <w:r w:rsidRPr="003E2D46">
        <w:rPr>
          <w:vertAlign w:val="subscript"/>
          <w:lang w:bidi="en-US"/>
        </w:rPr>
        <w:t>8</w:t>
      </w:r>
      <w:r w:rsidRPr="003E2D46">
        <w:rPr>
          <w:lang w:bidi="en-US"/>
        </w:rPr>
        <w:t xml:space="preserve"> carbon chain length. Also shown in Figure 5 and Table 8, the amount of Steol Cs460 required at optimal point is lower for the extended surfactants with shorter carbon chain lengths, C</w:t>
      </w:r>
      <w:r w:rsidRPr="003E2D46">
        <w:rPr>
          <w:vertAlign w:val="subscript"/>
          <w:lang w:bidi="en-US"/>
        </w:rPr>
        <w:t>8</w:t>
      </w:r>
      <w:r w:rsidRPr="003E2D46">
        <w:rPr>
          <w:lang w:bidi="en-US"/>
        </w:rPr>
        <w:t>, compared to the ones with C</w:t>
      </w:r>
      <w:r w:rsidRPr="003E2D46">
        <w:rPr>
          <w:vertAlign w:val="subscript"/>
          <w:lang w:bidi="en-US"/>
        </w:rPr>
        <w:t>10</w:t>
      </w:r>
      <w:r w:rsidRPr="003E2D46">
        <w:rPr>
          <w:lang w:bidi="en-US"/>
        </w:rPr>
        <w:t xml:space="preserve"> carbon chain length. Such a phenomenon can be understood with similar reasoning given for surfactants with longer carbon chain length having lower optimal salinities and less negative Cc-values and vice-versa. In addition, as shown in Figure 5, the concentration of Steol Cs460 at optimal for </w:t>
      </w:r>
      <w:bookmarkStart w:id="53" w:name="OLE_LINK4"/>
      <w:bookmarkStart w:id="54" w:name="OLE_LINK5"/>
      <w:bookmarkStart w:id="55" w:name="OLE_LINK6"/>
      <w:bookmarkStart w:id="56" w:name="OLE_LINK9"/>
      <w:bookmarkStart w:id="57" w:name="OLE_LINK10"/>
      <w:r w:rsidRPr="003E2D46">
        <w:rPr>
          <w:lang w:bidi="en-US"/>
        </w:rPr>
        <w:t>C</w:t>
      </w:r>
      <w:r w:rsidRPr="003E2D46">
        <w:rPr>
          <w:vertAlign w:val="subscript"/>
          <w:lang w:bidi="en-US"/>
        </w:rPr>
        <w:t>8</w:t>
      </w:r>
      <w:r w:rsidR="00D775F5">
        <w:rPr>
          <w:lang w:bidi="en-US"/>
        </w:rPr>
        <w:t>-(P</w:t>
      </w:r>
      <w:r w:rsidRPr="003E2D46">
        <w:rPr>
          <w:lang w:bidi="en-US"/>
        </w:rPr>
        <w:t>O)</w:t>
      </w:r>
      <w:r w:rsidR="00D775F5">
        <w:rPr>
          <w:vertAlign w:val="subscript"/>
          <w:lang w:bidi="en-US"/>
        </w:rPr>
        <w:t>4</w:t>
      </w:r>
      <w:r w:rsidR="00D775F5">
        <w:rPr>
          <w:lang w:bidi="en-US"/>
        </w:rPr>
        <w:t>-(E</w:t>
      </w:r>
      <w:r w:rsidRPr="003E2D46">
        <w:rPr>
          <w:lang w:bidi="en-US"/>
        </w:rPr>
        <w:t>O)</w:t>
      </w:r>
      <w:r w:rsidR="00D775F5">
        <w:rPr>
          <w:vertAlign w:val="subscript"/>
          <w:lang w:bidi="en-US"/>
        </w:rPr>
        <w:t>1</w:t>
      </w:r>
      <w:r w:rsidRPr="003E2D46">
        <w:rPr>
          <w:lang w:bidi="en-US"/>
        </w:rPr>
        <w:t>-SO</w:t>
      </w:r>
      <w:r w:rsidRPr="003E2D46">
        <w:rPr>
          <w:vertAlign w:val="subscript"/>
          <w:lang w:bidi="en-US"/>
        </w:rPr>
        <w:t>4</w:t>
      </w:r>
      <w:r w:rsidRPr="003E2D46">
        <w:rPr>
          <w:lang w:bidi="en-US"/>
        </w:rPr>
        <w:t xml:space="preserve">Na system </w:t>
      </w:r>
      <w:bookmarkEnd w:id="53"/>
      <w:bookmarkEnd w:id="54"/>
      <w:bookmarkEnd w:id="55"/>
      <w:bookmarkEnd w:id="56"/>
      <w:bookmarkEnd w:id="57"/>
      <w:r w:rsidR="00BC5C76">
        <w:rPr>
          <w:lang w:bidi="en-US"/>
        </w:rPr>
        <w:t>is almost 15</w:t>
      </w:r>
      <w:r w:rsidRPr="003E2D46">
        <w:rPr>
          <w:lang w:bidi="en-US"/>
        </w:rPr>
        <w:t>% higher than that of</w:t>
      </w:r>
      <w:bookmarkStart w:id="58" w:name="OLE_LINK7"/>
      <w:bookmarkStart w:id="59" w:name="OLE_LINK8"/>
      <w:r w:rsidRPr="003E2D46">
        <w:rPr>
          <w:lang w:bidi="en-US"/>
        </w:rPr>
        <w:t xml:space="preserve"> the C</w:t>
      </w:r>
      <w:r w:rsidRPr="003E2D46">
        <w:rPr>
          <w:vertAlign w:val="subscript"/>
          <w:lang w:bidi="en-US"/>
        </w:rPr>
        <w:t>8</w:t>
      </w:r>
      <w:r w:rsidRPr="003E2D46">
        <w:rPr>
          <w:lang w:bidi="en-US"/>
        </w:rPr>
        <w:t>-(PO)</w:t>
      </w:r>
      <w:r w:rsidRPr="003E2D46">
        <w:rPr>
          <w:vertAlign w:val="subscript"/>
          <w:lang w:bidi="en-US"/>
        </w:rPr>
        <w:t>4</w:t>
      </w:r>
      <w:r w:rsidRPr="003E2D46">
        <w:rPr>
          <w:lang w:bidi="en-US"/>
        </w:rPr>
        <w:t>-</w:t>
      </w:r>
      <w:bookmarkEnd w:id="58"/>
      <w:bookmarkEnd w:id="59"/>
      <w:r w:rsidRPr="003E2D46">
        <w:rPr>
          <w:lang w:bidi="en-US"/>
        </w:rPr>
        <w:t>SO</w:t>
      </w:r>
      <w:r w:rsidRPr="003E2D46">
        <w:rPr>
          <w:vertAlign w:val="subscript"/>
          <w:lang w:bidi="en-US"/>
        </w:rPr>
        <w:t>4</w:t>
      </w:r>
      <w:r w:rsidRPr="003E2D46">
        <w:rPr>
          <w:lang w:bidi="en-US"/>
        </w:rPr>
        <w:t xml:space="preserve">Na system. This observation further verifies that the addition of one EO decreases the optimal salinity which is also shown in Table 4. However, a similar conclusion cannot be drawn </w:t>
      </w:r>
      <w:r w:rsidRPr="003E2D46">
        <w:rPr>
          <w:lang w:bidi="en-US"/>
        </w:rPr>
        <w:lastRenderedPageBreak/>
        <w:t xml:space="preserve">in the case of </w:t>
      </w:r>
      <w:bookmarkStart w:id="60" w:name="OLE_LINK11"/>
      <w:bookmarkStart w:id="61" w:name="OLE_LINK12"/>
      <w:bookmarkStart w:id="62" w:name="OLE_LINK13"/>
      <w:r w:rsidRPr="003E2D46">
        <w:rPr>
          <w:lang w:bidi="en-US"/>
        </w:rPr>
        <w:t>C</w:t>
      </w:r>
      <w:r w:rsidRPr="003E2D46">
        <w:rPr>
          <w:vertAlign w:val="subscript"/>
          <w:lang w:bidi="en-US"/>
        </w:rPr>
        <w:t>10</w:t>
      </w:r>
      <w:r w:rsidR="00D775F5">
        <w:rPr>
          <w:lang w:bidi="en-US"/>
        </w:rPr>
        <w:t>-(P</w:t>
      </w:r>
      <w:r w:rsidRPr="003E2D46">
        <w:rPr>
          <w:lang w:bidi="en-US"/>
        </w:rPr>
        <w:t>O)</w:t>
      </w:r>
      <w:r w:rsidR="00D775F5">
        <w:rPr>
          <w:vertAlign w:val="subscript"/>
          <w:lang w:bidi="en-US"/>
        </w:rPr>
        <w:t>4</w:t>
      </w:r>
      <w:r w:rsidR="00D775F5">
        <w:rPr>
          <w:lang w:bidi="en-US"/>
        </w:rPr>
        <w:t>-(E</w:t>
      </w:r>
      <w:r w:rsidRPr="003E2D46">
        <w:rPr>
          <w:lang w:bidi="en-US"/>
        </w:rPr>
        <w:t>O)</w:t>
      </w:r>
      <w:r w:rsidR="00D775F5">
        <w:rPr>
          <w:vertAlign w:val="subscript"/>
          <w:lang w:bidi="en-US"/>
        </w:rPr>
        <w:t>1</w:t>
      </w:r>
      <w:r w:rsidRPr="003E2D46">
        <w:rPr>
          <w:lang w:bidi="en-US"/>
        </w:rPr>
        <w:t>-</w:t>
      </w:r>
      <w:bookmarkEnd w:id="60"/>
      <w:bookmarkEnd w:id="61"/>
      <w:bookmarkEnd w:id="62"/>
      <w:r w:rsidRPr="003E2D46">
        <w:rPr>
          <w:lang w:bidi="en-US"/>
        </w:rPr>
        <w:t>SO</w:t>
      </w:r>
      <w:r w:rsidRPr="003E2D46">
        <w:rPr>
          <w:vertAlign w:val="subscript"/>
          <w:lang w:bidi="en-US"/>
        </w:rPr>
        <w:t>4</w:t>
      </w:r>
      <w:r w:rsidRPr="003E2D46">
        <w:rPr>
          <w:lang w:bidi="en-US"/>
        </w:rPr>
        <w:t>Na and C</w:t>
      </w:r>
      <w:r w:rsidRPr="003E2D46">
        <w:rPr>
          <w:vertAlign w:val="subscript"/>
          <w:lang w:bidi="en-US"/>
        </w:rPr>
        <w:t>10</w:t>
      </w:r>
      <w:r w:rsidRPr="003E2D46">
        <w:rPr>
          <w:lang w:bidi="en-US"/>
        </w:rPr>
        <w:t>-(PO)</w:t>
      </w:r>
      <w:r w:rsidRPr="003E2D46">
        <w:rPr>
          <w:vertAlign w:val="subscript"/>
          <w:lang w:bidi="en-US"/>
        </w:rPr>
        <w:t>4</w:t>
      </w:r>
      <w:r w:rsidRPr="003E2D46">
        <w:rPr>
          <w:lang w:bidi="en-US"/>
        </w:rPr>
        <w:t>-SO</w:t>
      </w:r>
      <w:r w:rsidRPr="003E2D46">
        <w:rPr>
          <w:vertAlign w:val="subscript"/>
          <w:lang w:bidi="en-US"/>
        </w:rPr>
        <w:t>4</w:t>
      </w:r>
      <w:r w:rsidRPr="003E2D46">
        <w:rPr>
          <w:lang w:bidi="en-US"/>
        </w:rPr>
        <w:t>Na, and might be due to these compounds being commercial mixtures of homologues.</w:t>
      </w:r>
    </w:p>
    <w:p w:rsidR="003E2D46" w:rsidRDefault="003E2D46" w:rsidP="00BF7BCE">
      <w:pPr>
        <w:pStyle w:val="Heading3"/>
      </w:pPr>
      <w:bookmarkStart w:id="63" w:name="_Toc413353887"/>
      <w:bookmarkStart w:id="64" w:name="_Toc426374022"/>
      <w:r w:rsidRPr="003E2D46">
        <w:t>Accuracy of the HLD Equation</w:t>
      </w:r>
      <w:bookmarkEnd w:id="63"/>
      <w:bookmarkEnd w:id="64"/>
    </w:p>
    <w:p w:rsidR="00557298" w:rsidRDefault="00557298" w:rsidP="00BF7BCE">
      <w:pPr>
        <w:pStyle w:val="Caption"/>
        <w:keepNext/>
        <w:spacing w:line="480" w:lineRule="auto"/>
        <w:jc w:val="center"/>
      </w:pPr>
      <w:bookmarkStart w:id="65" w:name="_Toc426967287"/>
      <w:r>
        <w:t xml:space="preserve">Table </w:t>
      </w:r>
      <w:r w:rsidR="001C58A2">
        <w:fldChar w:fldCharType="begin"/>
      </w:r>
      <w:r w:rsidR="001C58A2">
        <w:instrText xml:space="preserve"> SEQ Table \* ARABIC </w:instrText>
      </w:r>
      <w:r w:rsidR="001C58A2">
        <w:fldChar w:fldCharType="separate"/>
      </w:r>
      <w:r w:rsidR="003F7947">
        <w:rPr>
          <w:noProof/>
        </w:rPr>
        <w:t>9</w:t>
      </w:r>
      <w:r w:rsidR="001C58A2">
        <w:rPr>
          <w:noProof/>
        </w:rPr>
        <w:fldChar w:fldCharType="end"/>
      </w:r>
      <w:r>
        <w:t xml:space="preserve">. </w:t>
      </w:r>
      <w:r w:rsidRPr="00557298">
        <w:rPr>
          <w:rFonts w:ascii="Times New Roman" w:eastAsia="Calibri" w:hAnsi="Times New Roman"/>
          <w:b w:val="0"/>
          <w:bCs w:val="0"/>
          <w:szCs w:val="24"/>
        </w:rPr>
        <w:t>Accuracy validation of the HLD equation</w:t>
      </w:r>
      <w:bookmarkEnd w:id="65"/>
    </w:p>
    <w:tbl>
      <w:tblPr>
        <w:tblpPr w:leftFromText="180" w:rightFromText="180" w:vertAnchor="page" w:horzAnchor="margin" w:tblpY="3668"/>
        <w:tblW w:w="5000" w:type="pct"/>
        <w:tblCellMar>
          <w:left w:w="0" w:type="dxa"/>
          <w:right w:w="0" w:type="dxa"/>
        </w:tblCellMar>
        <w:tblLook w:val="0600" w:firstRow="0" w:lastRow="0" w:firstColumn="0" w:lastColumn="0" w:noHBand="1" w:noVBand="1"/>
      </w:tblPr>
      <w:tblGrid>
        <w:gridCol w:w="2588"/>
        <w:gridCol w:w="1065"/>
        <w:gridCol w:w="1545"/>
        <w:gridCol w:w="3298"/>
      </w:tblGrid>
      <w:tr w:rsidR="00BF7BCE" w:rsidRPr="00557298" w:rsidTr="00BF7BCE">
        <w:trPr>
          <w:trHeight w:val="453"/>
        </w:trPr>
        <w:tc>
          <w:tcPr>
            <w:tcW w:w="1523"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b/>
                <w:bCs/>
                <w:color w:val="000000"/>
                <w:kern w:val="24"/>
                <w:sz w:val="22"/>
              </w:rPr>
              <w:t>Extended surfactant with</w:t>
            </w:r>
          </w:p>
        </w:tc>
        <w:tc>
          <w:tcPr>
            <w:tcW w:w="627"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b/>
                <w:bCs/>
                <w:color w:val="000000"/>
                <w:kern w:val="24"/>
                <w:sz w:val="22"/>
              </w:rPr>
              <w:t>Predicted</w:t>
            </w:r>
          </w:p>
        </w:tc>
        <w:tc>
          <w:tcPr>
            <w:tcW w:w="909"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b/>
                <w:bCs/>
                <w:color w:val="000000"/>
                <w:kern w:val="24"/>
                <w:sz w:val="22"/>
              </w:rPr>
              <w:t>Experimental</w:t>
            </w:r>
          </w:p>
        </w:tc>
        <w:tc>
          <w:tcPr>
            <w:tcW w:w="1941"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b/>
                <w:bCs/>
                <w:color w:val="000000"/>
                <w:kern w:val="24"/>
                <w:sz w:val="22"/>
              </w:rPr>
              <w:t>HLD Error</w:t>
            </w:r>
          </w:p>
        </w:tc>
      </w:tr>
      <w:tr w:rsidR="00BF7BCE" w:rsidRPr="00557298" w:rsidTr="00697AF7">
        <w:trPr>
          <w:trHeight w:val="213"/>
        </w:trPr>
        <w:tc>
          <w:tcPr>
            <w:tcW w:w="1523"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b/>
                <w:bCs/>
                <w:color w:val="000000"/>
                <w:kern w:val="24"/>
                <w:sz w:val="22"/>
              </w:rPr>
              <w:t>Steol Cs460</w:t>
            </w:r>
          </w:p>
        </w:tc>
        <w:tc>
          <w:tcPr>
            <w:tcW w:w="627"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b/>
                <w:bCs/>
                <w:color w:val="000000"/>
                <w:kern w:val="24"/>
                <w:sz w:val="22"/>
              </w:rPr>
              <w:t>Cc</w:t>
            </w:r>
            <w:r w:rsidRPr="00557298">
              <w:rPr>
                <w:rFonts w:ascii="Times New Roman" w:hAnsi="Times New Roman"/>
                <w:b/>
                <w:bCs/>
                <w:color w:val="000000"/>
                <w:kern w:val="24"/>
                <w:position w:val="-6"/>
                <w:sz w:val="22"/>
                <w:vertAlign w:val="subscript"/>
              </w:rPr>
              <w:t>mix</w:t>
            </w:r>
          </w:p>
        </w:tc>
        <w:tc>
          <w:tcPr>
            <w:tcW w:w="909"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b/>
                <w:bCs/>
                <w:color w:val="000000"/>
                <w:kern w:val="24"/>
                <w:sz w:val="22"/>
              </w:rPr>
              <w:t>Cc</w:t>
            </w:r>
            <w:r w:rsidRPr="00557298">
              <w:rPr>
                <w:rFonts w:ascii="Times New Roman" w:hAnsi="Times New Roman"/>
                <w:b/>
                <w:bCs/>
                <w:color w:val="000000"/>
                <w:kern w:val="24"/>
                <w:position w:val="-6"/>
                <w:sz w:val="22"/>
                <w:vertAlign w:val="subscript"/>
              </w:rPr>
              <w:t>mix</w:t>
            </w:r>
          </w:p>
        </w:tc>
        <w:tc>
          <w:tcPr>
            <w:tcW w:w="1941"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b/>
                <w:bCs/>
                <w:color w:val="000000"/>
                <w:kern w:val="24"/>
                <w:sz w:val="22"/>
              </w:rPr>
              <w:t>[(Cc</w:t>
            </w:r>
            <w:r w:rsidRPr="00557298">
              <w:rPr>
                <w:rFonts w:ascii="Times New Roman" w:hAnsi="Times New Roman"/>
                <w:b/>
                <w:bCs/>
                <w:color w:val="000000"/>
                <w:kern w:val="24"/>
                <w:position w:val="-6"/>
                <w:sz w:val="22"/>
                <w:vertAlign w:val="subscript"/>
              </w:rPr>
              <w:t xml:space="preserve"> Exp.</w:t>
            </w:r>
            <w:r w:rsidRPr="00557298">
              <w:rPr>
                <w:rFonts w:ascii="Times New Roman" w:hAnsi="Times New Roman"/>
                <w:b/>
                <w:bCs/>
                <w:color w:val="000000"/>
                <w:kern w:val="24"/>
                <w:sz w:val="22"/>
              </w:rPr>
              <w:t xml:space="preserve"> - Cc </w:t>
            </w:r>
            <w:r w:rsidRPr="00557298">
              <w:rPr>
                <w:rFonts w:ascii="Times New Roman" w:hAnsi="Times New Roman"/>
                <w:b/>
                <w:bCs/>
                <w:color w:val="000000"/>
                <w:kern w:val="24"/>
                <w:position w:val="-6"/>
                <w:sz w:val="22"/>
                <w:vertAlign w:val="subscript"/>
              </w:rPr>
              <w:t>Pred.</w:t>
            </w:r>
            <w:r w:rsidRPr="00557298">
              <w:rPr>
                <w:rFonts w:ascii="Times New Roman" w:hAnsi="Times New Roman"/>
                <w:b/>
                <w:bCs/>
                <w:color w:val="000000"/>
                <w:kern w:val="24"/>
                <w:sz w:val="22"/>
              </w:rPr>
              <w:t>)/CC</w:t>
            </w:r>
            <w:r w:rsidRPr="00557298">
              <w:rPr>
                <w:rFonts w:ascii="Times New Roman" w:hAnsi="Times New Roman"/>
                <w:b/>
                <w:bCs/>
                <w:color w:val="000000"/>
                <w:kern w:val="24"/>
                <w:position w:val="-6"/>
                <w:sz w:val="22"/>
                <w:vertAlign w:val="subscript"/>
              </w:rPr>
              <w:t xml:space="preserve"> Exp.</w:t>
            </w:r>
            <w:r w:rsidRPr="00557298">
              <w:rPr>
                <w:rFonts w:ascii="Times New Roman" w:hAnsi="Times New Roman"/>
                <w:b/>
                <w:bCs/>
                <w:color w:val="000000"/>
                <w:kern w:val="24"/>
                <w:sz w:val="22"/>
              </w:rPr>
              <w:t>]×100%</w:t>
            </w:r>
          </w:p>
        </w:tc>
      </w:tr>
      <w:tr w:rsidR="00BF7BCE" w:rsidRPr="00557298" w:rsidTr="00BF7BCE">
        <w:trPr>
          <w:trHeight w:val="484"/>
        </w:trPr>
        <w:tc>
          <w:tcPr>
            <w:tcW w:w="1523"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C</w:t>
            </w:r>
            <w:r w:rsidRPr="00557298">
              <w:rPr>
                <w:rFonts w:ascii="Times New Roman" w:hAnsi="Times New Roman"/>
                <w:color w:val="000000"/>
                <w:kern w:val="24"/>
                <w:position w:val="-6"/>
                <w:sz w:val="22"/>
                <w:vertAlign w:val="subscript"/>
              </w:rPr>
              <w:t>8</w:t>
            </w:r>
            <w:r w:rsidRPr="00557298">
              <w:rPr>
                <w:rFonts w:ascii="Times New Roman" w:hAnsi="Times New Roman"/>
                <w:color w:val="000000"/>
                <w:kern w:val="24"/>
                <w:sz w:val="22"/>
              </w:rPr>
              <w:t>-(PO)</w:t>
            </w:r>
            <w:r w:rsidRPr="00557298">
              <w:rPr>
                <w:rFonts w:ascii="Times New Roman" w:hAnsi="Times New Roman"/>
                <w:color w:val="000000"/>
                <w:kern w:val="24"/>
                <w:position w:val="-6"/>
                <w:sz w:val="22"/>
                <w:vertAlign w:val="subscript"/>
              </w:rPr>
              <w:t>4</w:t>
            </w:r>
            <w:r w:rsidRPr="00557298">
              <w:rPr>
                <w:rFonts w:ascii="Times New Roman" w:hAnsi="Times New Roman"/>
                <w:color w:val="000000"/>
                <w:kern w:val="24"/>
                <w:sz w:val="22"/>
              </w:rPr>
              <w:t>-(EO)</w:t>
            </w:r>
            <w:r w:rsidRPr="00557298">
              <w:rPr>
                <w:rFonts w:ascii="Times New Roman" w:hAnsi="Times New Roman"/>
                <w:color w:val="000000"/>
                <w:kern w:val="24"/>
                <w:position w:val="-6"/>
                <w:sz w:val="22"/>
                <w:vertAlign w:val="subscript"/>
              </w:rPr>
              <w:t>1</w:t>
            </w:r>
            <w:r w:rsidRPr="00557298">
              <w:rPr>
                <w:rFonts w:ascii="Times New Roman" w:hAnsi="Times New Roman"/>
                <w:color w:val="000000"/>
                <w:kern w:val="24"/>
                <w:sz w:val="22"/>
              </w:rPr>
              <w:t>-SO4Na</w:t>
            </w:r>
          </w:p>
        </w:tc>
        <w:tc>
          <w:tcPr>
            <w:tcW w:w="627"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-2.76</w:t>
            </w:r>
          </w:p>
        </w:tc>
        <w:tc>
          <w:tcPr>
            <w:tcW w:w="909"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-2.75</w:t>
            </w:r>
          </w:p>
        </w:tc>
        <w:tc>
          <w:tcPr>
            <w:tcW w:w="1941" w:type="pct"/>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0.36</w:t>
            </w:r>
          </w:p>
        </w:tc>
      </w:tr>
      <w:tr w:rsidR="00BF7BCE" w:rsidRPr="00557298" w:rsidTr="00BF7BCE">
        <w:trPr>
          <w:trHeight w:val="445"/>
        </w:trPr>
        <w:tc>
          <w:tcPr>
            <w:tcW w:w="1523"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C</w:t>
            </w:r>
            <w:r w:rsidRPr="00557298">
              <w:rPr>
                <w:rFonts w:ascii="Times New Roman" w:hAnsi="Times New Roman"/>
                <w:color w:val="000000"/>
                <w:kern w:val="24"/>
                <w:position w:val="-6"/>
                <w:sz w:val="22"/>
                <w:vertAlign w:val="subscript"/>
              </w:rPr>
              <w:t>8</w:t>
            </w:r>
            <w:r w:rsidRPr="00557298">
              <w:rPr>
                <w:rFonts w:ascii="Times New Roman" w:hAnsi="Times New Roman"/>
                <w:color w:val="000000"/>
                <w:kern w:val="24"/>
                <w:sz w:val="22"/>
              </w:rPr>
              <w:t>-(PO)</w:t>
            </w:r>
            <w:r w:rsidRPr="00557298">
              <w:rPr>
                <w:rFonts w:ascii="Times New Roman" w:hAnsi="Times New Roman"/>
                <w:color w:val="000000"/>
                <w:kern w:val="24"/>
                <w:position w:val="-6"/>
                <w:sz w:val="22"/>
                <w:vertAlign w:val="subscript"/>
              </w:rPr>
              <w:t>4</w:t>
            </w:r>
            <w:r w:rsidRPr="00557298">
              <w:rPr>
                <w:rFonts w:ascii="Times New Roman" w:hAnsi="Times New Roman"/>
                <w:color w:val="000000"/>
                <w:kern w:val="24"/>
                <w:sz w:val="22"/>
              </w:rPr>
              <w:t>-SO4Na</w:t>
            </w:r>
          </w:p>
        </w:tc>
        <w:tc>
          <w:tcPr>
            <w:tcW w:w="627"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-2.76</w:t>
            </w:r>
          </w:p>
        </w:tc>
        <w:tc>
          <w:tcPr>
            <w:tcW w:w="909"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-2.73</w:t>
            </w:r>
          </w:p>
        </w:tc>
        <w:tc>
          <w:tcPr>
            <w:tcW w:w="1941"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1.1</w:t>
            </w:r>
          </w:p>
        </w:tc>
      </w:tr>
      <w:tr w:rsidR="00BF7BCE" w:rsidRPr="00557298" w:rsidTr="00BF7BCE">
        <w:trPr>
          <w:trHeight w:val="479"/>
        </w:trPr>
        <w:tc>
          <w:tcPr>
            <w:tcW w:w="1523"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C</w:t>
            </w:r>
            <w:r w:rsidRPr="00557298">
              <w:rPr>
                <w:rFonts w:ascii="Times New Roman" w:hAnsi="Times New Roman"/>
                <w:color w:val="000000"/>
                <w:kern w:val="24"/>
                <w:position w:val="-6"/>
                <w:sz w:val="22"/>
                <w:vertAlign w:val="subscript"/>
              </w:rPr>
              <w:t>10</w:t>
            </w:r>
            <w:r w:rsidRPr="00557298">
              <w:rPr>
                <w:rFonts w:ascii="Times New Roman" w:hAnsi="Times New Roman"/>
                <w:color w:val="000000"/>
                <w:kern w:val="24"/>
                <w:sz w:val="22"/>
              </w:rPr>
              <w:t>-(PO)</w:t>
            </w:r>
            <w:r w:rsidRPr="00557298">
              <w:rPr>
                <w:rFonts w:ascii="Times New Roman" w:hAnsi="Times New Roman"/>
                <w:color w:val="000000"/>
                <w:kern w:val="24"/>
                <w:position w:val="-6"/>
                <w:sz w:val="22"/>
                <w:vertAlign w:val="subscript"/>
              </w:rPr>
              <w:t>4</w:t>
            </w:r>
            <w:r w:rsidRPr="00557298">
              <w:rPr>
                <w:rFonts w:ascii="Times New Roman" w:hAnsi="Times New Roman"/>
                <w:color w:val="000000"/>
                <w:kern w:val="24"/>
                <w:sz w:val="22"/>
              </w:rPr>
              <w:t>-(EO)</w:t>
            </w:r>
            <w:r w:rsidRPr="00557298">
              <w:rPr>
                <w:rFonts w:ascii="Times New Roman" w:hAnsi="Times New Roman"/>
                <w:color w:val="000000"/>
                <w:kern w:val="24"/>
                <w:position w:val="-6"/>
                <w:sz w:val="22"/>
                <w:vertAlign w:val="subscript"/>
              </w:rPr>
              <w:t>1</w:t>
            </w:r>
            <w:r w:rsidRPr="00557298">
              <w:rPr>
                <w:rFonts w:ascii="Times New Roman" w:hAnsi="Times New Roman"/>
                <w:color w:val="000000"/>
                <w:kern w:val="24"/>
                <w:sz w:val="22"/>
              </w:rPr>
              <w:t>-SO4Na</w:t>
            </w:r>
          </w:p>
        </w:tc>
        <w:tc>
          <w:tcPr>
            <w:tcW w:w="627"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-2.76</w:t>
            </w:r>
          </w:p>
        </w:tc>
        <w:tc>
          <w:tcPr>
            <w:tcW w:w="909"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-2.73</w:t>
            </w:r>
          </w:p>
        </w:tc>
        <w:tc>
          <w:tcPr>
            <w:tcW w:w="1941" w:type="pct"/>
            <w:tcBorders>
              <w:top w:val="nil"/>
              <w:left w:val="nil"/>
              <w:bottom w:val="nil"/>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1.1</w:t>
            </w:r>
          </w:p>
        </w:tc>
      </w:tr>
      <w:tr w:rsidR="00BF7BCE" w:rsidRPr="00557298" w:rsidTr="00BF7BCE">
        <w:trPr>
          <w:trHeight w:val="399"/>
        </w:trPr>
        <w:tc>
          <w:tcPr>
            <w:tcW w:w="1523"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C</w:t>
            </w:r>
            <w:r w:rsidRPr="00557298">
              <w:rPr>
                <w:rFonts w:ascii="Times New Roman" w:hAnsi="Times New Roman"/>
                <w:color w:val="000000"/>
                <w:kern w:val="24"/>
                <w:position w:val="-6"/>
                <w:sz w:val="22"/>
                <w:vertAlign w:val="subscript"/>
              </w:rPr>
              <w:t>10</w:t>
            </w:r>
            <w:r w:rsidRPr="00557298">
              <w:rPr>
                <w:rFonts w:ascii="Times New Roman" w:hAnsi="Times New Roman"/>
                <w:color w:val="000000"/>
                <w:kern w:val="24"/>
                <w:sz w:val="22"/>
              </w:rPr>
              <w:t>-(PO)</w:t>
            </w:r>
            <w:r w:rsidRPr="00557298">
              <w:rPr>
                <w:rFonts w:ascii="Times New Roman" w:hAnsi="Times New Roman"/>
                <w:color w:val="000000"/>
                <w:kern w:val="24"/>
                <w:position w:val="-6"/>
                <w:sz w:val="22"/>
                <w:vertAlign w:val="subscript"/>
              </w:rPr>
              <w:t>4</w:t>
            </w:r>
            <w:r w:rsidRPr="00557298">
              <w:rPr>
                <w:rFonts w:ascii="Times New Roman" w:hAnsi="Times New Roman"/>
                <w:color w:val="000000"/>
                <w:kern w:val="24"/>
                <w:sz w:val="22"/>
              </w:rPr>
              <w:t>-SO4Na</w:t>
            </w:r>
          </w:p>
        </w:tc>
        <w:tc>
          <w:tcPr>
            <w:tcW w:w="627"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-2.76</w:t>
            </w:r>
          </w:p>
        </w:tc>
        <w:tc>
          <w:tcPr>
            <w:tcW w:w="909"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-2.71</w:t>
            </w:r>
          </w:p>
        </w:tc>
        <w:tc>
          <w:tcPr>
            <w:tcW w:w="1941" w:type="pct"/>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BF7BCE" w:rsidRPr="00557298" w:rsidRDefault="00BF7BCE" w:rsidP="00BF7BCE">
            <w:pPr>
              <w:spacing w:line="240" w:lineRule="auto"/>
              <w:jc w:val="center"/>
              <w:textAlignment w:val="bottom"/>
              <w:rPr>
                <w:rFonts w:ascii="Arial" w:hAnsi="Arial" w:cs="Arial"/>
                <w:sz w:val="22"/>
                <w:szCs w:val="36"/>
              </w:rPr>
            </w:pPr>
            <w:r w:rsidRPr="00557298">
              <w:rPr>
                <w:rFonts w:ascii="Times New Roman" w:hAnsi="Times New Roman"/>
                <w:color w:val="000000"/>
                <w:kern w:val="24"/>
                <w:sz w:val="22"/>
              </w:rPr>
              <w:t>1.85</w:t>
            </w:r>
          </w:p>
        </w:tc>
      </w:tr>
    </w:tbl>
    <w:p w:rsidR="00557298" w:rsidRDefault="00557298" w:rsidP="003E2D46">
      <w:pPr>
        <w:jc w:val="both"/>
        <w:rPr>
          <w:lang w:bidi="en-US"/>
        </w:rPr>
      </w:pPr>
    </w:p>
    <w:p w:rsidR="003E2D46" w:rsidRPr="003E2D46" w:rsidRDefault="003E2D46" w:rsidP="003E2D46">
      <w:pPr>
        <w:jc w:val="both"/>
        <w:rPr>
          <w:lang w:bidi="en-US"/>
        </w:rPr>
      </w:pPr>
      <w:r w:rsidRPr="003E2D46">
        <w:rPr>
          <w:lang w:bidi="en-US"/>
        </w:rPr>
        <w:t>The accuracy of the HLD equation is evaluated by comparing the experimentally observed Cc</w:t>
      </w:r>
      <w:r w:rsidRPr="003E2D46">
        <w:rPr>
          <w:vertAlign w:val="subscript"/>
          <w:lang w:bidi="en-US"/>
        </w:rPr>
        <w:t>mix</w:t>
      </w:r>
      <w:r w:rsidRPr="003E2D46">
        <w:rPr>
          <w:lang w:bidi="en-US"/>
        </w:rPr>
        <w:t>-values of each surfactant system with the HLD predicted Cc</w:t>
      </w:r>
      <w:r w:rsidRPr="003E2D46">
        <w:rPr>
          <w:vertAlign w:val="subscript"/>
          <w:lang w:bidi="en-US"/>
        </w:rPr>
        <w:t>mix-</w:t>
      </w:r>
      <w:r w:rsidRPr="003E2D46">
        <w:rPr>
          <w:lang w:bidi="en-US"/>
        </w:rPr>
        <w:t>value, -2.76, shown in Table 6. The experimental Cc</w:t>
      </w:r>
      <w:r w:rsidRPr="003E2D46">
        <w:rPr>
          <w:vertAlign w:val="subscript"/>
          <w:lang w:bidi="en-US"/>
        </w:rPr>
        <w:t>mix</w:t>
      </w:r>
      <w:r w:rsidRPr="003E2D46">
        <w:rPr>
          <w:lang w:bidi="en-US"/>
        </w:rPr>
        <w:t>-values are calculated using Equation 6, where the ‘X</w:t>
      </w:r>
      <w:r w:rsidRPr="003E2D46">
        <w:rPr>
          <w:vertAlign w:val="subscript"/>
          <w:lang w:bidi="en-US"/>
        </w:rPr>
        <w:t>i</w:t>
      </w:r>
      <w:r w:rsidRPr="003E2D46">
        <w:rPr>
          <w:lang w:bidi="en-US"/>
        </w:rPr>
        <w:t>’ term represents the experimentally determined mixture mole fractions of Steol Cs460 and extended surfactants that produces the optimal middle phase microemulsions, and the ‘Cc’ term represents the Cc-values of the surfactants calculated in this work. Shown in Table 9 are the experimental Cc</w:t>
      </w:r>
      <w:r w:rsidRPr="003E2D46">
        <w:rPr>
          <w:vertAlign w:val="subscript"/>
          <w:lang w:bidi="en-US"/>
        </w:rPr>
        <w:t>mix</w:t>
      </w:r>
      <w:r w:rsidRPr="003E2D46">
        <w:rPr>
          <w:lang w:bidi="en-US"/>
        </w:rPr>
        <w:t>-values which are in the range of -2.75 to -2.71 and are very similar to the HLD predicted Cc</w:t>
      </w:r>
      <w:r w:rsidRPr="003E2D46">
        <w:rPr>
          <w:vertAlign w:val="subscript"/>
          <w:lang w:bidi="en-US"/>
        </w:rPr>
        <w:t>mix</w:t>
      </w:r>
      <w:r w:rsidRPr="003E2D46">
        <w:rPr>
          <w:lang w:bidi="en-US"/>
        </w:rPr>
        <w:t xml:space="preserve"> of -2.76. Moreover, less than 2 % error of the HLD predicted Cc</w:t>
      </w:r>
      <w:r w:rsidRPr="003E2D46">
        <w:rPr>
          <w:vertAlign w:val="subscript"/>
          <w:lang w:bidi="en-US"/>
        </w:rPr>
        <w:t>mix</w:t>
      </w:r>
      <w:r w:rsidRPr="003E2D46">
        <w:rPr>
          <w:lang w:bidi="en-US"/>
        </w:rPr>
        <w:t xml:space="preserve"> suggests that the HLD equation can be used for predicting microemulsion systems at the formulation condition with minimal experimental work, on</w:t>
      </w:r>
      <w:r w:rsidR="00F32707">
        <w:rPr>
          <w:lang w:bidi="en-US"/>
        </w:rPr>
        <w:t>ce a Cc/K database is compiled.</w:t>
      </w:r>
    </w:p>
    <w:p w:rsidR="003E2D46" w:rsidRPr="00F32707" w:rsidRDefault="00961EE9" w:rsidP="00BF7BCE">
      <w:pPr>
        <w:pStyle w:val="Heading3"/>
      </w:pPr>
      <w:bookmarkStart w:id="66" w:name="_Toc413353888"/>
      <w:bookmarkStart w:id="67" w:name="_Toc426374023"/>
      <w:r>
        <w:lastRenderedPageBreak/>
        <w:t>Sand Pack</w:t>
      </w:r>
      <w:r w:rsidR="003E2D46" w:rsidRPr="00F32707">
        <w:t xml:space="preserve"> </w:t>
      </w:r>
      <w:bookmarkEnd w:id="66"/>
      <w:r w:rsidR="00CF5567">
        <w:t>Experiment</w:t>
      </w:r>
      <w:bookmarkEnd w:id="67"/>
    </w:p>
    <w:p w:rsidR="003E2D46" w:rsidRDefault="00DA2319" w:rsidP="003E2D46">
      <w:pPr>
        <w:jc w:val="both"/>
        <w:rPr>
          <w:lang w:bidi="en-US"/>
        </w:rPr>
      </w:pPr>
      <w:r w:rsidRPr="00BA2D85">
        <w:rPr>
          <w:rFonts w:ascii="Times New Roman" w:eastAsia="Calibri" w:hAnsi="Times New Roman"/>
          <w:noProof/>
        </w:rPr>
        <w:drawing>
          <wp:anchor distT="0" distB="0" distL="114300" distR="114300" simplePos="0" relativeHeight="251679744" behindDoc="0" locked="0" layoutInCell="1" allowOverlap="1" wp14:anchorId="5E25B1EA" wp14:editId="67274F86">
            <wp:simplePos x="0" y="0"/>
            <wp:positionH relativeFrom="column">
              <wp:posOffset>137160</wp:posOffset>
            </wp:positionH>
            <wp:positionV relativeFrom="page">
              <wp:posOffset>5210175</wp:posOffset>
            </wp:positionV>
            <wp:extent cx="5105400" cy="282829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105400" cy="2828290"/>
                    </a:xfrm>
                    <a:prstGeom prst="rect">
                      <a:avLst/>
                    </a:prstGeom>
                    <a:noFill/>
                  </pic:spPr>
                </pic:pic>
              </a:graphicData>
            </a:graphic>
            <wp14:sizeRelH relativeFrom="margin">
              <wp14:pctWidth>0</wp14:pctWidth>
            </wp14:sizeRelH>
            <wp14:sizeRelV relativeFrom="margin">
              <wp14:pctHeight>0</wp14:pctHeight>
            </wp14:sizeRelV>
          </wp:anchor>
        </w:drawing>
      </w:r>
      <w:r w:rsidR="00F63499">
        <w:rPr>
          <w:noProof/>
        </w:rPr>
        <mc:AlternateContent>
          <mc:Choice Requires="wps">
            <w:drawing>
              <wp:anchor distT="0" distB="0" distL="114300" distR="114300" simplePos="0" relativeHeight="251681792" behindDoc="0" locked="0" layoutInCell="1" allowOverlap="1" wp14:anchorId="6A22A8A2" wp14:editId="4EAC50B4">
                <wp:simplePos x="0" y="0"/>
                <wp:positionH relativeFrom="column">
                  <wp:posOffset>213360</wp:posOffset>
                </wp:positionH>
                <wp:positionV relativeFrom="paragraph">
                  <wp:posOffset>6925945</wp:posOffset>
                </wp:positionV>
                <wp:extent cx="5105400" cy="635"/>
                <wp:effectExtent l="0" t="0" r="0" b="0"/>
                <wp:wrapTopAndBottom/>
                <wp:docPr id="13" name="Text Box 13"/>
                <wp:cNvGraphicFramePr/>
                <a:graphic xmlns:a="http://schemas.openxmlformats.org/drawingml/2006/main">
                  <a:graphicData uri="http://schemas.microsoft.com/office/word/2010/wordprocessingShape">
                    <wps:wsp>
                      <wps:cNvSpPr txBox="1"/>
                      <wps:spPr>
                        <a:xfrm>
                          <a:off x="0" y="0"/>
                          <a:ext cx="5105400" cy="635"/>
                        </a:xfrm>
                        <a:prstGeom prst="rect">
                          <a:avLst/>
                        </a:prstGeom>
                        <a:solidFill>
                          <a:prstClr val="white"/>
                        </a:solidFill>
                        <a:ln>
                          <a:noFill/>
                        </a:ln>
                        <a:effectLst/>
                      </wps:spPr>
                      <wps:txbx>
                        <w:txbxContent>
                          <w:p w:rsidR="005C410D" w:rsidRPr="00916F3A" w:rsidRDefault="005C410D" w:rsidP="00BA2D85">
                            <w:pPr>
                              <w:pStyle w:val="Caption"/>
                              <w:rPr>
                                <w:rFonts w:ascii="Times New Roman" w:eastAsia="Calibri" w:hAnsi="Times New Roman"/>
                                <w:noProof/>
                                <w:szCs w:val="24"/>
                              </w:rPr>
                            </w:pPr>
                            <w:bookmarkStart w:id="68" w:name="_Toc426967298"/>
                            <w:r>
                              <w:t xml:space="preserve">Figure </w:t>
                            </w:r>
                            <w:r w:rsidR="001C58A2">
                              <w:fldChar w:fldCharType="begin"/>
                            </w:r>
                            <w:r w:rsidR="001C58A2">
                              <w:instrText xml:space="preserve"> SEQ Figure \* ARABIC </w:instrText>
                            </w:r>
                            <w:r w:rsidR="001C58A2">
                              <w:fldChar w:fldCharType="separate"/>
                            </w:r>
                            <w:r w:rsidR="003F7947">
                              <w:rPr>
                                <w:noProof/>
                              </w:rPr>
                              <w:t>6</w:t>
                            </w:r>
                            <w:r w:rsidR="001C58A2">
                              <w:rPr>
                                <w:noProof/>
                              </w:rPr>
                              <w:fldChar w:fldCharType="end"/>
                            </w:r>
                            <w:r>
                              <w:t xml:space="preserve">. </w:t>
                            </w:r>
                            <w:r w:rsidRPr="00BA2D85">
                              <w:rPr>
                                <w:rFonts w:ascii="Times New Roman" w:eastAsia="Calibri" w:hAnsi="Times New Roman"/>
                                <w:b w:val="0"/>
                                <w:bCs w:val="0"/>
                                <w:szCs w:val="24"/>
                              </w:rPr>
                              <w:t>Sand packed study: Effect of 1 PV, 0.75 wt. % surfactant slug consisting mixture of C</w:t>
                            </w:r>
                            <w:r w:rsidRPr="00BA2D85">
                              <w:rPr>
                                <w:rFonts w:ascii="Times New Roman" w:eastAsia="Calibri" w:hAnsi="Times New Roman"/>
                                <w:b w:val="0"/>
                                <w:bCs w:val="0"/>
                                <w:szCs w:val="24"/>
                                <w:vertAlign w:val="subscript"/>
                              </w:rPr>
                              <w:t>10</w:t>
                            </w:r>
                            <w:r w:rsidRPr="00BA2D85">
                              <w:rPr>
                                <w:rFonts w:ascii="Times New Roman" w:eastAsia="Calibri" w:hAnsi="Times New Roman"/>
                                <w:b w:val="0"/>
                                <w:bCs w:val="0"/>
                                <w:szCs w:val="24"/>
                              </w:rPr>
                              <w:t>-(PO)</w:t>
                            </w:r>
                            <w:r w:rsidRPr="00BA2D85">
                              <w:rPr>
                                <w:rFonts w:ascii="Times New Roman" w:eastAsia="Calibri" w:hAnsi="Times New Roman"/>
                                <w:b w:val="0"/>
                                <w:bCs w:val="0"/>
                                <w:szCs w:val="24"/>
                                <w:vertAlign w:val="subscript"/>
                              </w:rPr>
                              <w:t>4</w:t>
                            </w:r>
                            <w:r w:rsidRPr="00BA2D85">
                              <w:rPr>
                                <w:rFonts w:ascii="Times New Roman" w:eastAsia="Calibri" w:hAnsi="Times New Roman"/>
                                <w:b w:val="0"/>
                                <w:bCs w:val="0"/>
                                <w:szCs w:val="24"/>
                              </w:rPr>
                              <w:t>-(EO)</w:t>
                            </w:r>
                            <w:r w:rsidRPr="00BA2D85">
                              <w:rPr>
                                <w:rFonts w:ascii="Times New Roman" w:eastAsia="Calibri" w:hAnsi="Times New Roman"/>
                                <w:b w:val="0"/>
                                <w:bCs w:val="0"/>
                                <w:szCs w:val="24"/>
                                <w:vertAlign w:val="subscript"/>
                              </w:rPr>
                              <w:t>1</w:t>
                            </w:r>
                            <w:r w:rsidRPr="00BA2D85">
                              <w:rPr>
                                <w:rFonts w:ascii="Times New Roman" w:eastAsia="Calibri" w:hAnsi="Times New Roman"/>
                                <w:b w:val="0"/>
                                <w:bCs w:val="0"/>
                                <w:szCs w:val="24"/>
                              </w:rPr>
                              <w:t>-SO</w:t>
                            </w:r>
                            <w:r w:rsidRPr="00BA2D85">
                              <w:rPr>
                                <w:rFonts w:ascii="Times New Roman" w:eastAsia="Calibri" w:hAnsi="Times New Roman"/>
                                <w:b w:val="0"/>
                                <w:bCs w:val="0"/>
                                <w:szCs w:val="24"/>
                                <w:vertAlign w:val="subscript"/>
                              </w:rPr>
                              <w:t>4</w:t>
                            </w:r>
                            <w:r w:rsidRPr="00BA2D85">
                              <w:rPr>
                                <w:rFonts w:ascii="Times New Roman" w:eastAsia="Calibri" w:hAnsi="Times New Roman"/>
                                <w:b w:val="0"/>
                                <w:bCs w:val="0"/>
                                <w:szCs w:val="24"/>
                              </w:rPr>
                              <w:t>Na and Steol Cs460 on cumulative oil recovery and Sor reduction.</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22A8A2" id="Text Box 13" o:spid="_x0000_s1031" type="#_x0000_t202" style="position:absolute;left:0;text-align:left;margin-left:16.8pt;margin-top:545.35pt;width:402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" stroked="f">
                <v:textbox style="mso-fit-shape-to-text:t" inset="0,0,0,0">
                  <w:txbxContent>
                    <w:p w:rsidR="005C410D" w:rsidRPr="00916F3A" w:rsidRDefault="005C410D" w:rsidP="00BA2D85">
                      <w:pPr>
                        <w:pStyle w:val="Caption"/>
                        <w:rPr>
                          <w:rFonts w:ascii="Times New Roman" w:eastAsia="Calibri" w:hAnsi="Times New Roman"/>
                          <w:noProof/>
                          <w:szCs w:val="24"/>
                        </w:rPr>
                      </w:pPr>
                      <w:bookmarkStart w:id="75" w:name="_Toc426967298"/>
                      <w:r>
                        <w:t xml:space="preserve">Figure </w:t>
                      </w:r>
                      <w:fldSimple w:instr=" SEQ Figure \* ARABIC ">
                        <w:r w:rsidR="003F7947">
                          <w:rPr>
                            <w:noProof/>
                          </w:rPr>
                          <w:t>6</w:t>
                        </w:r>
                      </w:fldSimple>
                      <w:r>
                        <w:t xml:space="preserve">. </w:t>
                      </w:r>
                      <w:r w:rsidRPr="00BA2D85">
                        <w:rPr>
                          <w:rFonts w:ascii="Times New Roman" w:eastAsia="Calibri" w:hAnsi="Times New Roman"/>
                          <w:b w:val="0"/>
                          <w:bCs w:val="0"/>
                          <w:szCs w:val="24"/>
                        </w:rPr>
                        <w:t>Sand packed study: Effect of 1 PV, 0.75 wt. % surfactant slug consisting mixture of C</w:t>
                      </w:r>
                      <w:r w:rsidRPr="00BA2D85">
                        <w:rPr>
                          <w:rFonts w:ascii="Times New Roman" w:eastAsia="Calibri" w:hAnsi="Times New Roman"/>
                          <w:b w:val="0"/>
                          <w:bCs w:val="0"/>
                          <w:szCs w:val="24"/>
                          <w:vertAlign w:val="subscript"/>
                        </w:rPr>
                        <w:t>10</w:t>
                      </w:r>
                      <w:r w:rsidRPr="00BA2D85">
                        <w:rPr>
                          <w:rFonts w:ascii="Times New Roman" w:eastAsia="Calibri" w:hAnsi="Times New Roman"/>
                          <w:b w:val="0"/>
                          <w:bCs w:val="0"/>
                          <w:szCs w:val="24"/>
                        </w:rPr>
                        <w:t>-(PO)</w:t>
                      </w:r>
                      <w:r w:rsidRPr="00BA2D85">
                        <w:rPr>
                          <w:rFonts w:ascii="Times New Roman" w:eastAsia="Calibri" w:hAnsi="Times New Roman"/>
                          <w:b w:val="0"/>
                          <w:bCs w:val="0"/>
                          <w:szCs w:val="24"/>
                          <w:vertAlign w:val="subscript"/>
                        </w:rPr>
                        <w:t>4</w:t>
                      </w:r>
                      <w:r w:rsidRPr="00BA2D85">
                        <w:rPr>
                          <w:rFonts w:ascii="Times New Roman" w:eastAsia="Calibri" w:hAnsi="Times New Roman"/>
                          <w:b w:val="0"/>
                          <w:bCs w:val="0"/>
                          <w:szCs w:val="24"/>
                        </w:rPr>
                        <w:t>-(EO)</w:t>
                      </w:r>
                      <w:r w:rsidRPr="00BA2D85">
                        <w:rPr>
                          <w:rFonts w:ascii="Times New Roman" w:eastAsia="Calibri" w:hAnsi="Times New Roman"/>
                          <w:b w:val="0"/>
                          <w:bCs w:val="0"/>
                          <w:szCs w:val="24"/>
                          <w:vertAlign w:val="subscript"/>
                        </w:rPr>
                        <w:t>1</w:t>
                      </w:r>
                      <w:r w:rsidRPr="00BA2D85">
                        <w:rPr>
                          <w:rFonts w:ascii="Times New Roman" w:eastAsia="Calibri" w:hAnsi="Times New Roman"/>
                          <w:b w:val="0"/>
                          <w:bCs w:val="0"/>
                          <w:szCs w:val="24"/>
                        </w:rPr>
                        <w:t>-SO</w:t>
                      </w:r>
                      <w:r w:rsidRPr="00BA2D85">
                        <w:rPr>
                          <w:rFonts w:ascii="Times New Roman" w:eastAsia="Calibri" w:hAnsi="Times New Roman"/>
                          <w:b w:val="0"/>
                          <w:bCs w:val="0"/>
                          <w:szCs w:val="24"/>
                          <w:vertAlign w:val="subscript"/>
                        </w:rPr>
                        <w:t>4</w:t>
                      </w:r>
                      <w:r w:rsidRPr="00BA2D85">
                        <w:rPr>
                          <w:rFonts w:ascii="Times New Roman" w:eastAsia="Calibri" w:hAnsi="Times New Roman"/>
                          <w:b w:val="0"/>
                          <w:bCs w:val="0"/>
                          <w:szCs w:val="24"/>
                        </w:rPr>
                        <w:t>Na and Steol Cs460 on cumulative oil recovery and Sor reduction.</w:t>
                      </w:r>
                      <w:bookmarkEnd w:id="75"/>
                    </w:p>
                  </w:txbxContent>
                </v:textbox>
                <w10:wrap type="topAndBottom"/>
              </v:shape>
            </w:pict>
          </mc:Fallback>
        </mc:AlternateContent>
      </w:r>
      <w:r w:rsidR="003E2D46" w:rsidRPr="003E2D46">
        <w:rPr>
          <w:lang w:bidi="en-US"/>
        </w:rPr>
        <w:t>A</w:t>
      </w:r>
      <w:r w:rsidR="003E2D46" w:rsidRPr="003E2D46">
        <w:rPr>
          <w:b/>
          <w:lang w:bidi="en-US"/>
        </w:rPr>
        <w:t xml:space="preserve"> </w:t>
      </w:r>
      <w:r w:rsidR="003E2D46" w:rsidRPr="003E2D46">
        <w:rPr>
          <w:lang w:bidi="en-US"/>
        </w:rPr>
        <w:t>sand pack study is performed to evaluate the oil displacement efficiency of the optimized surfactant-only formulation with no added alcohol or polymer at reservoir temperature of 52°C. The optimized binary mixture of C</w:t>
      </w:r>
      <w:r w:rsidR="003E2D46" w:rsidRPr="003E2D46">
        <w:rPr>
          <w:vertAlign w:val="subscript"/>
          <w:lang w:bidi="en-US"/>
        </w:rPr>
        <w:t>10</w:t>
      </w:r>
      <w:r w:rsidR="00D775F5">
        <w:rPr>
          <w:lang w:bidi="en-US"/>
        </w:rPr>
        <w:t>-(P</w:t>
      </w:r>
      <w:r w:rsidR="003E2D46" w:rsidRPr="003E2D46">
        <w:rPr>
          <w:lang w:bidi="en-US"/>
        </w:rPr>
        <w:t>O)</w:t>
      </w:r>
      <w:r w:rsidR="00D775F5">
        <w:rPr>
          <w:vertAlign w:val="subscript"/>
          <w:lang w:bidi="en-US"/>
        </w:rPr>
        <w:t>4</w:t>
      </w:r>
      <w:r w:rsidR="00D775F5">
        <w:rPr>
          <w:lang w:bidi="en-US"/>
        </w:rPr>
        <w:t>-(E</w:t>
      </w:r>
      <w:r w:rsidR="003E2D46" w:rsidRPr="003E2D46">
        <w:rPr>
          <w:lang w:bidi="en-US"/>
        </w:rPr>
        <w:t>O)</w:t>
      </w:r>
      <w:r w:rsidR="00D775F5">
        <w:rPr>
          <w:vertAlign w:val="subscript"/>
          <w:lang w:bidi="en-US"/>
        </w:rPr>
        <w:t>1</w:t>
      </w:r>
      <w:r w:rsidR="003E2D46" w:rsidRPr="003E2D46">
        <w:rPr>
          <w:lang w:bidi="en-US"/>
        </w:rPr>
        <w:t>-SO</w:t>
      </w:r>
      <w:r w:rsidR="003E2D46" w:rsidRPr="003E2D46">
        <w:rPr>
          <w:vertAlign w:val="subscript"/>
          <w:lang w:bidi="en-US"/>
        </w:rPr>
        <w:t>4</w:t>
      </w:r>
      <w:r w:rsidR="003E2D46" w:rsidRPr="003E2D46">
        <w:rPr>
          <w:lang w:bidi="en-US"/>
        </w:rPr>
        <w:t>Na and Steol Cs460 is selected as the chemical flooding solution because it produces low IFT compared to other three optimized surfactant systems that are shown in Figure 5. Figure 6 shows the cumulative oil recovery and the residual oil saturation (Sor) profile. It is worthwhile noticing that</w:t>
      </w:r>
      <w:r w:rsidR="00B21859">
        <w:rPr>
          <w:lang w:bidi="en-US"/>
        </w:rPr>
        <w:t xml:space="preserve"> the injection of 1 PV, 0.75 wt</w:t>
      </w:r>
      <w:r w:rsidR="003E2D46" w:rsidRPr="003E2D46">
        <w:rPr>
          <w:lang w:bidi="en-US"/>
        </w:rPr>
        <w:t xml:space="preserve"> % total surfactant concentration of surfactant-only slug displaces about 60 % of the trapped oil from the sand packed bed. In addition, the residual oil saturation is reduced from 25 % to about 10 % demonstrating the feasibility of the HLD predicted surfactant-only flood system in a high salinity condition.</w:t>
      </w:r>
      <w:r w:rsidR="003E2D46" w:rsidRPr="003E2D46">
        <w:rPr>
          <w:lang w:bidi="en-US"/>
        </w:rPr>
        <w:tab/>
      </w:r>
      <w:bookmarkStart w:id="69" w:name="_Toc413353889"/>
    </w:p>
    <w:p w:rsidR="00BA2D85" w:rsidRPr="003E2D46" w:rsidRDefault="00BA2D85" w:rsidP="003E2D46">
      <w:pPr>
        <w:jc w:val="both"/>
        <w:rPr>
          <w:lang w:bidi="en-US"/>
        </w:rPr>
      </w:pPr>
    </w:p>
    <w:p w:rsidR="003E2D46" w:rsidRPr="003E2D46" w:rsidRDefault="00F32707" w:rsidP="00C47C5C">
      <w:pPr>
        <w:pStyle w:val="Heading2"/>
      </w:pPr>
      <w:bookmarkStart w:id="70" w:name="_Toc426374024"/>
      <w:r w:rsidRPr="003E2D46">
        <w:lastRenderedPageBreak/>
        <w:t>Conclusion</w:t>
      </w:r>
      <w:bookmarkEnd w:id="69"/>
      <w:bookmarkEnd w:id="70"/>
    </w:p>
    <w:p w:rsidR="003E2D46" w:rsidRPr="003E2D46" w:rsidRDefault="003E2D46" w:rsidP="003E2D46">
      <w:pPr>
        <w:jc w:val="both"/>
        <w:rPr>
          <w:lang w:bidi="en-US"/>
        </w:rPr>
      </w:pPr>
      <w:r w:rsidRPr="003E2D46">
        <w:rPr>
          <w:lang w:bidi="en-US"/>
        </w:rPr>
        <w:t>In this work, binary mixtures of sodium alkyl alkoxy sulfate and sodium alkyl ethoxy sulfate surfactants are demonstrated to be a promising basis for surfactant formulations for an extremely saline environment. The proposed formulations not only produced a homogeneous clear aqueous phase but also generated ultra-low interfacial tension with the crude oil at the reservoir conditions without use of low molecular weight alcohols or hydrotropes. Sand pack studies further validated the feasibility of the designed formulation by mobilizing 60 % of residual oil even without the incorporation of mobility control agent or the addition of a low molecular weight alcohol to improve coalescence rates.</w:t>
      </w:r>
    </w:p>
    <w:p w:rsidR="002C134D" w:rsidRDefault="003E2D46" w:rsidP="003E2D46">
      <w:pPr>
        <w:jc w:val="both"/>
        <w:rPr>
          <w:lang w:bidi="en-US"/>
        </w:rPr>
        <w:sectPr w:rsidR="002C134D" w:rsidSect="004A6B9A">
          <w:pgSz w:w="12240" w:h="15840" w:code="1"/>
          <w:pgMar w:top="1440" w:right="1440" w:bottom="1440" w:left="2304" w:header="720" w:footer="720" w:gutter="0"/>
          <w:cols w:space="720"/>
          <w:docGrid w:linePitch="360"/>
        </w:sectPr>
      </w:pPr>
      <w:r w:rsidRPr="003E2D46">
        <w:rPr>
          <w:lang w:bidi="en-US"/>
        </w:rPr>
        <w:t>Moreover, the use of the HLD equation in designing microemulsion systems for cEOR application is demonstrated. A careful determination of HLD parameters such as characteristic curvature, K-value, and temperature constant of the surfactants are found to play an important role in the accuracy of this correlation. To our knowledge, this is the first and only work that has attempted to accurately predict the ratio between two surfactants at which the optimal Type III microemulsions can be formed at the reservoir condition using only the HLD equation. This work demonstrates the screening of surfactants formulation for cEOR can be made much more efficient by significantly reducing the number of experiments and time that are currently being invested in phase behavior studies. The only drawback of such correlations could be its lack of determining aqueous phase stability of the proposed formulation at the formulation condition, which could in theory be addressed by separate studies of precipitation boundaries and coacervation.</w:t>
      </w:r>
    </w:p>
    <w:p w:rsidR="00407F03" w:rsidRDefault="00407F03" w:rsidP="004511BE">
      <w:pPr>
        <w:pStyle w:val="Heading1"/>
      </w:pPr>
      <w:bookmarkStart w:id="71" w:name="_Toc426374025"/>
      <w:bookmarkStart w:id="72" w:name="_Toc310579469"/>
      <w:r>
        <w:lastRenderedPageBreak/>
        <w:t>C</w:t>
      </w:r>
      <w:r w:rsidR="00BF7BCE" w:rsidRPr="00BF7BCE">
        <w:t>HAPTER</w:t>
      </w:r>
      <w:r>
        <w:t xml:space="preserve"> 3: </w:t>
      </w:r>
      <w:r w:rsidRPr="00407F03">
        <w:t>Single Well Field Feasibility of Surfactant-Only Flooding in Extreme Saline Brine Reservoir</w:t>
      </w:r>
      <w:bookmarkEnd w:id="71"/>
    </w:p>
    <w:p w:rsidR="00407F03" w:rsidRPr="00FD5E90" w:rsidRDefault="00407F03" w:rsidP="00C47C5C">
      <w:pPr>
        <w:pStyle w:val="Heading2"/>
      </w:pPr>
      <w:bookmarkStart w:id="73" w:name="_Toc426374026"/>
      <w:r w:rsidRPr="00FD5E90">
        <w:t>Introduction</w:t>
      </w:r>
      <w:bookmarkEnd w:id="73"/>
    </w:p>
    <w:p w:rsidR="00407F03" w:rsidRPr="00407F03" w:rsidRDefault="00407F03" w:rsidP="00090DD8">
      <w:pPr>
        <w:jc w:val="both"/>
        <w:rPr>
          <w:lang w:bidi="en-US"/>
        </w:rPr>
      </w:pPr>
      <w:r w:rsidRPr="00407F03">
        <w:rPr>
          <w:lang w:bidi="en-US"/>
        </w:rPr>
        <w:t>During surfactant based chemical enhanced oil recovery (cEOR) process, the reservoir-injected surfactant slug lowers the interfacial tension (IFT) between the reservoir brine and crude oil and makes conditions favorable to recover entrapped oil from subterranean reservoir rocks</w:t>
      </w:r>
      <w:r w:rsidRPr="00407F03">
        <w:rPr>
          <w:lang w:bidi="en-US"/>
        </w:rPr>
        <w:fldChar w:fldCharType="begin"/>
      </w:r>
      <w:r w:rsidR="00332C11">
        <w:rPr>
          <w:lang w:bidi="en-US"/>
        </w:rPr>
        <w:instrText xml:space="preserve"> ADDIN EN.CITE &lt;EndNote&gt;&lt;Cite&gt;&lt;Author&gt;Reed&lt;/Author&gt;&lt;Year&gt;1977&lt;/Year&gt;&lt;RecNum&gt;83&lt;/RecNum&gt;&lt;DisplayText&gt;&lt;style face="superscript"&gt;57-58&lt;/style&gt;&lt;/DisplayText&gt;&lt;record&gt;&lt;rec-number&gt;83&lt;/rec-number&gt;&lt;foreign-keys&gt;&lt;key app="EN" db-id="a5zz9zdsp2tzdiedrdov0ztx9zwzps0patvs" timestamp="1429908668"&gt;83&lt;/key&gt;&lt;/foreign-keys&gt;&lt;ref-type name="Journal Article"&gt;17&lt;/ref-type&gt;&lt;contributors&gt;&lt;authors&gt;&lt;author&gt;Reed, Ronald L&lt;/author&gt;&lt;author&gt;Healy, Robert N&lt;/author&gt;&lt;/authors&gt;&lt;/contributors&gt;&lt;titles&gt;&lt;title&gt;Some physicochemical aspects of microemulsion flooding: a review&lt;/title&gt;&lt;secondary-title&gt;Improved Oil Recovery by Surfactant and Polymer Flooding&lt;/secondary-title&gt;&lt;/titles&gt;&lt;periodical&gt;&lt;full-title&gt;Improved Oil Recovery by Surfactant and Polymer Flooding&lt;/full-title&gt;&lt;/periodical&gt;&lt;pages&gt;383-437&lt;/pages&gt;&lt;dates&gt;&lt;year&gt;1977&lt;/year&gt;&lt;/dates&gt;&lt;urls&gt;&lt;/urls&gt;&lt;/record&gt;&lt;/Cite&gt;&lt;Cite&gt;&lt;Author&gt;Stegemeier&lt;/Author&gt;&lt;Year&gt;1974&lt;/Year&gt;&lt;RecNum&gt;99&lt;/RecNum&gt;&lt;record&gt;&lt;rec-number&gt;99&lt;/rec-number&gt;&lt;foreign-keys&gt;&lt;key app="EN" db-id="a5zz9zdsp2tzdiedrdov0ztx9zwzps0patvs" timestamp="1432138281"&gt;99&lt;/key&gt;&lt;/foreign-keys&gt;&lt;ref-type name="Conference Proceedings"&gt;10&lt;/ref-type&gt;&lt;contributors&gt;&lt;authors&gt;&lt;author&gt;Stegemeier, George L&lt;/author&gt;&lt;/authors&gt;&lt;/contributors&gt;&lt;titles&gt;&lt;title&gt;Relationship of Trapped Oil Saturation to Petrophysical Properties of Porous Media&lt;/title&gt;&lt;secondary-title&gt;SPE Improved Oil Recovery Symposium&lt;/secondary-title&gt;&lt;/titles&gt;&lt;dates&gt;&lt;year&gt;1974&lt;/year&gt;&lt;/dates&gt;&lt;publisher&gt;Society of Petroleum Engineers&lt;/publisher&gt;&lt;isbn&gt;155563771X&lt;/isbn&gt;&lt;urls&gt;&lt;/urls&gt;&lt;/record&gt;&lt;/Cite&gt;&lt;/EndNote&gt;</w:instrText>
      </w:r>
      <w:r w:rsidRPr="00407F03">
        <w:rPr>
          <w:lang w:bidi="en-US"/>
        </w:rPr>
        <w:fldChar w:fldCharType="separate"/>
      </w:r>
      <w:r w:rsidR="00332C11" w:rsidRPr="00332C11">
        <w:rPr>
          <w:noProof/>
          <w:vertAlign w:val="superscript"/>
          <w:lang w:bidi="en-US"/>
        </w:rPr>
        <w:t>57-58</w:t>
      </w:r>
      <w:r w:rsidRPr="00407F03">
        <w:rPr>
          <w:lang w:bidi="en-US"/>
        </w:rPr>
        <w:fldChar w:fldCharType="end"/>
      </w:r>
      <w:r w:rsidRPr="00407F03">
        <w:rPr>
          <w:lang w:bidi="en-US"/>
        </w:rPr>
        <w:t xml:space="preserve">. Typically, surfactant’s performance to mobilize trapped oil depends on the reservoir characteristics such as brine composition, </w:t>
      </w:r>
      <w:r w:rsidR="00961EE9">
        <w:rPr>
          <w:lang w:bidi="en-US"/>
        </w:rPr>
        <w:t>temperature, type of crude oil,</w:t>
      </w:r>
      <w:r w:rsidRPr="00407F03">
        <w:rPr>
          <w:lang w:bidi="en-US"/>
        </w:rPr>
        <w:t xml:space="preserve"> and the type of rock matrix</w:t>
      </w:r>
      <w:r w:rsidRPr="00407F03">
        <w:rPr>
          <w:lang w:bidi="en-US"/>
        </w:rPr>
        <w:fldChar w:fldCharType="begin"/>
      </w:r>
      <w:r w:rsidR="00332C11">
        <w:rPr>
          <w:lang w:bidi="en-US"/>
        </w:rPr>
        <w:instrText xml:space="preserve"> ADDIN EN.CITE &lt;EndNote&gt;&lt;Cite&gt;&lt;Author&gt;Puerto&lt;/Author&gt;&lt;Year&gt;2014&lt;/Year&gt;&lt;RecNum&gt;81&lt;/RecNum&gt;&lt;DisplayText&gt;&lt;style face="superscript"&gt;17&lt;/style&gt;&lt;/DisplayText&gt;&lt;record&gt;&lt;rec-number&gt;81&lt;/rec-number&gt;&lt;foreign-keys&gt;&lt;key app="EN" db-id="a5zz9zdsp2tzdiedrdov0ztx9zwzps0patvs" timestamp="1428963320"&gt;81&lt;/key&gt;&lt;/foreign-keys&gt;&lt;ref-type name="Conference Proceedings"&gt;10&lt;/ref-type&gt;&lt;contributors&gt;&lt;authors&gt;&lt;author&gt;Puerto, Maura C&lt;/author&gt;&lt;author&gt;Hirasaki, George J&lt;/author&gt;&lt;author&gt;Miller, Clarence A&lt;/author&gt;&lt;author&gt;Reznik, Carmen&lt;/author&gt;&lt;author&gt;Dubey, Sheila&lt;/author&gt;&lt;author&gt;Barnes, Julian R&lt;/author&gt;&lt;author&gt;vanKuijk, Sjoerd&lt;/author&gt;&lt;/authors&gt;&lt;/contributors&gt;&lt;titles&gt;&lt;title&gt;Effects of Hardness and Cosurfactant on Phase Behavior of Alcohol-free Alkyl Propoxylated Sulfate Systems&lt;/title&gt;&lt;secondary-title&gt;SPE Improved Oil Recovery Symposium&lt;/secondary-title&gt;&lt;/titles&gt;&lt;dates&gt;&lt;year&gt;2014&lt;/year&gt;&lt;/dates&gt;&lt;publisher&gt;Society of Petroleum Engineers&lt;/publisher&gt;&lt;isbn&gt;1613993099&lt;/isbn&gt;&lt;urls&gt;&lt;/urls&gt;&lt;/record&gt;&lt;/Cite&gt;&lt;/EndNote&gt;</w:instrText>
      </w:r>
      <w:r w:rsidRPr="00407F03">
        <w:rPr>
          <w:lang w:bidi="en-US"/>
        </w:rPr>
        <w:fldChar w:fldCharType="separate"/>
      </w:r>
      <w:r w:rsidR="00332C11" w:rsidRPr="00332C11">
        <w:rPr>
          <w:noProof/>
          <w:vertAlign w:val="superscript"/>
          <w:lang w:bidi="en-US"/>
        </w:rPr>
        <w:t>17</w:t>
      </w:r>
      <w:r w:rsidRPr="00407F03">
        <w:rPr>
          <w:lang w:bidi="en-US"/>
        </w:rPr>
        <w:fldChar w:fldCharType="end"/>
      </w:r>
      <w:r w:rsidRPr="00407F03">
        <w:rPr>
          <w:lang w:bidi="en-US"/>
        </w:rPr>
        <w:t xml:space="preserve">. Therefore, it is necessary to tailor surfactant formulation for cEOR application at the site-specific reservoir conditions. </w:t>
      </w:r>
    </w:p>
    <w:p w:rsidR="00407F03" w:rsidRPr="00407F03" w:rsidRDefault="00407F03" w:rsidP="00090DD8">
      <w:pPr>
        <w:jc w:val="both"/>
        <w:rPr>
          <w:lang w:bidi="en-US"/>
        </w:rPr>
      </w:pPr>
      <w:r w:rsidRPr="00407F03">
        <w:rPr>
          <w:lang w:bidi="en-US"/>
        </w:rPr>
        <w:t>As part of our most recent effort in developing surfactant formulations for matu</w:t>
      </w:r>
      <w:r w:rsidR="00864C6A">
        <w:rPr>
          <w:lang w:bidi="en-US"/>
        </w:rPr>
        <w:t xml:space="preserve">red oil fields in Oklahoma, U.S </w:t>
      </w:r>
      <w:r w:rsidR="00D0552D">
        <w:rPr>
          <w:lang w:bidi="en-US"/>
        </w:rPr>
        <w:fldChar w:fldCharType="begin"/>
      </w:r>
      <w:r w:rsidR="00332C11">
        <w:rPr>
          <w:lang w:bidi="en-US"/>
        </w:rPr>
        <w:instrText xml:space="preserve"> ADDIN EN.CITE &lt;EndNote&gt;&lt;Cite&gt;&lt;Author&gt;Ben Shiau&lt;/Author&gt;&lt;Year&gt;2013&lt;/Year&gt;&lt;RecNum&gt;85&lt;/RecNum&gt;&lt;DisplayText&gt;&lt;style face="superscript"&gt;10, 41&lt;/style&gt;&lt;/DisplayText&gt;&lt;record&gt;&lt;rec-number&gt;85&lt;/rec-number&gt;&lt;foreign-keys&gt;&lt;key app="EN" db-id="a5zz9zdsp2tzdiedrdov0ztx9zwzps0patvs" timestamp="1432066985"&gt;85&lt;/key&gt;&lt;/foreign-keys&gt;&lt;ref-type name="Journal Article"&gt;17&lt;/ref-type&gt;&lt;contributors&gt;&lt;authors&gt;&lt;author&gt;Ben Shiau, SPE&lt;/author&gt;&lt;author&gt;Tzu-Ping Hsu, SPE&lt;/author&gt;&lt;author&gt;Prapas Lohateeraparp, Mario Rojas&lt;/author&gt;&lt;author&gt;Mahesh Budhathoki, Ajay Raj&lt;/author&gt;&lt;/authors&gt;&lt;/contributors&gt;&lt;titles&gt;&lt;title&gt;Recovery of Oil from High Salinity Reservoir Using Chemical Flooding: From Laboratory to Field Tests&lt;/title&gt;&lt;/titles&gt;&lt;dates&gt;&lt;year&gt;2013&lt;/year&gt;&lt;/dates&gt;&lt;urls&gt;&lt;/urls&gt;&lt;/record&gt;&lt;/Cite&gt;&lt;Cite&gt;&lt;Author&gt;Hsu&lt;/Author&gt;&lt;Year&gt;2012&lt;/Year&gt;&lt;RecNum&gt;41&lt;/RecNum&gt;&lt;record&gt;&lt;rec-number&gt;41&lt;/rec-number&gt;&lt;foreign-keys&gt;&lt;key app="EN" db-id="a5zz9zdsp2tzdiedrdov0ztx9zwzps0patvs" timestamp="1424741473"&gt;41&lt;/key&gt;&lt;/foreign-keys&gt;&lt;ref-type name="Conference Paper"&gt;47&lt;/ref-type&gt;&lt;contributors&gt;&lt;authors&gt;&lt;author&gt;Tzu-Ping Hsu&lt;/author&gt;&lt;author&gt;Prapas, Lohateeraparp&lt;/author&gt;&lt;author&gt;Xiaoguang Wang&lt;/author&gt;&lt;author&gt;Budhathoki, Mahesh&lt;/author&gt;&lt;author&gt;Shiau, BJ Ben&lt;/author&gt;&lt;/authors&gt;&lt;/contributors&gt;&lt;titles&gt;&lt;title&gt;Improved oil recovery by chemical flood from high salinity reservoirs-single-well surfactant injection test&lt;/title&gt;&lt;secondary-title&gt;In SPE EOR Conference at Oil and Gas West Asia&lt;/secondary-title&gt;&lt;/titles&gt;&lt;dates&gt;&lt;year&gt;2012&lt;/year&gt;&lt;/dates&gt;&lt;publisher&gt;Society of Petroleum Engineers&lt;/publisher&gt;&lt;urls&gt;&lt;/urls&gt;&lt;/record&gt;&lt;/Cite&gt;&lt;/EndNote&gt;</w:instrText>
      </w:r>
      <w:r w:rsidR="00D0552D">
        <w:rPr>
          <w:lang w:bidi="en-US"/>
        </w:rPr>
        <w:fldChar w:fldCharType="separate"/>
      </w:r>
      <w:r w:rsidR="00332C11" w:rsidRPr="00332C11">
        <w:rPr>
          <w:noProof/>
          <w:vertAlign w:val="superscript"/>
          <w:lang w:bidi="en-US"/>
        </w:rPr>
        <w:t>10, 41</w:t>
      </w:r>
      <w:r w:rsidR="00D0552D">
        <w:rPr>
          <w:lang w:bidi="en-US"/>
        </w:rPr>
        <w:fldChar w:fldCharType="end"/>
      </w:r>
      <w:r w:rsidR="00D0552D">
        <w:rPr>
          <w:lang w:bidi="en-US"/>
        </w:rPr>
        <w:t>,</w:t>
      </w:r>
      <w:r w:rsidRPr="00407F03">
        <w:rPr>
          <w:lang w:bidi="en-US"/>
        </w:rPr>
        <w:t xml:space="preserve"> one of the key challenges is to explore surfactant candidates for the targeted reservoirs which have extremely high total dissolved solids (TDS) levels in the produced brine (e.g., &gt; 250,000 mg/L). The injected surfactant solution for any cEOR project has to remain chemically stable in subterranean conditions during active pumping operations of chemical flooding, which could last for years</w:t>
      </w:r>
      <w:r w:rsidRPr="00407F03">
        <w:rPr>
          <w:lang w:bidi="en-US"/>
        </w:rPr>
        <w:fldChar w:fldCharType="begin"/>
      </w:r>
      <w:r w:rsidR="00332C11">
        <w:rPr>
          <w:lang w:bidi="en-US"/>
        </w:rPr>
        <w:instrText xml:space="preserve"> ADDIN EN.CITE &lt;EndNote&gt;&lt;Cite&gt;&lt;Author&gt;Puerto&lt;/Author&gt;&lt;Year&gt;2012&lt;/Year&gt;&lt;RecNum&gt;31&lt;/RecNum&gt;&lt;DisplayText&gt;&lt;style face="superscript"&gt;11&lt;/style&gt;&lt;/DisplayText&gt;&lt;record&gt;&lt;rec-number&gt;31&lt;/rec-number&gt;&lt;foreign-keys&gt;&lt;key app="EN" db-id="a5zz9zdsp2tzdiedrdov0ztx9zwzps0patvs" timestamp="1424741471"&gt;31&lt;/key&gt;&lt;/foreign-keys&gt;&lt;ref-type name="Journal Article"&gt;17&lt;/ref-type&gt;&lt;contributors&gt;&lt;authors&gt;&lt;author&gt;Puerto, Maura&lt;/author&gt;&lt;author&gt;Hirasaki, George J&lt;/author&gt;&lt;author&gt;Miller, Clarence A&lt;/author&gt;&lt;author&gt;Barnes, Julian R&lt;/author&gt;&lt;/authors&gt;&lt;/contributors&gt;&lt;titles&gt;&lt;title&gt;Surfactant systems for EOR in high-temperature, high-salinity environments&lt;/title&gt;&lt;secondary-title&gt;SPE J&lt;/secondary-title&gt;&lt;/titles&gt;&lt;periodical&gt;&lt;full-title&gt;SPE J&lt;/full-title&gt;&lt;/periodical&gt;&lt;pages&gt;11-19&lt;/pages&gt;&lt;volume&gt;17&lt;/volume&gt;&lt;number&gt;1&lt;/number&gt;&lt;dates&gt;&lt;year&gt;2012&lt;/year&gt;&lt;/dates&gt;&lt;urls&gt;&lt;/urls&gt;&lt;/record&gt;&lt;/Cite&gt;&lt;/EndNote&gt;</w:instrText>
      </w:r>
      <w:r w:rsidRPr="00407F03">
        <w:rPr>
          <w:lang w:bidi="en-US"/>
        </w:rPr>
        <w:fldChar w:fldCharType="separate"/>
      </w:r>
      <w:r w:rsidR="00332C11" w:rsidRPr="00332C11">
        <w:rPr>
          <w:noProof/>
          <w:vertAlign w:val="superscript"/>
          <w:lang w:bidi="en-US"/>
        </w:rPr>
        <w:t>11</w:t>
      </w:r>
      <w:r w:rsidRPr="00407F03">
        <w:rPr>
          <w:lang w:bidi="en-US"/>
        </w:rPr>
        <w:fldChar w:fldCharType="end"/>
      </w:r>
      <w:r w:rsidRPr="00407F03">
        <w:rPr>
          <w:lang w:bidi="en-US"/>
        </w:rPr>
        <w:t>. However, the presence of excessive amount of monovalent and divalent cations, Na</w:t>
      </w:r>
      <w:r w:rsidRPr="00407F03">
        <w:rPr>
          <w:vertAlign w:val="superscript"/>
          <w:lang w:bidi="en-US"/>
        </w:rPr>
        <w:t>+</w:t>
      </w:r>
      <w:r w:rsidRPr="00407F03">
        <w:rPr>
          <w:lang w:bidi="en-US"/>
        </w:rPr>
        <w:t>, K</w:t>
      </w:r>
      <w:r w:rsidRPr="00407F03">
        <w:rPr>
          <w:vertAlign w:val="superscript"/>
          <w:lang w:bidi="en-US"/>
        </w:rPr>
        <w:t>+</w:t>
      </w:r>
      <w:r w:rsidRPr="00407F03">
        <w:rPr>
          <w:lang w:bidi="en-US"/>
        </w:rPr>
        <w:t>, Mg</w:t>
      </w:r>
      <w:r w:rsidRPr="00407F03">
        <w:rPr>
          <w:vertAlign w:val="superscript"/>
          <w:lang w:bidi="en-US"/>
        </w:rPr>
        <w:t>2+</w:t>
      </w:r>
      <w:r w:rsidRPr="00407F03">
        <w:rPr>
          <w:lang w:bidi="en-US"/>
        </w:rPr>
        <w:t xml:space="preserve"> and Ca</w:t>
      </w:r>
      <w:r w:rsidRPr="00407F03">
        <w:rPr>
          <w:vertAlign w:val="superscript"/>
          <w:lang w:bidi="en-US"/>
        </w:rPr>
        <w:t>2+</w:t>
      </w:r>
      <w:r w:rsidRPr="00407F03">
        <w:rPr>
          <w:lang w:bidi="en-US"/>
        </w:rPr>
        <w:t xml:space="preserve">, in a high TDS brine </w:t>
      </w:r>
      <w:r w:rsidR="00864C6A">
        <w:rPr>
          <w:lang w:bidi="en-US"/>
        </w:rPr>
        <w:t>can make</w:t>
      </w:r>
      <w:r w:rsidRPr="00407F03">
        <w:rPr>
          <w:lang w:bidi="en-US"/>
        </w:rPr>
        <w:t xml:space="preserve"> an injected surfactant solution to precipitate or phase separate</w:t>
      </w:r>
      <w:r w:rsidRPr="00407F03">
        <w:rPr>
          <w:lang w:bidi="en-US"/>
        </w:rPr>
        <w:fldChar w:fldCharType="begin">
          <w:fldData xml:space="preserve">PEVuZE5vdGU+PENpdGU+PEF1dGhvcj5CYW5zYWw8L0F1dGhvcj48WWVhcj4xOTc4PC9ZZWFyPjxS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</w:fldData>
        </w:fldChar>
      </w:r>
      <w:r w:rsidR="00332C11">
        <w:rPr>
          <w:lang w:bidi="en-US"/>
        </w:rPr>
        <w:instrText xml:space="preserve"> ADDIN EN.CITE </w:instrText>
      </w:r>
      <w:r w:rsidR="00332C11">
        <w:rPr>
          <w:lang w:bidi="en-US"/>
        </w:rPr>
        <w:fldChar w:fldCharType="begin">
          <w:fldData xml:space="preserve">PEVuZE5vdGU+PENpdGU+PEF1dGhvcj5CYW5zYWw8L0F1dGhvcj48WWVhcj4xOTc4PC9ZZWFyPjxS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</w:fldData>
        </w:fldChar>
      </w:r>
      <w:r w:rsidR="00332C11">
        <w:rPr>
          <w:lang w:bidi="en-US"/>
        </w:rPr>
        <w:instrText xml:space="preserve"> ADDIN EN.CITE.DATA </w:instrText>
      </w:r>
      <w:r w:rsidR="00332C11">
        <w:rPr>
          <w:lang w:bidi="en-US"/>
        </w:rPr>
      </w:r>
      <w:r w:rsidR="00332C11">
        <w:rPr>
          <w:lang w:bidi="en-US"/>
        </w:rPr>
        <w:fldChar w:fldCharType="end"/>
      </w:r>
      <w:r w:rsidRPr="00407F03">
        <w:rPr>
          <w:lang w:bidi="en-US"/>
        </w:rPr>
      </w:r>
      <w:r w:rsidRPr="00407F03">
        <w:rPr>
          <w:lang w:bidi="en-US"/>
        </w:rPr>
        <w:fldChar w:fldCharType="separate"/>
      </w:r>
      <w:r w:rsidR="00332C11" w:rsidRPr="00332C11">
        <w:rPr>
          <w:noProof/>
          <w:vertAlign w:val="superscript"/>
          <w:lang w:bidi="en-US"/>
        </w:rPr>
        <w:t>14-15, 31</w:t>
      </w:r>
      <w:r w:rsidRPr="00407F03">
        <w:rPr>
          <w:lang w:bidi="en-US"/>
        </w:rPr>
        <w:fldChar w:fldCharType="end"/>
      </w:r>
      <w:r w:rsidRPr="00407F03">
        <w:rPr>
          <w:lang w:bidi="en-US"/>
        </w:rPr>
        <w:t>. Both surfactant precipitation and phase separation are undesirable for a cEOR process because not only they incre</w:t>
      </w:r>
      <w:r w:rsidR="00961EE9">
        <w:rPr>
          <w:lang w:bidi="en-US"/>
        </w:rPr>
        <w:t xml:space="preserve">ase the IFT but could also </w:t>
      </w:r>
      <w:r w:rsidRPr="00407F03">
        <w:rPr>
          <w:lang w:bidi="en-US"/>
        </w:rPr>
        <w:t>plug the formation</w:t>
      </w:r>
      <w:r w:rsidRPr="00407F03">
        <w:rPr>
          <w:lang w:bidi="en-US"/>
        </w:rPr>
        <w:fldChar w:fldCharType="begin"/>
      </w:r>
      <w:r w:rsidR="00332C11">
        <w:rPr>
          <w:lang w:bidi="en-US"/>
        </w:rPr>
        <w:instrText xml:space="preserve"> ADDIN EN.CITE &lt;EndNote&gt;&lt;Cite&gt;&lt;Author&gt;Yang&lt;/Author&gt;&lt;Year&gt;2010&lt;/Year&gt;&lt;RecNum&gt;26&lt;/RecNum&gt;&lt;DisplayText&gt;&lt;style face="superscript"&gt;38&lt;/style&gt;&lt;/DisplayText&gt;&lt;record&gt;&lt;rec-number&gt;26&lt;/rec-number&gt;&lt;foreign-keys&gt;&lt;key app="EN" db-id="a5zz9zdsp2tzdiedrdov0ztx9zwzps0patvs" timestamp="1424741470"&gt;26&lt;/key&gt;&lt;/foreign-keys&gt;&lt;ref-type name="Conference Paper"&gt;47&lt;/ref-type&gt;&lt;contributors&gt;&lt;authors&gt;&lt;author&gt;Hyuntae Yang&lt;/author&gt;&lt;author&gt;Christopher Britton&lt;/author&gt;&lt;author&gt;Pathma, J Liyanage&lt;/author&gt;&lt;author&gt;Sriram Solairaj&lt;/author&gt;&lt;author&gt;Do Hoon Kim&lt;/author&gt;&lt;/authors&gt;&lt;/contributors&gt;&lt;titles&gt;&lt;title&gt;Low-cost, high-performance chemicals for enhanced oil recovery&lt;/title&gt;&lt;secondary-title&gt;In SPE Improved Oil Recovery Symposium&lt;/secondary-title&gt;&lt;/titles&gt;&lt;dates&gt;&lt;year&gt;2010&lt;/year&gt;&lt;/dates&gt;&lt;publisher&gt;Society of Petroleum Engineers&lt;/publisher&gt;&lt;urls&gt;&lt;/urls&gt;&lt;/record&gt;&lt;/Cite&gt;&lt;/EndNote&gt;</w:instrText>
      </w:r>
      <w:r w:rsidRPr="00407F03">
        <w:rPr>
          <w:lang w:bidi="en-US"/>
        </w:rPr>
        <w:fldChar w:fldCharType="separate"/>
      </w:r>
      <w:r w:rsidR="00332C11" w:rsidRPr="00332C11">
        <w:rPr>
          <w:noProof/>
          <w:vertAlign w:val="superscript"/>
          <w:lang w:bidi="en-US"/>
        </w:rPr>
        <w:t>38</w:t>
      </w:r>
      <w:r w:rsidRPr="00407F03">
        <w:rPr>
          <w:lang w:bidi="en-US"/>
        </w:rPr>
        <w:fldChar w:fldCharType="end"/>
      </w:r>
      <w:r w:rsidRPr="00407F03">
        <w:rPr>
          <w:lang w:bidi="en-US"/>
        </w:rPr>
        <w:t xml:space="preserve">. </w:t>
      </w:r>
    </w:p>
    <w:p w:rsidR="00407F03" w:rsidRPr="00407F03" w:rsidRDefault="00407F03" w:rsidP="00090DD8">
      <w:pPr>
        <w:jc w:val="both"/>
        <w:rPr>
          <w:lang w:bidi="en-US"/>
        </w:rPr>
      </w:pPr>
      <w:r w:rsidRPr="00407F03">
        <w:rPr>
          <w:lang w:bidi="en-US"/>
        </w:rPr>
        <w:t>In recent years, a series of sodium alkyl ethoxylate propxylate sulfate surfactant</w:t>
      </w:r>
      <w:r w:rsidR="00864C6A">
        <w:rPr>
          <w:lang w:bidi="en-US"/>
        </w:rPr>
        <w:t>s</w:t>
      </w:r>
      <w:r w:rsidRPr="00407F03">
        <w:rPr>
          <w:lang w:bidi="en-US"/>
        </w:rPr>
        <w:t xml:space="preserve"> als</w:t>
      </w:r>
      <w:r w:rsidR="00961EE9">
        <w:rPr>
          <w:lang w:bidi="en-US"/>
        </w:rPr>
        <w:t>o known as ‘extended surfactant</w:t>
      </w:r>
      <w:r w:rsidRPr="00407F03">
        <w:rPr>
          <w:lang w:bidi="en-US"/>
        </w:rPr>
        <w:t xml:space="preserve">’ </w:t>
      </w:r>
      <w:r w:rsidR="00961EE9">
        <w:rPr>
          <w:lang w:bidi="en-US"/>
        </w:rPr>
        <w:t>is</w:t>
      </w:r>
      <w:r w:rsidRPr="00407F03">
        <w:rPr>
          <w:lang w:bidi="en-US"/>
        </w:rPr>
        <w:t xml:space="preserve"> found to show promising results in high TDS brines</w:t>
      </w:r>
      <w:r w:rsidRPr="00407F03">
        <w:rPr>
          <w:lang w:bidi="en-US"/>
        </w:rPr>
        <w:fldChar w:fldCharType="begin"/>
      </w:r>
      <w:r w:rsidR="00332C11">
        <w:rPr>
          <w:lang w:bidi="en-US"/>
        </w:rPr>
        <w:instrText xml:space="preserve"> ADDIN EN.CITE &lt;EndNote&gt;&lt;Cite&gt;&lt;Author&gt;Puerto&lt;/Author&gt;&lt;Year&gt;2012&lt;/Year&gt;&lt;RecNum&gt;31&lt;/RecNum&gt;&lt;DisplayText&gt;&lt;style face="superscript"&gt;11&lt;/style&gt;&lt;/DisplayText&gt;&lt;record&gt;&lt;rec-number&gt;31&lt;/rec-number&gt;&lt;foreign-keys&gt;&lt;key app="EN" db-id="a5zz9zdsp2tzdiedrdov0ztx9zwzps0patvs" timestamp="1424741471"&gt;31&lt;/key&gt;&lt;/foreign-keys&gt;&lt;ref-type name="Journal Article"&gt;17&lt;/ref-type&gt;&lt;contributors&gt;&lt;authors&gt;&lt;author&gt;Puerto, Maura&lt;/author&gt;&lt;author&gt;Hirasaki, George J&lt;/author&gt;&lt;author&gt;Miller, Clarence A&lt;/author&gt;&lt;author&gt;Barnes, Julian R&lt;/author&gt;&lt;/authors&gt;&lt;/contributors&gt;&lt;titles&gt;&lt;title&gt;Surfactant systems for EOR in high-temperature, high-salinity environments&lt;/title&gt;&lt;secondary-title&gt;SPE J&lt;/secondary-title&gt;&lt;/titles&gt;&lt;periodical&gt;&lt;full-title&gt;SPE J&lt;/full-title&gt;&lt;/periodical&gt;&lt;pages&gt;11-19&lt;/pages&gt;&lt;volume&gt;17&lt;/volume&gt;&lt;number&gt;1&lt;/number&gt;&lt;dates&gt;&lt;year&gt;2012&lt;/year&gt;&lt;/dates&gt;&lt;urls&gt;&lt;/urls&gt;&lt;/record&gt;&lt;/Cite&gt;&lt;/EndNote&gt;</w:instrText>
      </w:r>
      <w:r w:rsidRPr="00407F03">
        <w:rPr>
          <w:lang w:bidi="en-US"/>
        </w:rPr>
        <w:fldChar w:fldCharType="separate"/>
      </w:r>
      <w:r w:rsidR="00332C11" w:rsidRPr="00332C11">
        <w:rPr>
          <w:noProof/>
          <w:vertAlign w:val="superscript"/>
          <w:lang w:bidi="en-US"/>
        </w:rPr>
        <w:t>11</w:t>
      </w:r>
      <w:r w:rsidRPr="00407F03">
        <w:rPr>
          <w:lang w:bidi="en-US"/>
        </w:rPr>
        <w:fldChar w:fldCharType="end"/>
      </w:r>
      <w:r w:rsidR="00FD5E90">
        <w:rPr>
          <w:lang w:bidi="en-US"/>
        </w:rPr>
        <w:t xml:space="preserve">. </w:t>
      </w:r>
      <w:r w:rsidRPr="00407F03">
        <w:rPr>
          <w:lang w:bidi="en-US"/>
        </w:rPr>
        <w:t xml:space="preserve">Unlike conventional EOR surfactants, extended surfactants have either propylene oxides (POs) or both POs and ethylene oxides (EOs) functional groups inserted between their </w:t>
      </w:r>
      <w:r w:rsidRPr="00407F03">
        <w:rPr>
          <w:lang w:bidi="en-US"/>
        </w:rPr>
        <w:lastRenderedPageBreak/>
        <w:t>hydrophilic sulfate head groups and hydrophobic carbon tail</w:t>
      </w:r>
      <w:r w:rsidRPr="00407F03">
        <w:rPr>
          <w:lang w:bidi="en-US"/>
        </w:rPr>
        <w:fldChar w:fldCharType="begin"/>
      </w:r>
      <w:r w:rsidR="00332C11">
        <w:rPr>
          <w:lang w:bidi="en-US"/>
        </w:rPr>
        <w:instrText xml:space="preserve"> ADDIN EN.CITE &lt;EndNote&gt;&lt;Cite&gt;&lt;Author&gt;Witthayapanyanon&lt;/Author&gt;&lt;Year&gt;2006&lt;/Year&gt;&lt;RecNum&gt;62&lt;/RecNum&gt;&lt;DisplayText&gt;&lt;style face="superscript"&gt;34&lt;/style&gt;&lt;/DisplayText&gt;&lt;record&gt;&lt;rec-number&gt;62&lt;/rec-number&gt;&lt;foreign-keys&gt;&lt;key app="EN" db-id="a5zz9zdsp2tzdiedrdov0ztx9zwzps0patvs" timestamp="1425596937"&gt;62&lt;/key&gt;&lt;/foreign-keys&gt;&lt;ref-type name="Journal Article"&gt;17&lt;/ref-type&gt;&lt;contributors&gt;&lt;authors&gt;&lt;author&gt;Witthayapanyanon, A&lt;/author&gt;&lt;author&gt;Acosta, EJ&lt;/author&gt;&lt;author&gt;Harwell, JH&lt;/author&gt;&lt;author&gt;Sabatini, DA&lt;/author&gt;&lt;/authors&gt;&lt;/contributors&gt;&lt;titles&gt;&lt;title&gt;Formulation of ultralow interfacial tension systems using extended surfactants&lt;/title&gt;&lt;secondary-title&gt;Journal of surfactants and detergents&lt;/secondary-title&gt;&lt;/titles&gt;&lt;periodical&gt;&lt;full-title&gt;Journal of Surfactants and Detergents&lt;/full-title&gt;&lt;/periodical&gt;&lt;pages&gt;331-339&lt;/pages&gt;&lt;volume&gt;9&lt;/volume&gt;&lt;number&gt;4&lt;/number&gt;&lt;dates&gt;&lt;year&gt;2006&lt;/year&gt;&lt;/dates&gt;&lt;isbn&gt;1097-3958&lt;/isbn&gt;&lt;urls&gt;&lt;/urls&gt;&lt;/record&gt;&lt;/Cite&gt;&lt;/EndNote&gt;</w:instrText>
      </w:r>
      <w:r w:rsidRPr="00407F03">
        <w:rPr>
          <w:lang w:bidi="en-US"/>
        </w:rPr>
        <w:fldChar w:fldCharType="separate"/>
      </w:r>
      <w:r w:rsidR="00332C11" w:rsidRPr="00332C11">
        <w:rPr>
          <w:noProof/>
          <w:vertAlign w:val="superscript"/>
          <w:lang w:bidi="en-US"/>
        </w:rPr>
        <w:t>34</w:t>
      </w:r>
      <w:r w:rsidRPr="00407F03">
        <w:rPr>
          <w:lang w:bidi="en-US"/>
        </w:rPr>
        <w:fldChar w:fldCharType="end"/>
      </w:r>
      <w:r w:rsidRPr="00407F03">
        <w:rPr>
          <w:lang w:bidi="en-US"/>
        </w:rPr>
        <w:t>. The presence of polar groups, EOs and POs in an extended surfactant have three main advantages over conventional surfactants; 1- increase hardness and saline tolerance</w:t>
      </w:r>
      <w:r w:rsidRPr="00407F03">
        <w:rPr>
          <w:lang w:bidi="en-US"/>
        </w:rPr>
        <w:fldChar w:fldCharType="begin"/>
      </w:r>
      <w:r w:rsidR="00332C11">
        <w:rPr>
          <w:lang w:bidi="en-US"/>
        </w:rPr>
        <w:instrText xml:space="preserve"> ADDIN EN.CITE &lt;EndNote&gt;&lt;Cite&gt;&lt;Author&gt;Puerto&lt;/Author&gt;&lt;Year&gt;2012&lt;/Year&gt;&lt;RecNum&gt;31&lt;/RecNum&gt;&lt;DisplayText&gt;&lt;style face="superscript"&gt;11&lt;/style&gt;&lt;/DisplayText&gt;&lt;record&gt;&lt;rec-number&gt;31&lt;/rec-number&gt;&lt;foreign-keys&gt;&lt;key app="EN" db-id="a5zz9zdsp2tzdiedrdov0ztx9zwzps0patvs" timestamp="1424741471"&gt;31&lt;/key&gt;&lt;/foreign-keys&gt;&lt;ref-type name="Journal Article"&gt;17&lt;/ref-type&gt;&lt;contributors&gt;&lt;authors&gt;&lt;author&gt;Puerto, Maura&lt;/author&gt;&lt;author&gt;Hirasaki, George J&lt;/author&gt;&lt;author&gt;Miller, Clarence A&lt;/author&gt;&lt;author&gt;Barnes, Julian R&lt;/author&gt;&lt;/authors&gt;&lt;/contributors&gt;&lt;titles&gt;&lt;title&gt;Surfactant systems for EOR in high-temperature, high-salinity environments&lt;/title&gt;&lt;secondary-title&gt;SPE J&lt;/secondary-title&gt;&lt;/titles&gt;&lt;periodical&gt;&lt;full-title&gt;SPE J&lt;/full-title&gt;&lt;/periodical&gt;&lt;pages&gt;11-19&lt;/pages&gt;&lt;volume&gt;17&lt;/volume&gt;&lt;number&gt;1&lt;/number&gt;&lt;dates&gt;&lt;year&gt;2012&lt;/year&gt;&lt;/dates&gt;&lt;urls&gt;&lt;/urls&gt;&lt;/record&gt;&lt;/Cite&gt;&lt;/EndNote&gt;</w:instrText>
      </w:r>
      <w:r w:rsidRPr="00407F03">
        <w:rPr>
          <w:lang w:bidi="en-US"/>
        </w:rPr>
        <w:fldChar w:fldCharType="separate"/>
      </w:r>
      <w:r w:rsidR="00332C11" w:rsidRPr="00332C11">
        <w:rPr>
          <w:noProof/>
          <w:vertAlign w:val="superscript"/>
          <w:lang w:bidi="en-US"/>
        </w:rPr>
        <w:t>11</w:t>
      </w:r>
      <w:r w:rsidRPr="00407F03">
        <w:rPr>
          <w:lang w:bidi="en-US"/>
        </w:rPr>
        <w:fldChar w:fldCharType="end"/>
      </w:r>
      <w:r w:rsidRPr="00407F03">
        <w:rPr>
          <w:lang w:bidi="en-US"/>
        </w:rPr>
        <w:t>; 2- enhance surfactant’s tail interaction deeper into the oil phase at oil-water membrane, which significantly reduces IFT</w:t>
      </w:r>
      <w:r w:rsidRPr="00407F03">
        <w:rPr>
          <w:lang w:bidi="en-US"/>
        </w:rPr>
        <w:fldChar w:fldCharType="begin"/>
      </w:r>
      <w:r w:rsidR="00332C11">
        <w:rPr>
          <w:lang w:bidi="en-US"/>
        </w:rPr>
        <w:instrText xml:space="preserve"> ADDIN EN.CITE &lt;EndNote&gt;&lt;Cite&gt;&lt;Author&gt;Witthayapanyanon&lt;/Author&gt;&lt;Year&gt;2006&lt;/Year&gt;&lt;RecNum&gt;62&lt;/RecNum&gt;&lt;DisplayText&gt;&lt;style face="superscript"&gt;34&lt;/style&gt;&lt;/DisplayText&gt;&lt;record&gt;&lt;rec-number&gt;62&lt;/rec-number&gt;&lt;foreign-keys&gt;&lt;key app="EN" db-id="a5zz9zdsp2tzdiedrdov0ztx9zwzps0patvs" timestamp="1425596937"&gt;62&lt;/key&gt;&lt;/foreign-keys&gt;&lt;ref-type name="Journal Article"&gt;17&lt;/ref-type&gt;&lt;contributors&gt;&lt;authors&gt;&lt;author&gt;Witthayapanyanon, A&lt;/author&gt;&lt;author&gt;Acosta, EJ&lt;/author&gt;&lt;author&gt;Harwell, JH&lt;/author&gt;&lt;author&gt;Sabatini, DA&lt;/author&gt;&lt;/authors&gt;&lt;/contributors&gt;&lt;titles&gt;&lt;title&gt;Formulation of ultralow interfacial tension systems using extended surfactants&lt;/title&gt;&lt;secondary-title&gt;Journal of surfactants and detergents&lt;/secondary-title&gt;&lt;/titles&gt;&lt;periodical&gt;&lt;full-title&gt;Journal of Surfactants and Detergents&lt;/full-title&gt;&lt;/periodical&gt;&lt;pages&gt;331-339&lt;/pages&gt;&lt;volume&gt;9&lt;/volume&gt;&lt;number&gt;4&lt;/number&gt;&lt;dates&gt;&lt;year&gt;2006&lt;/year&gt;&lt;/dates&gt;&lt;isbn&gt;1097-3958&lt;/isbn&gt;&lt;urls&gt;&lt;/urls&gt;&lt;/record&gt;&lt;/Cite&gt;&lt;/EndNote&gt;</w:instrText>
      </w:r>
      <w:r w:rsidRPr="00407F03">
        <w:rPr>
          <w:lang w:bidi="en-US"/>
        </w:rPr>
        <w:fldChar w:fldCharType="separate"/>
      </w:r>
      <w:r w:rsidR="00332C11" w:rsidRPr="00332C11">
        <w:rPr>
          <w:noProof/>
          <w:vertAlign w:val="superscript"/>
          <w:lang w:bidi="en-US"/>
        </w:rPr>
        <w:t>34</w:t>
      </w:r>
      <w:r w:rsidRPr="00407F03">
        <w:rPr>
          <w:lang w:bidi="en-US"/>
        </w:rPr>
        <w:fldChar w:fldCharType="end"/>
      </w:r>
      <w:r w:rsidRPr="00407F03">
        <w:rPr>
          <w:lang w:bidi="en-US"/>
        </w:rPr>
        <w:t xml:space="preserve"> and; 3- most importantly, the number of POs and EOs functional groups can be tailored to meet the requirements of various reservoir or formulation conditions</w:t>
      </w:r>
      <w:r w:rsidRPr="00407F03">
        <w:rPr>
          <w:lang w:bidi="en-US"/>
        </w:rPr>
        <w:fldChar w:fldCharType="begin"/>
      </w:r>
      <w:r w:rsidR="00332C11">
        <w:rPr>
          <w:lang w:bidi="en-US"/>
        </w:rPr>
        <w:instrText xml:space="preserve"> ADDIN EN.CITE &lt;EndNote&gt;&lt;Cite&gt;&lt;Author&gt;Levitt&lt;/Author&gt;&lt;Year&gt;2009&lt;/Year&gt;&lt;RecNum&gt;74&lt;/RecNum&gt;&lt;DisplayText&gt;&lt;style face="superscript"&gt;12&lt;/style&gt;&lt;/DisplayText&gt;&lt;record&gt;&lt;rec-number&gt;74&lt;/rec-number&gt;&lt;foreign-keys&gt;&lt;key app="EN" db-id="a5zz9zdsp2tzdiedrdov0ztx9zwzps0patvs" timestamp="1425609119"&gt;74&lt;/key&gt;&lt;/foreign-keys&gt;&lt;ref-type name="Journal Article"&gt;17&lt;/ref-type&gt;&lt;contributors&gt;&lt;authors&gt;&lt;author&gt;David B. Levitt  &lt;/author&gt;&lt;author&gt;Adam C.  Jackson; &lt;/author&gt;&lt;author&gt;Christopher Heinson &lt;/author&gt;&lt;author&gt;Larry N.  Britton&lt;/author&gt;&lt;author&gt;Taimur Malik &lt;/author&gt;&lt;author&gt;Varadarajan Dwarakanath&lt;/author&gt;&lt;author&gt;Gary A. Pope &lt;/author&gt;&lt;/authors&gt;&lt;/contributors&gt;&lt;titles&gt;&lt;title&gt;Identification and evaluation of high-performance EOR surfactants&lt;/title&gt;&lt;secondary-title&gt;SPE Reservoir Evaluation &amp;amp; Engineering&lt;/secondary-title&gt;&lt;/titles&gt;&lt;periodical&gt;&lt;full-title&gt;SPE Reservoir Evaluation &amp;amp; Engineering&lt;/full-title&gt;&lt;/periodical&gt;&lt;pages&gt;243-253&lt;/pages&gt;&lt;volume&gt;2&lt;/volume&gt;&lt;number&gt;12&lt;/number&gt;&lt;dates&gt;&lt;year&gt;2009&lt;/year&gt;&lt;/dates&gt;&lt;urls&gt;&lt;/urls&gt;&lt;/record&gt;&lt;/Cite&gt;&lt;/EndNote&gt;</w:instrText>
      </w:r>
      <w:r w:rsidRPr="00407F03">
        <w:rPr>
          <w:lang w:bidi="en-US"/>
        </w:rPr>
        <w:fldChar w:fldCharType="separate"/>
      </w:r>
      <w:r w:rsidR="00332C11" w:rsidRPr="00332C11">
        <w:rPr>
          <w:noProof/>
          <w:vertAlign w:val="superscript"/>
          <w:lang w:bidi="en-US"/>
        </w:rPr>
        <w:t>12</w:t>
      </w:r>
      <w:r w:rsidRPr="00407F03">
        <w:rPr>
          <w:lang w:bidi="en-US"/>
        </w:rPr>
        <w:fldChar w:fldCharType="end"/>
      </w:r>
      <w:r w:rsidRPr="00407F03">
        <w:rPr>
          <w:lang w:bidi="en-US"/>
        </w:rPr>
        <w:t xml:space="preserve">. Previously, Maerker </w:t>
      </w:r>
      <w:r w:rsidRPr="00407F03">
        <w:rPr>
          <w:i/>
          <w:lang w:bidi="en-US"/>
        </w:rPr>
        <w:t>et al.</w:t>
      </w:r>
      <w:r w:rsidRPr="00407F03">
        <w:rPr>
          <w:i/>
          <w:lang w:bidi="en-US"/>
        </w:rPr>
        <w:fldChar w:fldCharType="begin"/>
      </w:r>
      <w:r w:rsidR="00332C11">
        <w:rPr>
          <w:i/>
          <w:lang w:bidi="en-US"/>
        </w:rPr>
        <w:instrText xml:space="preserve"> ADDIN EN.CITE &lt;EndNote&gt;&lt;Cite&gt;&lt;Author&gt;Maerker&lt;/Author&gt;&lt;Year&gt;1992&lt;/Year&gt;&lt;RecNum&gt;28&lt;/RecNum&gt;&lt;DisplayText&gt;&lt;style face="superscript"&gt;59&lt;/style&gt;&lt;/DisplayText&gt;&lt;record&gt;&lt;rec-number&gt;28&lt;/rec-number&gt;&lt;foreign-keys&gt;&lt;key app="EN" db-id="a5zz9zdsp2tzdiedrdov0ztx9zwzps0patvs" timestamp="1424741471"&gt;28&lt;/key&gt;&lt;/foreign-keys&gt;&lt;ref-type name="Journal Article"&gt;17&lt;/ref-type&gt;&lt;contributors&gt;&lt;authors&gt;&lt;author&gt;Maerker, JM&lt;/author&gt;&lt;author&gt;Gale, WW&lt;/author&gt;&lt;/authors&gt;&lt;/contributors&gt;&lt;titles&gt;&lt;title&gt;Surfactant flood process design for Loudon&lt;/title&gt;&lt;secondary-title&gt;SPE reservoir engineering&lt;/secondary-title&gt;&lt;/titles&gt;&lt;periodical&gt;&lt;full-title&gt;SPE Reservoir Engineering&lt;/full-title&gt;&lt;/periodical&gt;&lt;pages&gt;36-44&lt;/pages&gt;&lt;volume&gt;7&lt;/volume&gt;&lt;number&gt;01&lt;/number&gt;&lt;dates&gt;&lt;year&gt;1992&lt;/year&gt;&lt;/dates&gt;&lt;isbn&gt;0885-9248&lt;/isbn&gt;&lt;urls&gt;&lt;/urls&gt;&lt;/record&gt;&lt;/Cite&gt;&lt;/EndNote&gt;</w:instrText>
      </w:r>
      <w:r w:rsidRPr="00407F03">
        <w:rPr>
          <w:i/>
          <w:lang w:bidi="en-US"/>
        </w:rPr>
        <w:fldChar w:fldCharType="separate"/>
      </w:r>
      <w:r w:rsidR="00332C11" w:rsidRPr="00332C11">
        <w:rPr>
          <w:i/>
          <w:noProof/>
          <w:vertAlign w:val="superscript"/>
          <w:lang w:bidi="en-US"/>
        </w:rPr>
        <w:t>59</w:t>
      </w:r>
      <w:r w:rsidRPr="00407F03">
        <w:rPr>
          <w:lang w:bidi="en-US"/>
        </w:rPr>
        <w:fldChar w:fldCharType="end"/>
      </w:r>
      <w:r w:rsidRPr="00407F03">
        <w:rPr>
          <w:i/>
          <w:lang w:bidi="en-US"/>
        </w:rPr>
        <w:t xml:space="preserve"> </w:t>
      </w:r>
      <w:r w:rsidRPr="00407F03">
        <w:rPr>
          <w:lang w:bidi="en-US"/>
        </w:rPr>
        <w:t>used the combination of two extended surfactants having different number of EOs and POs in order to design a surfactant flood system for the Loudon field site located in Illinois, U.S., that has brine TDS and hardness of about 104, 600 ppm (mg</w:t>
      </w:r>
      <w:r w:rsidR="00961EE9">
        <w:rPr>
          <w:lang w:bidi="en-US"/>
        </w:rPr>
        <w:t>/l)</w:t>
      </w:r>
      <w:r w:rsidR="005C410D">
        <w:rPr>
          <w:lang w:bidi="en-US"/>
        </w:rPr>
        <w:t xml:space="preserve">, </w:t>
      </w:r>
      <w:r w:rsidR="00864C6A">
        <w:rPr>
          <w:lang w:bidi="en-US"/>
        </w:rPr>
        <w:t>and</w:t>
      </w:r>
      <w:r w:rsidR="00961EE9">
        <w:rPr>
          <w:lang w:bidi="en-US"/>
        </w:rPr>
        <w:t xml:space="preserve"> 4,000 ppm respectively. They </w:t>
      </w:r>
      <w:r w:rsidRPr="00407F03">
        <w:rPr>
          <w:lang w:bidi="en-US"/>
        </w:rPr>
        <w:t>found the surfactant systems containing extended surfactant to show stable aqueous phase and to generate ultra-low IFT with the crude oil at the reservoir conditions. Another class of surfactants, sodium alkyl ethoxylate sulfates (SAES), are also known to have excellent hardness tolerance</w:t>
      </w:r>
      <w:r w:rsidRPr="00407F03">
        <w:rPr>
          <w:lang w:bidi="en-US"/>
        </w:rPr>
        <w:fldChar w:fldCharType="begin"/>
      </w:r>
      <w:r w:rsidR="00332C11">
        <w:rPr>
          <w:lang w:bidi="en-US"/>
        </w:rPr>
        <w:instrText xml:space="preserve"> ADDIN EN.CITE &lt;EndNote&gt;&lt;Cite&gt;&lt;Author&gt;Yang&lt;/Author&gt;&lt;Year&gt;2010&lt;/Year&gt;&lt;RecNum&gt;26&lt;/RecNum&gt;&lt;DisplayText&gt;&lt;style face="superscript"&gt;38&lt;/style&gt;&lt;/DisplayText&gt;&lt;record&gt;&lt;rec-number&gt;26&lt;/rec-number&gt;&lt;foreign-keys&gt;&lt;key app="EN" db-id="a5zz9zdsp2tzdiedrdov0ztx9zwzps0patvs" timestamp="1424741470"&gt;26&lt;/key&gt;&lt;/foreign-keys&gt;&lt;ref-type name="Conference Paper"&gt;47&lt;/ref-type&gt;&lt;contributors&gt;&lt;authors&gt;&lt;author&gt;Hyuntae Yang&lt;/author&gt;&lt;author&gt;Christopher Britton&lt;/author&gt;&lt;author&gt;Pathma, J Liyanage&lt;/author&gt;&lt;author&gt;Sriram Solairaj&lt;/author&gt;&lt;author&gt;Do Hoon Kim&lt;/author&gt;&lt;/authors&gt;&lt;/contributors&gt;&lt;titles&gt;&lt;title&gt;Low-cost, high-performance chemicals for enhanced oil recovery&lt;/title&gt;&lt;secondary-title&gt;In SPE Improved Oil Recovery Symposium&lt;/secondary-title&gt;&lt;/titles&gt;&lt;dates&gt;&lt;year&gt;2010&lt;/year&gt;&lt;/dates&gt;&lt;publisher&gt;Society of Petroleum Engineers&lt;/publisher&gt;&lt;urls&gt;&lt;/urls&gt;&lt;/record&gt;&lt;/Cite&gt;&lt;/EndNote&gt;</w:instrText>
      </w:r>
      <w:r w:rsidRPr="00407F03">
        <w:rPr>
          <w:lang w:bidi="en-US"/>
        </w:rPr>
        <w:fldChar w:fldCharType="separate"/>
      </w:r>
      <w:r w:rsidR="00332C11" w:rsidRPr="00332C11">
        <w:rPr>
          <w:noProof/>
          <w:vertAlign w:val="superscript"/>
          <w:lang w:bidi="en-US"/>
        </w:rPr>
        <w:t>38</w:t>
      </w:r>
      <w:r w:rsidRPr="00407F03">
        <w:rPr>
          <w:lang w:bidi="en-US"/>
        </w:rPr>
        <w:fldChar w:fldCharType="end"/>
      </w:r>
      <w:r w:rsidRPr="00407F03">
        <w:rPr>
          <w:lang w:bidi="en-US"/>
        </w:rPr>
        <w:t xml:space="preserve">. However, these surfactants form viscous microemulsions, gels or liquid crystals, which are undesirable for cEOR application. Therefore, SAES are being used as a co-surfactant in a surfactant mixture to achieve desirable results. Shiau </w:t>
      </w:r>
      <w:r w:rsidRPr="00407F03">
        <w:rPr>
          <w:i/>
          <w:lang w:bidi="en-US"/>
        </w:rPr>
        <w:t>et al.</w:t>
      </w:r>
      <w:r w:rsidRPr="00407F03">
        <w:rPr>
          <w:lang w:bidi="en-US"/>
        </w:rPr>
        <w:fldChar w:fldCharType="begin"/>
      </w:r>
      <w:r w:rsidR="00332C11">
        <w:rPr>
          <w:lang w:bidi="en-US"/>
        </w:rPr>
        <w:instrText xml:space="preserve"> ADDIN EN.CITE &lt;EndNote&gt;&lt;Cite&gt;&lt;Author&gt;Ben Shiau&lt;/Author&gt;&lt;Year&gt;2013&lt;/Year&gt;&lt;RecNum&gt;85&lt;/RecNum&gt;&lt;DisplayText&gt;&lt;style face="superscript"&gt;10&lt;/style&gt;&lt;/DisplayText&gt;&lt;record&gt;&lt;rec-number&gt;85&lt;/rec-number&gt;&lt;foreign-keys&gt;&lt;key app="EN" db-id="a5zz9zdsp2tzdiedrdov0ztx9zwzps0patvs" timestamp="1432066985"&gt;85&lt;/key&gt;&lt;/foreign-keys&gt;&lt;ref-type name="Journal Article"&gt;17&lt;/ref-type&gt;&lt;contributors&gt;&lt;authors&gt;&lt;author&gt;Ben Shiau, SPE&lt;/author&gt;&lt;author&gt;Tzu-Ping Hsu, SPE&lt;/author&gt;&lt;author&gt;Prapas Lohateeraparp, Mario Rojas&lt;/author&gt;&lt;author&gt;Mahesh Budhathoki, Ajay Raj&lt;/author&gt;&lt;/authors&gt;&lt;/contributors&gt;&lt;titles&gt;&lt;title&gt;Recovery of Oil from High Salinity Reservoir Using Chemical Flooding: From Laboratory to Field Tests&lt;/title&gt;&lt;/titles&gt;&lt;dates&gt;&lt;year&gt;2013&lt;/year&gt;&lt;/dates&gt;&lt;urls&gt;&lt;/urls&gt;&lt;/record&gt;&lt;/Cite&gt;&lt;/EndNote&gt;</w:instrText>
      </w:r>
      <w:r w:rsidRPr="00407F03">
        <w:rPr>
          <w:lang w:bidi="en-US"/>
        </w:rPr>
        <w:fldChar w:fldCharType="separate"/>
      </w:r>
      <w:r w:rsidR="00332C11" w:rsidRPr="00332C11">
        <w:rPr>
          <w:noProof/>
          <w:vertAlign w:val="superscript"/>
          <w:lang w:bidi="en-US"/>
        </w:rPr>
        <w:t>10</w:t>
      </w:r>
      <w:r w:rsidRPr="00407F03">
        <w:rPr>
          <w:lang w:bidi="en-US"/>
        </w:rPr>
        <w:fldChar w:fldCharType="end"/>
      </w:r>
      <w:r w:rsidRPr="00407F03">
        <w:rPr>
          <w:lang w:bidi="en-US"/>
        </w:rPr>
        <w:t xml:space="preserve"> developed a surfactant flood system for the SE Hewitt site located in Oklahoma, U.S., which has brine TDS of 102,300 mg/l, using the blend of extended surfactant, SAES, and branched sodium diphenyl oxide disulfonate surfactant. The reported surfactant formulation exhibited stable aqueous phase, generated ultra-low IFT and mobilized 90% of the residual oil during the field trial</w:t>
      </w:r>
      <w:r w:rsidRPr="00407F03">
        <w:rPr>
          <w:lang w:bidi="en-US"/>
        </w:rPr>
        <w:fldChar w:fldCharType="begin"/>
      </w:r>
      <w:r w:rsidR="00332C11">
        <w:rPr>
          <w:lang w:bidi="en-US"/>
        </w:rPr>
        <w:instrText xml:space="preserve"> ADDIN EN.CITE &lt;EndNote&gt;&lt;Cite&gt;&lt;Author&gt;Jin&lt;/Author&gt;&lt;Year&gt;2015&lt;/Year&gt;&lt;RecNum&gt;86&lt;/RecNum&gt;&lt;DisplayText&gt;&lt;style face="superscript"&gt;60&lt;/style&gt;&lt;/DisplayText&gt;&lt;record&gt;&lt;rec-number&gt;86&lt;/rec-number&gt;&lt;foreign-keys&gt;&lt;key app="EN" db-id="a5zz9zdsp2tzdiedrdov0ztx9zwzps0patvs" timestamp="1432067088"&gt;86&lt;/key&gt;&lt;/foreign-keys&gt;&lt;ref-type name="Conference Proceedings"&gt;10&lt;/ref-type&gt;&lt;contributors&gt;&lt;authors&gt;&lt;author&gt;Jin, Luchao&lt;/author&gt;&lt;author&gt;Jamili, Ahmad&lt;/author&gt;&lt;author&gt;Harwell, Jeffrey H&lt;/author&gt;&lt;author&gt;Shiau, BJ&lt;/author&gt;&lt;author&gt;Roller, Chad&lt;/author&gt;&lt;/authors&gt;&lt;/contributors&gt;&lt;titles&gt;&lt;title&gt;Modeling and Interpretation of Single Well Chemical Tracer Tests (SWCTT) for pre and post Chemical EOR in two High Salinity Reservoirs&lt;/title&gt;&lt;secondary-title&gt;SPE Production and Operations Symposium&lt;/secondary-title&gt;&lt;/titles&gt;&lt;dates&gt;&lt;year&gt;2015&lt;/year&gt;&lt;/dates&gt;&lt;publisher&gt;Society of Petroleum Engineers&lt;/publisher&gt;&lt;isbn&gt;1613993757&lt;/isbn&gt;&lt;urls&gt;&lt;/urls&gt;&lt;/record&gt;&lt;/Cite&gt;&lt;/EndNote&gt;</w:instrText>
      </w:r>
      <w:r w:rsidRPr="00407F03">
        <w:rPr>
          <w:lang w:bidi="en-US"/>
        </w:rPr>
        <w:fldChar w:fldCharType="separate"/>
      </w:r>
      <w:r w:rsidR="00332C11" w:rsidRPr="00332C11">
        <w:rPr>
          <w:noProof/>
          <w:vertAlign w:val="superscript"/>
          <w:lang w:bidi="en-US"/>
        </w:rPr>
        <w:t>60</w:t>
      </w:r>
      <w:r w:rsidRPr="00407F03">
        <w:rPr>
          <w:lang w:bidi="en-US"/>
        </w:rPr>
        <w:fldChar w:fldCharType="end"/>
      </w:r>
      <w:r w:rsidRPr="00407F03">
        <w:rPr>
          <w:lang w:bidi="en-US"/>
        </w:rPr>
        <w:t xml:space="preserve">. Similarly, a ternary blend of sodium sulfosuccinate, SAES, and a branched sodium diphenyl oxide disulfonate has been reported to show promising results in Stewart Fee site located in Oklahoma, US,  that has </w:t>
      </w:r>
      <w:r w:rsidRPr="00407F03">
        <w:rPr>
          <w:lang w:bidi="en-US"/>
        </w:rPr>
        <w:lastRenderedPageBreak/>
        <w:t>brine TDS of 165,000 mg/L and a hardness of about 8,500 mg/l</w:t>
      </w:r>
      <w:r w:rsidRPr="00407F03">
        <w:rPr>
          <w:lang w:bidi="en-US"/>
        </w:rPr>
        <w:fldChar w:fldCharType="begin"/>
      </w:r>
      <w:r w:rsidR="00332C11">
        <w:rPr>
          <w:lang w:bidi="en-US"/>
        </w:rPr>
        <w:instrText xml:space="preserve"> ADDIN EN.CITE &lt;EndNote&gt;&lt;Cite&gt;&lt;Author&gt;Hsu&lt;/Author&gt;&lt;Year&gt;2012&lt;/Year&gt;&lt;RecNum&gt;41&lt;/RecNum&gt;&lt;DisplayText&gt;&lt;style face="superscript"&gt;41&lt;/style&gt;&lt;/DisplayText&gt;&lt;record&gt;&lt;rec-number&gt;41&lt;/rec-number&gt;&lt;foreign-keys&gt;&lt;key app="EN" db-id="a5zz9zdsp2tzdiedrdov0ztx9zwzps0patvs" timestamp="1424741473"&gt;41&lt;/key&gt;&lt;/foreign-keys&gt;&lt;ref-type name="Conference Paper"&gt;47&lt;/ref-type&gt;&lt;contributors&gt;&lt;authors&gt;&lt;author&gt;Tzu-Ping Hsu&lt;/author&gt;&lt;author&gt;Prapas, Lohateeraparp&lt;/author&gt;&lt;author&gt;Xiaoguang Wang&lt;/author&gt;&lt;author&gt;Budhathoki, Mahesh&lt;/author&gt;&lt;author&gt;Shiau, BJ Ben&lt;/author&gt;&lt;/authors&gt;&lt;/contributors&gt;&lt;titles&gt;&lt;title&gt;Improved oil recovery by chemical flood from high salinity reservoirs-single-well surfactant injection test&lt;/title&gt;&lt;secondary-title&gt;In SPE EOR Conference at Oil and Gas West Asia&lt;/secondary-title&gt;&lt;/titles&gt;&lt;dates&gt;&lt;year&gt;2012&lt;/year&gt;&lt;/dates&gt;&lt;publisher&gt;Society of Petroleum Engineers&lt;/publisher&gt;&lt;urls&gt;&lt;/urls&gt;&lt;/record&gt;&lt;/Cite&gt;&lt;/EndNote&gt;</w:instrText>
      </w:r>
      <w:r w:rsidRPr="00407F03">
        <w:rPr>
          <w:lang w:bidi="en-US"/>
        </w:rPr>
        <w:fldChar w:fldCharType="separate"/>
      </w:r>
      <w:r w:rsidR="00332C11" w:rsidRPr="00332C11">
        <w:rPr>
          <w:noProof/>
          <w:vertAlign w:val="superscript"/>
          <w:lang w:bidi="en-US"/>
        </w:rPr>
        <w:t>41</w:t>
      </w:r>
      <w:r w:rsidRPr="00407F03">
        <w:rPr>
          <w:lang w:bidi="en-US"/>
        </w:rPr>
        <w:fldChar w:fldCharType="end"/>
      </w:r>
      <w:r w:rsidRPr="00407F03">
        <w:rPr>
          <w:lang w:bidi="en-US"/>
        </w:rPr>
        <w:t>. This surfactant system not only showed excellent lab results, stable surfactant aqueous solution and ultra-low IFT with the crude oil at the reservoir condition, but also mobilized 87% of the residual oil during the single well field test. Some authors have also reported the use of co-solvents like isopropanol and sec-butanol to enhance the hardness tolerance of surfactants</w:t>
      </w:r>
      <w:r w:rsidRPr="00407F03">
        <w:rPr>
          <w:lang w:bidi="en-US"/>
        </w:rPr>
        <w:fldChar w:fldCharType="begin"/>
      </w:r>
      <w:r w:rsidR="00332C11">
        <w:rPr>
          <w:lang w:bidi="en-US"/>
        </w:rPr>
        <w:instrText xml:space="preserve"> ADDIN EN.CITE &lt;EndNote&gt;&lt;Cite&gt;&lt;Author&gt;Shiau&lt;/Author&gt;&lt;Year&gt;2010&lt;/Year&gt;&lt;RecNum&gt;36&lt;/RecNum&gt;&lt;DisplayText&gt;&lt;style face="superscript"&gt;39&lt;/style&gt;&lt;/DisplayText&gt;&lt;record&gt;&lt;rec-number&gt;36&lt;/rec-number&gt;&lt;foreign-keys&gt;&lt;key app="EN" db-id="a5zz9zdsp2tzdiedrdov0ztx9zwzps0patvs" timestamp="1424741472"&gt;36&lt;/key&gt;&lt;/foreign-keys&gt;&lt;ref-type name="Conference Proceedings"&gt;10&lt;/ref-type&gt;&lt;contributors&gt;&lt;authors&gt;&lt;author&gt;Shiau, Bo Jier Ben&lt;/author&gt;&lt;author&gt;Harwell, Jeffrey H&lt;/author&gt;&lt;author&gt;Lohateeraparp, Prapas&lt;/author&gt;&lt;author&gt;Dinh, Anh V&lt;/author&gt;&lt;author&gt;Roberts, Bruce Lynn&lt;/author&gt;&lt;author&gt;Hsu, Tzu-Ping&lt;/author&gt;&lt;author&gt;Anwuri, Ovinuchi Igbinosa&lt;/author&gt;&lt;/authors&gt;&lt;/contributors&gt;&lt;titles&gt;&lt;title&gt;Designing alcohol-free surfactant chemical flood for oil recovery&lt;/title&gt;&lt;secondary-title&gt;SPE EOR Conference at Oil &amp;amp; Gas West Asia&lt;/secondary-title&gt;&lt;/titles&gt;&lt;dates&gt;&lt;year&gt;2010&lt;/year&gt;&lt;/dates&gt;&lt;publisher&gt;Society of Petroleum Engineers&lt;/publisher&gt;&lt;isbn&gt;1555632858&lt;/isbn&gt;&lt;urls&gt;&lt;/urls&gt;&lt;/record&gt;&lt;/Cite&gt;&lt;/EndNote&gt;</w:instrText>
      </w:r>
      <w:r w:rsidRPr="00407F03">
        <w:rPr>
          <w:lang w:bidi="en-US"/>
        </w:rPr>
        <w:fldChar w:fldCharType="separate"/>
      </w:r>
      <w:r w:rsidR="00332C11" w:rsidRPr="00332C11">
        <w:rPr>
          <w:noProof/>
          <w:vertAlign w:val="superscript"/>
          <w:lang w:bidi="en-US"/>
        </w:rPr>
        <w:t>39</w:t>
      </w:r>
      <w:r w:rsidRPr="00407F03">
        <w:rPr>
          <w:lang w:bidi="en-US"/>
        </w:rPr>
        <w:fldChar w:fldCharType="end"/>
      </w:r>
      <w:r w:rsidRPr="00407F03">
        <w:rPr>
          <w:lang w:bidi="en-US"/>
        </w:rPr>
        <w:t>. However, the risk of increase in IFT as well as the cost limits their use.</w:t>
      </w:r>
    </w:p>
    <w:p w:rsidR="00407F03" w:rsidRPr="00407F03" w:rsidRDefault="00407F03" w:rsidP="00090DD8">
      <w:pPr>
        <w:jc w:val="both"/>
        <w:rPr>
          <w:lang w:bidi="en-US"/>
        </w:rPr>
      </w:pPr>
      <w:r w:rsidRPr="00407F03">
        <w:rPr>
          <w:lang w:bidi="en-US"/>
        </w:rPr>
        <w:t>This work presents part of designing and field implementation effort for cEOR, specifically, on developing possible alcohol-free and surfactant-only floo</w:t>
      </w:r>
      <w:r w:rsidR="00864C6A">
        <w:rPr>
          <w:lang w:bidi="en-US"/>
        </w:rPr>
        <w:t>d formulations that incorporate</w:t>
      </w:r>
      <w:r w:rsidRPr="00407F03">
        <w:rPr>
          <w:lang w:bidi="en-US"/>
        </w:rPr>
        <w:t xml:space="preserve"> extended surfactant and SAES for a targeted formation with extreme high level of total TDS of </w:t>
      </w:r>
      <w:r w:rsidR="00B21859">
        <w:rPr>
          <w:lang w:bidi="en-US"/>
        </w:rPr>
        <w:t>above 300</w:t>
      </w:r>
      <w:r w:rsidRPr="00407F03">
        <w:rPr>
          <w:lang w:bidi="en-US"/>
        </w:rPr>
        <w:t>,</w:t>
      </w:r>
      <w:r w:rsidR="00B21859">
        <w:rPr>
          <w:lang w:bidi="en-US"/>
        </w:rPr>
        <w:t xml:space="preserve">000 </w:t>
      </w:r>
      <w:r w:rsidRPr="00407F03">
        <w:rPr>
          <w:lang w:bidi="en-US"/>
        </w:rPr>
        <w:t xml:space="preserve">mg/l and total hardness of </w:t>
      </w:r>
      <w:r w:rsidR="00B21859">
        <w:rPr>
          <w:lang w:bidi="en-US"/>
        </w:rPr>
        <w:t>about 13</w:t>
      </w:r>
      <w:r w:rsidRPr="00407F03">
        <w:rPr>
          <w:lang w:bidi="en-US"/>
        </w:rPr>
        <w:t>,</w:t>
      </w:r>
      <w:r w:rsidR="00B21859">
        <w:rPr>
          <w:lang w:bidi="en-US"/>
        </w:rPr>
        <w:t>000</w:t>
      </w:r>
      <w:r w:rsidRPr="00407F03">
        <w:rPr>
          <w:lang w:bidi="en-US"/>
        </w:rPr>
        <w:t xml:space="preserve"> mg/l in the produced brine. To our knowledge, this is reservoir with the highest TDS brine that has ever been considered for cEOR candidates. A surfactant-only injection protocol for field test is first optimized in </w:t>
      </w:r>
      <w:r w:rsidR="00AD16FD">
        <w:rPr>
          <w:lang w:bidi="en-US"/>
        </w:rPr>
        <w:t xml:space="preserve">the </w:t>
      </w:r>
      <w:r w:rsidRPr="00407F03">
        <w:rPr>
          <w:lang w:bidi="en-US"/>
        </w:rPr>
        <w:t xml:space="preserve">laboratory through sand packed studies. In addition, single well chemical tracer tests (SWCTT) are performed before and after surfactant injection to quantify the oil mobilization efficiency of the surfactant flood system. Moreover, numerical simulation method is applied to accurately analyze data obtained from SWCTT tests.   </w:t>
      </w:r>
    </w:p>
    <w:p w:rsidR="00407F03" w:rsidRDefault="00FD5E90" w:rsidP="00BF7BCE">
      <w:pPr>
        <w:pStyle w:val="Heading3"/>
      </w:pPr>
      <w:bookmarkStart w:id="74" w:name="_Toc426374027"/>
      <w:r w:rsidRPr="00FD5E90">
        <w:t>Background: Single Well Tracer Test (SWCTT)</w:t>
      </w:r>
      <w:bookmarkEnd w:id="74"/>
    </w:p>
    <w:p w:rsidR="00FD5E90" w:rsidRPr="00FD5E90" w:rsidRDefault="00FD5E90" w:rsidP="00FD5E90">
      <w:pPr>
        <w:jc w:val="both"/>
        <w:rPr>
          <w:lang w:bidi="en-US"/>
        </w:rPr>
      </w:pPr>
      <w:r w:rsidRPr="00FD5E90">
        <w:rPr>
          <w:lang w:bidi="en-US"/>
        </w:rPr>
        <w:t>SWCTT method is implemented primarily to measure the in- situ residual oil saturation (Sor) of mature oil field that has been water flooded for several years</w:t>
      </w:r>
      <w:r w:rsidRPr="00FD5E90">
        <w:rPr>
          <w:lang w:bidi="en-US"/>
        </w:rPr>
        <w:fldChar w:fldCharType="begin"/>
      </w:r>
      <w:r w:rsidR="00332C11">
        <w:rPr>
          <w:lang w:bidi="en-US"/>
        </w:rPr>
        <w:instrText xml:space="preserve"> ADDIN EN.CITE &lt;EndNote&gt;&lt;Cite&gt;&lt;Author&gt;Deans&lt;/Author&gt;&lt;Year&gt;1971&lt;/Year&gt;&lt;RecNum&gt;88&lt;/RecNum&gt;&lt;DisplayText&gt;&lt;style face="superscript"&gt;61&lt;/style&gt;&lt;/DisplayText&gt;&lt;record&gt;&lt;rec-number&gt;88&lt;/rec-number&gt;&lt;foreign-keys&gt;&lt;key app="EN" db-id="a5zz9zdsp2tzdiedrdov0ztx9zwzps0patvs" timestamp="1432067841"&gt;88&lt;/key&gt;&lt;/foreign-keys&gt;&lt;ref-type name="Patent"&gt;25&lt;/ref-type&gt;&lt;contributors&gt;&lt;authors&gt;&lt;author&gt;Deans, HA&lt;/author&gt;&lt;/authors&gt;&lt;/contributors&gt;&lt;titles&gt;&lt;title&gt;Method of determining fluid saturations in reservoirs&lt;/title&gt;&lt;/titles&gt;&lt;volume&gt;US 3623842&lt;/volume&gt;&lt;dates&gt;&lt;year&gt;1971&lt;/year&gt;&lt;/dates&gt;&lt;urls&gt;&lt;/urls&gt;&lt;/record&gt;&lt;/Cite&gt;&lt;/EndNote&gt;</w:instrText>
      </w:r>
      <w:r w:rsidRPr="00FD5E90">
        <w:rPr>
          <w:lang w:bidi="en-US"/>
        </w:rPr>
        <w:fldChar w:fldCharType="separate"/>
      </w:r>
      <w:r w:rsidR="00332C11" w:rsidRPr="00332C11">
        <w:rPr>
          <w:noProof/>
          <w:vertAlign w:val="superscript"/>
          <w:lang w:bidi="en-US"/>
        </w:rPr>
        <w:t>61</w:t>
      </w:r>
      <w:r w:rsidRPr="00FD5E90">
        <w:rPr>
          <w:lang w:bidi="en-US"/>
        </w:rPr>
        <w:fldChar w:fldCharType="end"/>
      </w:r>
      <w:r w:rsidRPr="00FD5E90">
        <w:rPr>
          <w:lang w:bidi="en-US"/>
        </w:rPr>
        <w:t>. In recent years this method has also been carried out to determine the Sor before and after enhanced oil recovery (EOR) operations in order to evaluate the effectiveness of EOR agents in a single well pilot</w:t>
      </w:r>
      <w:r w:rsidRPr="00FD5E90">
        <w:rPr>
          <w:lang w:bidi="en-US"/>
        </w:rPr>
        <w:fldChar w:fldCharType="begin"/>
      </w:r>
      <w:r w:rsidR="00332C11">
        <w:rPr>
          <w:lang w:bidi="en-US"/>
        </w:rPr>
        <w:instrText xml:space="preserve"> ADDIN EN.CITE &lt;EndNote&gt;&lt;Cite&gt;&lt;Author&gt;Deans&lt;/Author&gt;&lt;Year&gt;1988&lt;/Year&gt;&lt;RecNum&gt;89&lt;/RecNum&gt;&lt;DisplayText&gt;&lt;style face="superscript"&gt;62&lt;/style&gt;&lt;/DisplayText&gt;&lt;record&gt;&lt;rec-number&gt;89&lt;/rec-number&gt;&lt;foreign-keys&gt;&lt;key app="EN" db-id="a5zz9zdsp2tzdiedrdov0ztx9zwzps0patvs" timestamp="1432068441"&gt;89&lt;/key&gt;&lt;/foreign-keys&gt;&lt;ref-type name="Book"&gt;6&lt;/ref-type&gt;&lt;contributors&gt;&lt;authors&gt;&lt;author&gt;Deans, HA&lt;/author&gt;&lt;author&gt;Carlisle, CT&lt;/author&gt;&lt;/authors&gt;&lt;/contributors&gt;&lt;titles&gt;&lt;title&gt;Single Well Chemical Tracer Test Handbook&lt;/title&gt;&lt;secondary-title&gt;Chemical Tracers Inc., Houston, TX&lt;/secondary-title&gt;&lt;/titles&gt;&lt;periodical&gt;&lt;full-title&gt;Chemical Tracers Inc., Houston, TX&lt;/full-title&gt;&lt;/periodical&gt;&lt;dates&gt;&lt;year&gt;1988&lt;/year&gt;&lt;/dates&gt;&lt;urls&gt;&lt;/urls&gt;&lt;/record&gt;&lt;/Cite&gt;&lt;/EndNote&gt;</w:instrText>
      </w:r>
      <w:r w:rsidRPr="00FD5E90">
        <w:rPr>
          <w:lang w:bidi="en-US"/>
        </w:rPr>
        <w:fldChar w:fldCharType="separate"/>
      </w:r>
      <w:r w:rsidR="00332C11" w:rsidRPr="00332C11">
        <w:rPr>
          <w:noProof/>
          <w:vertAlign w:val="superscript"/>
          <w:lang w:bidi="en-US"/>
        </w:rPr>
        <w:t>62</w:t>
      </w:r>
      <w:r w:rsidRPr="00FD5E90">
        <w:rPr>
          <w:lang w:bidi="en-US"/>
        </w:rPr>
        <w:fldChar w:fldCharType="end"/>
      </w:r>
      <w:r w:rsidRPr="00FD5E90">
        <w:rPr>
          <w:lang w:bidi="en-US"/>
        </w:rPr>
        <w:t xml:space="preserve">. The SWCTT method has gained popularity among oil industries because of </w:t>
      </w:r>
      <w:r w:rsidRPr="00FD5E90">
        <w:rPr>
          <w:lang w:bidi="en-US"/>
        </w:rPr>
        <w:lastRenderedPageBreak/>
        <w:t>its easy implementation, high success rate, accuracy, and reasonable cost</w:t>
      </w:r>
      <w:r w:rsidRPr="00FD5E90">
        <w:rPr>
          <w:lang w:bidi="en-US"/>
        </w:rPr>
        <w:fldChar w:fldCharType="begin"/>
      </w:r>
      <w:r w:rsidR="00332C11">
        <w:rPr>
          <w:lang w:bidi="en-US"/>
        </w:rPr>
        <w:instrText xml:space="preserve"> ADDIN EN.CITE &lt;EndNote&gt;&lt;Cite&gt;&lt;Author&gt;Deans&lt;/Author&gt;&lt;Year&gt;1988&lt;/Year&gt;&lt;RecNum&gt;89&lt;/RecNum&gt;&lt;DisplayText&gt;&lt;style face="superscript"&gt;62&lt;/style&gt;&lt;/DisplayText&gt;&lt;record&gt;&lt;rec-number&gt;89&lt;/rec-number&gt;&lt;foreign-keys&gt;&lt;key app="EN" db-id="a5zz9zdsp2tzdiedrdov0ztx9zwzps0patvs" timestamp="1432068441"&gt;89&lt;/key&gt;&lt;/foreign-keys&gt;&lt;ref-type name="Book"&gt;6&lt;/ref-type&gt;&lt;contributors&gt;&lt;authors&gt;&lt;author&gt;Deans, HA&lt;/author&gt;&lt;author&gt;Carlisle, CT&lt;/author&gt;&lt;/authors&gt;&lt;/contributors&gt;&lt;titles&gt;&lt;title&gt;Single Well Chemical Tracer Test Handbook&lt;/title&gt;&lt;secondary-title&gt;Chemical Tracers Inc., Houston, TX&lt;/secondary-title&gt;&lt;/titles&gt;&lt;periodical&gt;&lt;full-title&gt;Chemical Tracers Inc., Houston, TX&lt;/full-title&gt;&lt;/periodical&gt;&lt;dates&gt;&lt;year&gt;1988&lt;/year&gt;&lt;/dates&gt;&lt;urls&gt;&lt;/urls&gt;&lt;/record&gt;&lt;/Cite&gt;&lt;/EndNote&gt;</w:instrText>
      </w:r>
      <w:r w:rsidRPr="00FD5E90">
        <w:rPr>
          <w:lang w:bidi="en-US"/>
        </w:rPr>
        <w:fldChar w:fldCharType="separate"/>
      </w:r>
      <w:r w:rsidR="00332C11" w:rsidRPr="00332C11">
        <w:rPr>
          <w:noProof/>
          <w:vertAlign w:val="superscript"/>
          <w:lang w:bidi="en-US"/>
        </w:rPr>
        <w:t>62</w:t>
      </w:r>
      <w:r w:rsidRPr="00FD5E90">
        <w:rPr>
          <w:lang w:bidi="en-US"/>
        </w:rPr>
        <w:fldChar w:fldCharType="end"/>
      </w:r>
      <w:r w:rsidRPr="00FD5E90">
        <w:rPr>
          <w:lang w:bidi="en-US"/>
        </w:rPr>
        <w:t>. Additionally, the test is nondestructive meaning after SWCTT test, the reservoir is returned to its initial condition without damaging the formation</w:t>
      </w:r>
      <w:r w:rsidRPr="00FD5E90">
        <w:rPr>
          <w:lang w:bidi="en-US"/>
        </w:rPr>
        <w:fldChar w:fldCharType="begin"/>
      </w:r>
      <w:r w:rsidR="00332C11">
        <w:rPr>
          <w:lang w:bidi="en-US"/>
        </w:rPr>
        <w:instrText xml:space="preserve"> ADDIN EN.CITE &lt;EndNote&gt;&lt;Cite&gt;&lt;Author&gt;Oyemade&lt;/Author&gt;&lt;Year&gt;2010&lt;/Year&gt;&lt;RecNum&gt;90&lt;/RecNum&gt;&lt;DisplayText&gt;&lt;style face="superscript"&gt;63&lt;/style&gt;&lt;/DisplayText&gt;&lt;record&gt;&lt;rec-number&gt;90&lt;/rec-number&gt;&lt;foreign-keys&gt;&lt;key app="EN" db-id="a5zz9zdsp2tzdiedrdov0ztx9zwzps0patvs" timestamp="1432069269"&gt;90&lt;/key&gt;&lt;/foreign-keys&gt;&lt;ref-type name="Conference Proceedings"&gt;10&lt;/ref-type&gt;&lt;contributors&gt;&lt;authors&gt;&lt;author&gt;Oyemade, S&lt;/author&gt;&lt;author&gt;Al Harty, S&lt;/author&gt;&lt;author&gt;Jaspers, H&lt;/author&gt;&lt;author&gt;van Wunnik, J&lt;/author&gt;&lt;author&gt;de Kruijf, A&lt;/author&gt;&lt;/authors&gt;&lt;/contributors&gt;&lt;titles&gt;&lt;title&gt;Alkaline-surfactantpolymer flood: Single well chemical tracer tests-design, implementation and performance. SPE 130042&lt;/title&gt;&lt;secondary-title&gt;Proc. SPE EOR conference at Oil &amp;amp; Gas West Asia, Muscat, Oman&lt;/secondary-title&gt;&lt;/titles&gt;&lt;dates&gt;&lt;year&gt;2010&lt;/year&gt;&lt;/dates&gt;&lt;urls&gt;&lt;/urls&gt;&lt;/record&gt;&lt;/Cite&gt;&lt;/EndNote&gt;</w:instrText>
      </w:r>
      <w:r w:rsidRPr="00FD5E90">
        <w:rPr>
          <w:lang w:bidi="en-US"/>
        </w:rPr>
        <w:fldChar w:fldCharType="separate"/>
      </w:r>
      <w:r w:rsidR="00332C11" w:rsidRPr="00332C11">
        <w:rPr>
          <w:noProof/>
          <w:vertAlign w:val="superscript"/>
          <w:lang w:bidi="en-US"/>
        </w:rPr>
        <w:t>63</w:t>
      </w:r>
      <w:r w:rsidRPr="00FD5E90">
        <w:rPr>
          <w:lang w:bidi="en-US"/>
        </w:rPr>
        <w:fldChar w:fldCharType="end"/>
      </w:r>
      <w:r w:rsidRPr="00FD5E90">
        <w:rPr>
          <w:lang w:bidi="en-US"/>
        </w:rPr>
        <w:t>. There are primarily four standard stages</w:t>
      </w:r>
      <w:r w:rsidRPr="00FD5E90">
        <w:rPr>
          <w:lang w:bidi="en-US"/>
        </w:rPr>
        <w:fldChar w:fldCharType="begin"/>
      </w:r>
      <w:r w:rsidR="00332C11">
        <w:rPr>
          <w:lang w:bidi="en-US"/>
        </w:rPr>
        <w:instrText xml:space="preserve"> ADDIN EN.CITE &lt;EndNote&gt;&lt;Cite&gt;&lt;Author&gt;Deans&lt;/Author&gt;&lt;Year&gt;1988&lt;/Year&gt;&lt;RecNum&gt;89&lt;/RecNum&gt;&lt;DisplayText&gt;&lt;style face="superscript"&gt;62&lt;/style&gt;&lt;/DisplayText&gt;&lt;record&gt;&lt;rec-number&gt;89&lt;/rec-number&gt;&lt;foreign-keys&gt;&lt;key app="EN" db-id="a5zz9zdsp2tzdiedrdov0ztx9zwzps0patvs" timestamp="1432068441"&gt;89&lt;/key&gt;&lt;/foreign-keys&gt;&lt;ref-type name="Book"&gt;6&lt;/ref-type&gt;&lt;contributors&gt;&lt;authors&gt;&lt;author&gt;Deans, HA&lt;/author&gt;&lt;author&gt;Carlisle, CT&lt;/author&gt;&lt;/authors&gt;&lt;/contributors&gt;&lt;titles&gt;&lt;title&gt;Single Well Chemical Tracer Test Handbook&lt;/title&gt;&lt;secondary-title&gt;Chemical Tracers Inc., Houston, TX&lt;/secondary-title&gt;&lt;/titles&gt;&lt;periodical&gt;&lt;full-title&gt;Chemical Tracers Inc., Houston, TX&lt;/full-title&gt;&lt;/periodical&gt;&lt;dates&gt;&lt;year&gt;1988&lt;/year&gt;&lt;/dates&gt;&lt;urls&gt;&lt;/urls&gt;&lt;/record&gt;&lt;/Cite&gt;&lt;/EndNote&gt;</w:instrText>
      </w:r>
      <w:r w:rsidRPr="00FD5E90">
        <w:rPr>
          <w:lang w:bidi="en-US"/>
        </w:rPr>
        <w:fldChar w:fldCharType="separate"/>
      </w:r>
      <w:r w:rsidR="00332C11" w:rsidRPr="00332C11">
        <w:rPr>
          <w:noProof/>
          <w:vertAlign w:val="superscript"/>
          <w:lang w:bidi="en-US"/>
        </w:rPr>
        <w:t>62</w:t>
      </w:r>
      <w:r w:rsidRPr="00FD5E90">
        <w:rPr>
          <w:lang w:bidi="en-US"/>
        </w:rPr>
        <w:fldChar w:fldCharType="end"/>
      </w:r>
      <w:r w:rsidRPr="00FD5E90">
        <w:rPr>
          <w:lang w:bidi="en-US"/>
        </w:rPr>
        <w:t xml:space="preserve"> of SWCTT; 1- Partitioning/reactive tracer, usually an ester compound mixed with the reservoir brine is co-injected with the cover tracer and material balance tracer, short chain alcohols; 2- Reactive tracer injected in step 1 is pushed farther away from the wellbore to the desired depth of investigation by injecting pusher brine consisting of only material balance tracer; 3- the well is shut in for specified time during which the hydrolysis of the reactive tracer takes place. The shut-in time depends on the reservoir temperature; 4- Well is back produced and the produced water samples are collected from the well head periodically. The concentration of the tracer in produced water samples are analyzed shortly after their collection, preferably at the on-site portable laboratory using gas chromatography (GC). During the shut-in period, a portion of injected reactive tracer, ester, partitions into the oil phase and the remaining reactive tracer stays in the water phase, which hydrolyzes and form</w:t>
      </w:r>
      <w:r w:rsidR="00864C6A">
        <w:rPr>
          <w:lang w:bidi="en-US"/>
        </w:rPr>
        <w:t>s alcohol and acid. Acids are ad</w:t>
      </w:r>
      <w:r w:rsidRPr="00FD5E90">
        <w:rPr>
          <w:lang w:bidi="en-US"/>
        </w:rPr>
        <w:t>sorbed onto the reservoir rocks while the oil insoluble alcohol remains in the water phase. During pullback, the produced alco</w:t>
      </w:r>
      <w:r w:rsidR="00AD16FD">
        <w:rPr>
          <w:lang w:bidi="en-US"/>
        </w:rPr>
        <w:t>hol, which doesn’t partition in</w:t>
      </w:r>
      <w:r w:rsidRPr="00FD5E90">
        <w:rPr>
          <w:lang w:bidi="en-US"/>
        </w:rPr>
        <w:t xml:space="preserve">to </w:t>
      </w:r>
      <w:r w:rsidR="00AD16FD">
        <w:rPr>
          <w:lang w:bidi="en-US"/>
        </w:rPr>
        <w:t xml:space="preserve">the </w:t>
      </w:r>
      <w:r w:rsidRPr="00FD5E90">
        <w:rPr>
          <w:lang w:bidi="en-US"/>
        </w:rPr>
        <w:t xml:space="preserve">oil phase, arrives relatively earlier than the oil-partitioned reactive tracer. A lag between the arrival time of reactive tracer and the product alcohol is considered as the basis for Sor determination. The tracer concentration profiles plotted against barrels (bbls) of water produced gives the retardation/lag factor, β, between the product alcohol and reactive tracer. In theory, a wide separation between the peaks of product alcohol and reactive tracer indicates higher Sor in situ and vice versa. In addition, the equilibrium partitioning coefficient of the </w:t>
      </w:r>
      <w:r w:rsidRPr="00FD5E90">
        <w:rPr>
          <w:lang w:bidi="en-US"/>
        </w:rPr>
        <w:lastRenderedPageBreak/>
        <w:t xml:space="preserve">selected reactive tracer, K, which provides insight on the solubility preference of reactive tracer for a reservoir oil and brine, is also required for Sor estimation. The K value is determined in the laboratory prior to SWCTT using reservoir brine and crude oil at the reservoir temperature. </w:t>
      </w:r>
    </w:p>
    <w:p w:rsidR="00FD5E90" w:rsidRDefault="00FD5E90" w:rsidP="00FD5E90">
      <w:pPr>
        <w:jc w:val="both"/>
        <w:rPr>
          <w:lang w:bidi="en-US"/>
        </w:rPr>
      </w:pPr>
      <w:r w:rsidRPr="00FD5E90">
        <w:rPr>
          <w:lang w:bidi="en-US"/>
        </w:rPr>
        <w:t xml:space="preserve">Ideally Sor can also be estimated analytically by determining the retardation factor between ester and product alcohol </w:t>
      </w:r>
      <w:r w:rsidR="00AD16FD">
        <w:rPr>
          <w:lang w:bidi="en-US"/>
        </w:rPr>
        <w:t>on</w:t>
      </w:r>
      <w:r w:rsidRPr="00FD5E90">
        <w:rPr>
          <w:lang w:bidi="en-US"/>
        </w:rPr>
        <w:t xml:space="preserve"> the plot of tracer concentration versus produced brine. However, the real cases are seldom ideal and to overcome this limitation, numerical simulation methods are implemented</w:t>
      </w:r>
      <w:r w:rsidRPr="00FD5E90">
        <w:rPr>
          <w:lang w:bidi="en-US"/>
        </w:rPr>
        <w:fldChar w:fldCharType="begin"/>
      </w:r>
      <w:r w:rsidR="00332C11">
        <w:rPr>
          <w:lang w:bidi="en-US"/>
        </w:rPr>
        <w:instrText xml:space="preserve"> ADDIN EN.CITE &lt;EndNote&gt;&lt;Cite&gt;&lt;Author&gt;Deans&lt;/Author&gt;&lt;Year&gt;1980&lt;/Year&gt;&lt;RecNum&gt;95&lt;/RecNum&gt;&lt;DisplayText&gt;&lt;style face="superscript"&gt;64&lt;/style&gt;&lt;/DisplayText&gt;&lt;record&gt;&lt;rec-number&gt;95&lt;/rec-number&gt;&lt;foreign-keys&gt;&lt;key app="EN" db-id="a5zz9zdsp2tzdiedrdov0ztx9zwzps0patvs" timestamp="1432070719"&gt;95&lt;/key&gt;&lt;/foreign-keys&gt;&lt;ref-type name="Report"&gt;27&lt;/ref-type&gt;&lt;contributors&gt;&lt;authors&gt;&lt;author&gt;Deans, Harry A&lt;/author&gt;&lt;author&gt;Majoros, Stephen&lt;/author&gt;&lt;/authors&gt;&lt;/contributors&gt;&lt;titles&gt;&lt;title&gt;Single-well chemical tracer method for measuring residual oil saturation. Final report&lt;/title&gt;&lt;/titles&gt;&lt;dates&gt;&lt;year&gt;1980&lt;/year&gt;&lt;/dates&gt;&lt;publisher&gt;Rice Univ., Houston, TX (USA)&lt;/publisher&gt;&lt;urls&gt;&lt;/urls&gt;&lt;/record&gt;&lt;/Cite&gt;&lt;/EndNote&gt;</w:instrText>
      </w:r>
      <w:r w:rsidRPr="00FD5E90">
        <w:rPr>
          <w:lang w:bidi="en-US"/>
        </w:rPr>
        <w:fldChar w:fldCharType="separate"/>
      </w:r>
      <w:r w:rsidR="00332C11" w:rsidRPr="00332C11">
        <w:rPr>
          <w:noProof/>
          <w:vertAlign w:val="superscript"/>
          <w:lang w:bidi="en-US"/>
        </w:rPr>
        <w:t>64</w:t>
      </w:r>
      <w:r w:rsidRPr="00FD5E90">
        <w:rPr>
          <w:lang w:bidi="en-US"/>
        </w:rPr>
        <w:fldChar w:fldCharType="end"/>
      </w:r>
      <w:r w:rsidRPr="00FD5E90">
        <w:rPr>
          <w:lang w:bidi="en-US"/>
        </w:rPr>
        <w:t>. One of the main advantages of numerical simulation method over analytical method is that the simulation is capable to interpret SWCTTs results with complex multi-peaks that could be the result of reservoir heterogeneity or cross flow between layers</w:t>
      </w:r>
      <w:r w:rsidRPr="00FD5E90">
        <w:rPr>
          <w:lang w:bidi="en-US"/>
        </w:rPr>
        <w:fldChar w:fldCharType="begin"/>
      </w:r>
      <w:r w:rsidR="00332C11">
        <w:rPr>
          <w:lang w:bidi="en-US"/>
        </w:rPr>
        <w:instrText xml:space="preserve"> ADDIN EN.CITE &lt;EndNote&gt;&lt;Cite&gt;&lt;Author&gt;De Zwart&lt;/Author&gt;&lt;Year&gt;2011&lt;/Year&gt;&lt;RecNum&gt;92&lt;/RecNum&gt;&lt;DisplayText&gt;&lt;style face="superscript"&gt;65&lt;/style&gt;&lt;/DisplayText&gt;&lt;record&gt;&lt;rec-number&gt;92&lt;/rec-number&gt;&lt;foreign-keys&gt;&lt;key app="EN" db-id="a5zz9zdsp2tzdiedrdov0ztx9zwzps0patvs" timestamp="1432070234"&gt;92&lt;/key&gt;&lt;/foreign-keys&gt;&lt;ref-type name="Conference Proceedings"&gt;10&lt;/ref-type&gt;&lt;contributors&gt;&lt;authors&gt;&lt;author&gt;De Zwart, Albert Hendrik&lt;/author&gt;&lt;author&gt;van Batenburg, Diederik W&lt;/author&gt;&lt;author&gt;Stoll, Martin&lt;/author&gt;&lt;author&gt;Al-Harthi, S&lt;/author&gt;&lt;/authors&gt;&lt;/contributors&gt;&lt;titles&gt;&lt;title&gt;Numerical interpretation of single well chemical tracer tests for asp injection&lt;/title&gt;&lt;secondary-title&gt;IOR 2011&lt;/secondary-title&gt;&lt;/titles&gt;&lt;dates&gt;&lt;year&gt;2011&lt;/year&gt;&lt;/dates&gt;&lt;isbn&gt;2214-4609&lt;/isbn&gt;&lt;urls&gt;&lt;/urls&gt;&lt;/record&gt;&lt;/Cite&gt;&lt;/EndNote&gt;</w:instrText>
      </w:r>
      <w:r w:rsidRPr="00FD5E90">
        <w:rPr>
          <w:lang w:bidi="en-US"/>
        </w:rPr>
        <w:fldChar w:fldCharType="separate"/>
      </w:r>
      <w:r w:rsidR="00332C11" w:rsidRPr="00332C11">
        <w:rPr>
          <w:noProof/>
          <w:vertAlign w:val="superscript"/>
          <w:lang w:bidi="en-US"/>
        </w:rPr>
        <w:t>65</w:t>
      </w:r>
      <w:r w:rsidRPr="00FD5E90">
        <w:rPr>
          <w:lang w:bidi="en-US"/>
        </w:rPr>
        <w:fldChar w:fldCharType="end"/>
      </w:r>
      <w:r w:rsidRPr="00FD5E90">
        <w:rPr>
          <w:lang w:bidi="en-US"/>
        </w:rPr>
        <w:t>. Also simulation takes into account the effects of wellbore dead volume and ester reaction during flow</w:t>
      </w:r>
      <w:r w:rsidRPr="00FD5E90">
        <w:rPr>
          <w:lang w:bidi="en-US"/>
        </w:rPr>
        <w:fldChar w:fldCharType="begin"/>
      </w:r>
      <w:r w:rsidR="00332C11">
        <w:rPr>
          <w:lang w:bidi="en-US"/>
        </w:rPr>
        <w:instrText xml:space="preserve"> ADDIN EN.CITE &lt;EndNote&gt;&lt;Cite&gt;&lt;Author&gt;Hernandez&lt;/Author&gt;&lt;Year&gt;2002&lt;/Year&gt;&lt;RecNum&gt;91&lt;/RecNum&gt;&lt;DisplayText&gt;&lt;style face="superscript"&gt;66&lt;/style&gt;&lt;/DisplayText&gt;&lt;record&gt;&lt;rec-number&gt;91&lt;/rec-number&gt;&lt;foreign-keys&gt;&lt;key app="EN" db-id="a5zz9zdsp2tzdiedrdov0ztx9zwzps0patvs" timestamp="1432069906"&gt;91&lt;/key&gt;&lt;/foreign-keys&gt;&lt;ref-type name="Conference Proceedings"&gt;10&lt;/ref-type&gt;&lt;contributors&gt;&lt;authors&gt;&lt;author&gt;Hernandez, Clara&lt;/author&gt;&lt;author&gt;Chacon, Larry&lt;/author&gt;&lt;author&gt;Anselmi, Lorenzo&lt;/author&gt;&lt;author&gt;Angulo, Reinaldo&lt;/author&gt;&lt;author&gt;Manrique, Eduardo&lt;/author&gt;&lt;author&gt;Romero, Eucario&lt;/author&gt;&lt;author&gt;de Audemard, Nancy&lt;/author&gt;&lt;author&gt;Carlisle, Charles&lt;/author&gt;&lt;/authors&gt;&lt;/contributors&gt;&lt;titles&gt;&lt;title&gt;Single Well Chemical Tracer Test to Determine ASP Injection Efficiency at Lagomar VLA-6/9/21 Area C4 Member Lake Maracaibo Venezuela&lt;/title&gt;&lt;secondary-title&gt;SPE/DOE Improved Oil Recovery Symposium&lt;/secondary-title&gt;&lt;/titles&gt;&lt;dates&gt;&lt;year&gt;2002&lt;/year&gt;&lt;/dates&gt;&lt;publisher&gt;Society of Petroleum Engineers&lt;/publisher&gt;&lt;isbn&gt;1555639518&lt;/isbn&gt;&lt;urls&gt;&lt;/urls&gt;&lt;/record&gt;&lt;/Cite&gt;&lt;/EndNote&gt;</w:instrText>
      </w:r>
      <w:r w:rsidRPr="00FD5E90">
        <w:rPr>
          <w:lang w:bidi="en-US"/>
        </w:rPr>
        <w:fldChar w:fldCharType="separate"/>
      </w:r>
      <w:r w:rsidR="00332C11" w:rsidRPr="00332C11">
        <w:rPr>
          <w:noProof/>
          <w:vertAlign w:val="superscript"/>
          <w:lang w:bidi="en-US"/>
        </w:rPr>
        <w:t>66</w:t>
      </w:r>
      <w:r w:rsidRPr="00FD5E90">
        <w:rPr>
          <w:lang w:bidi="en-US"/>
        </w:rPr>
        <w:fldChar w:fldCharType="end"/>
      </w:r>
      <w:r w:rsidRPr="00FD5E90">
        <w:rPr>
          <w:lang w:bidi="en-US"/>
        </w:rPr>
        <w:t>. Detail</w:t>
      </w:r>
      <w:r w:rsidR="00AD16FD">
        <w:rPr>
          <w:lang w:bidi="en-US"/>
        </w:rPr>
        <w:t>ed</w:t>
      </w:r>
      <w:r w:rsidRPr="00FD5E90">
        <w:rPr>
          <w:lang w:bidi="en-US"/>
        </w:rPr>
        <w:t xml:space="preserve"> description regarding SWCTT simulation model and its approach to simulate complex tracer profiles obtained from field tests are reported in literatures</w:t>
      </w:r>
      <w:r w:rsidRPr="00FD5E90">
        <w:rPr>
          <w:lang w:bidi="en-US"/>
        </w:rPr>
        <w:fldChar w:fldCharType="begin"/>
      </w:r>
      <w:r w:rsidR="00332C11">
        <w:rPr>
          <w:lang w:bidi="en-US"/>
        </w:rPr>
        <w:instrText xml:space="preserve"> ADDIN EN.CITE &lt;EndNote&gt;&lt;Cite&gt;&lt;Author&gt;Jerauld&lt;/Author&gt;&lt;Year&gt;2010&lt;/Year&gt;&lt;RecNum&gt;93&lt;/RecNum&gt;&lt;DisplayText&gt;&lt;style face="superscript"&gt;67-68&lt;/style&gt;&lt;/DisplayText&gt;&lt;record&gt;&lt;rec-number&gt;93&lt;/rec-number&gt;&lt;foreign-keys&gt;&lt;key app="EN" db-id="a5zz9zdsp2tzdiedrdov0ztx9zwzps0patvs" timestamp="1432070341"&gt;93&lt;/key&gt;&lt;/foreign-keys&gt;&lt;ref-type name="Conference Proceedings"&gt;10&lt;/ref-type&gt;&lt;contributors&gt;&lt;authors&gt;&lt;author&gt;Jerauld, Gary&lt;/author&gt;&lt;author&gt;Mohammadi, Hourshad&lt;/author&gt;&lt;author&gt;Webb, Kevin John&lt;/author&gt;&lt;/authors&gt;&lt;/contributors&gt;&lt;titles&gt;&lt;title&gt;Interpreting single well chemical tracer tests&lt;/title&gt;&lt;secondary-title&gt;SPE Improved Oil Recovery Symposium&lt;/secondary-title&gt;&lt;/titles&gt;&lt;dates&gt;&lt;year&gt;2010&lt;/year&gt;&lt;/dates&gt;&lt;publisher&gt;Society of Petroleum Engineers&lt;/publisher&gt;&lt;isbn&gt;1555632890&lt;/isbn&gt;&lt;urls&gt;&lt;/urls&gt;&lt;/record&gt;&lt;/Cite&gt;&lt;Cite&gt;&lt;Author&gt;Seetharam&lt;/Author&gt;&lt;Year&gt;1989&lt;/Year&gt;&lt;RecNum&gt;94&lt;/RecNum&gt;&lt;record&gt;&lt;rec-number&gt;94&lt;/rec-number&gt;&lt;foreign-keys&gt;&lt;key app="EN" db-id="a5zz9zdsp2tzdiedrdov0ztx9zwzps0patvs" timestamp="1432070458"&gt;94&lt;/key&gt;&lt;/foreign-keys&gt;&lt;ref-type name="Journal Article"&gt;17&lt;/ref-type&gt;&lt;contributors&gt;&lt;authors&gt;&lt;author&gt;Seetharam, RV&lt;/author&gt;&lt;author&gt;Deans, HA&lt;/author&gt;&lt;/authors&gt;&lt;/contributors&gt;&lt;titles&gt;&lt;title&gt;CASTEM-A new automated parameter-estimation algorithm for single-well tracer tests&lt;/title&gt;&lt;secondary-title&gt;SPE reservoir engineering&lt;/secondary-title&gt;&lt;/titles&gt;&lt;periodical&gt;&lt;full-title&gt;SPE Reservoir Engineering&lt;/full-title&gt;&lt;/periodical&gt;&lt;pages&gt;35-44&lt;/pages&gt;&lt;volume&gt;4&lt;/volume&gt;&lt;number&gt;01&lt;/number&gt;&lt;dates&gt;&lt;year&gt;1989&lt;/year&gt;&lt;/dates&gt;&lt;isbn&gt;0885-9248&lt;/isbn&gt;&lt;urls&gt;&lt;/urls&gt;&lt;/record&gt;&lt;/Cite&gt;&lt;/EndNote&gt;</w:instrText>
      </w:r>
      <w:r w:rsidRPr="00FD5E90">
        <w:rPr>
          <w:lang w:bidi="en-US"/>
        </w:rPr>
        <w:fldChar w:fldCharType="separate"/>
      </w:r>
      <w:r w:rsidR="00332C11" w:rsidRPr="00332C11">
        <w:rPr>
          <w:noProof/>
          <w:vertAlign w:val="superscript"/>
          <w:lang w:bidi="en-US"/>
        </w:rPr>
        <w:t>67-68</w:t>
      </w:r>
      <w:r w:rsidRPr="00FD5E90">
        <w:rPr>
          <w:lang w:bidi="en-US"/>
        </w:rPr>
        <w:fldChar w:fldCharType="end"/>
      </w:r>
      <w:r w:rsidRPr="00FD5E90">
        <w:rPr>
          <w:lang w:bidi="en-US"/>
        </w:rPr>
        <w:t>.</w:t>
      </w:r>
    </w:p>
    <w:p w:rsidR="00FD5E90" w:rsidRDefault="00FD5E90" w:rsidP="00C47C5C">
      <w:pPr>
        <w:pStyle w:val="Heading2"/>
      </w:pPr>
      <w:bookmarkStart w:id="75" w:name="_Toc426374028"/>
      <w:r w:rsidRPr="00FD5E90">
        <w:t>Experimental</w:t>
      </w:r>
      <w:bookmarkEnd w:id="75"/>
    </w:p>
    <w:p w:rsidR="00FD5E90" w:rsidRDefault="00FD5E90" w:rsidP="00BF7BCE">
      <w:pPr>
        <w:pStyle w:val="Heading3"/>
      </w:pPr>
      <w:bookmarkStart w:id="76" w:name="_Toc426374029"/>
      <w:r>
        <w:t>Materials</w:t>
      </w:r>
      <w:bookmarkEnd w:id="76"/>
    </w:p>
    <w:p w:rsidR="00FD5E90" w:rsidRDefault="00AD16FD" w:rsidP="00FD5E90">
      <w:pPr>
        <w:jc w:val="both"/>
        <w:rPr>
          <w:lang w:bidi="en-US"/>
        </w:rPr>
      </w:pPr>
      <w:r>
        <w:rPr>
          <w:lang w:bidi="en-US"/>
        </w:rPr>
        <w:t>The e</w:t>
      </w:r>
      <w:r w:rsidR="00FD5E90" w:rsidRPr="00FD5E90">
        <w:rPr>
          <w:lang w:bidi="en-US"/>
        </w:rPr>
        <w:t>xtended surfactant, C</w:t>
      </w:r>
      <w:r w:rsidR="00FD5E90" w:rsidRPr="00FD5E90">
        <w:rPr>
          <w:vertAlign w:val="subscript"/>
          <w:lang w:bidi="en-US"/>
        </w:rPr>
        <w:t>8</w:t>
      </w:r>
      <w:r w:rsidR="00864C6A">
        <w:rPr>
          <w:lang w:bidi="en-US"/>
        </w:rPr>
        <w:t>-(P</w:t>
      </w:r>
      <w:r w:rsidR="00FD5E90" w:rsidRPr="00FD5E90">
        <w:rPr>
          <w:lang w:bidi="en-US"/>
        </w:rPr>
        <w:t>O)</w:t>
      </w:r>
      <w:r w:rsidR="00864C6A">
        <w:rPr>
          <w:vertAlign w:val="subscript"/>
          <w:lang w:bidi="en-US"/>
        </w:rPr>
        <w:t>4</w:t>
      </w:r>
      <w:r w:rsidR="00864C6A">
        <w:rPr>
          <w:lang w:bidi="en-US"/>
        </w:rPr>
        <w:t>-(E</w:t>
      </w:r>
      <w:r w:rsidR="00FD5E90" w:rsidRPr="00FD5E90">
        <w:rPr>
          <w:lang w:bidi="en-US"/>
        </w:rPr>
        <w:t>O)</w:t>
      </w:r>
      <w:r w:rsidR="00864C6A">
        <w:rPr>
          <w:vertAlign w:val="subscript"/>
          <w:lang w:bidi="en-US"/>
        </w:rPr>
        <w:t>1</w:t>
      </w:r>
      <w:r w:rsidR="00FD5E90" w:rsidRPr="00FD5E90">
        <w:rPr>
          <w:lang w:bidi="en-US"/>
        </w:rPr>
        <w:t>-SO</w:t>
      </w:r>
      <w:r w:rsidR="00FD5E90" w:rsidRPr="00FD5E90">
        <w:rPr>
          <w:vertAlign w:val="subscript"/>
          <w:lang w:bidi="en-US"/>
        </w:rPr>
        <w:t>4</w:t>
      </w:r>
      <w:r w:rsidR="00FD5E90" w:rsidRPr="00FD5E90">
        <w:rPr>
          <w:lang w:bidi="en-US"/>
        </w:rPr>
        <w:t>Na, used in this study for both lab experiments and field tests was provided by Sasol North America Inc., Lake Char</w:t>
      </w:r>
      <w:r>
        <w:rPr>
          <w:lang w:bidi="en-US"/>
        </w:rPr>
        <w:t>les, LA. SAES surfactant i.e., s</w:t>
      </w:r>
      <w:r w:rsidR="00FD5E90" w:rsidRPr="00FD5E90">
        <w:rPr>
          <w:lang w:bidi="en-US"/>
        </w:rPr>
        <w:t>odium laureth sulfate, trade name Steol</w:t>
      </w:r>
      <w:r>
        <w:rPr>
          <w:lang w:bidi="en-US"/>
        </w:rPr>
        <w:t xml:space="preserve"> Cs460, was purchased from Step</w:t>
      </w:r>
      <w:r w:rsidR="00FD5E90" w:rsidRPr="00FD5E90">
        <w:rPr>
          <w:lang w:bidi="en-US"/>
        </w:rPr>
        <w:t xml:space="preserve">an Chemical Inc. F-95 grade Ottawa sand (60-170 mesh size) used in sand </w:t>
      </w:r>
      <w:r w:rsidR="00864C6A">
        <w:rPr>
          <w:lang w:bidi="en-US"/>
        </w:rPr>
        <w:t>packed studies was purchased from</w:t>
      </w:r>
      <w:r w:rsidR="00FD5E90" w:rsidRPr="00FD5E90">
        <w:rPr>
          <w:lang w:bidi="en-US"/>
        </w:rPr>
        <w:t xml:space="preserve"> U.S. Silica and the Tracers: ethylformate (&gt;97%), methanol (&gt;97%), and n-propanol (&gt;97%) used in SWCTT tests were purchased from Univar, Oklahoma City, OK.</w:t>
      </w:r>
    </w:p>
    <w:p w:rsidR="00FD5E90" w:rsidRDefault="00FD5E90" w:rsidP="00BF7BCE">
      <w:pPr>
        <w:pStyle w:val="Heading3"/>
      </w:pPr>
      <w:bookmarkStart w:id="77" w:name="_Toc426374030"/>
      <w:r w:rsidRPr="00FD5E90">
        <w:lastRenderedPageBreak/>
        <w:t>Reservoir Information</w:t>
      </w:r>
      <w:bookmarkEnd w:id="77"/>
    </w:p>
    <w:p w:rsidR="00FD5E90" w:rsidRDefault="00864C6A" w:rsidP="00FD5E90">
      <w:pPr>
        <w:jc w:val="both"/>
        <w:rPr>
          <w:lang w:bidi="en-US"/>
        </w:rPr>
      </w:pPr>
      <w:r>
        <w:rPr>
          <w:lang w:bidi="en-US"/>
        </w:rPr>
        <w:t>The target W</w:t>
      </w:r>
      <w:r w:rsidR="00FD5E90" w:rsidRPr="00FD5E90">
        <w:rPr>
          <w:lang w:bidi="en-US"/>
        </w:rPr>
        <w:t xml:space="preserve"> site located near Guymon, Oklahoma is the oil field of interest where SWCTTs were performed. The produced reservoir brine and crude oil samples retrieved from the site were used for the lab experiments. </w:t>
      </w:r>
      <w:r w:rsidR="00C7509B">
        <w:rPr>
          <w:lang w:bidi="en-US"/>
        </w:rPr>
        <w:t xml:space="preserve">Table </w:t>
      </w:r>
      <w:r w:rsidR="00FD5E90" w:rsidRPr="00FD5E90">
        <w:rPr>
          <w:lang w:bidi="en-US"/>
        </w:rPr>
        <w:t>1</w:t>
      </w:r>
      <w:r w:rsidR="00C7509B">
        <w:rPr>
          <w:lang w:bidi="en-US"/>
        </w:rPr>
        <w:t>0</w:t>
      </w:r>
      <w:r w:rsidR="00FD5E90" w:rsidRPr="00FD5E90">
        <w:rPr>
          <w:lang w:bidi="en-US"/>
        </w:rPr>
        <w:t xml:space="preserve"> shows information on composition of the reservoir brine. Brine compositional analysis was performed by the Red River laboratory of Oklahoma City, OK.</w:t>
      </w:r>
    </w:p>
    <w:p w:rsidR="00C7509B" w:rsidRDefault="00C7509B" w:rsidP="00C7509B">
      <w:pPr>
        <w:pStyle w:val="Caption"/>
        <w:keepNext/>
        <w:jc w:val="center"/>
        <w:rPr>
          <w:b w:val="0"/>
        </w:rPr>
      </w:pPr>
      <w:bookmarkStart w:id="78" w:name="_Toc426967288"/>
      <w:r>
        <w:t xml:space="preserve">Table </w:t>
      </w:r>
      <w:r w:rsidR="001C58A2">
        <w:fldChar w:fldCharType="begin"/>
      </w:r>
      <w:r w:rsidR="001C58A2">
        <w:instrText xml:space="preserve"> SEQ Table \* ARABIC </w:instrText>
      </w:r>
      <w:r w:rsidR="001C58A2">
        <w:fldChar w:fldCharType="separate"/>
      </w:r>
      <w:r w:rsidR="003F7947">
        <w:rPr>
          <w:noProof/>
        </w:rPr>
        <w:t>10</w:t>
      </w:r>
      <w:r w:rsidR="001C58A2">
        <w:rPr>
          <w:noProof/>
        </w:rPr>
        <w:fldChar w:fldCharType="end"/>
      </w:r>
      <w:r>
        <w:t xml:space="preserve">. </w:t>
      </w:r>
      <w:r w:rsidRPr="00C7509B">
        <w:rPr>
          <w:b w:val="0"/>
        </w:rPr>
        <w:t>Formation Brine Analysis</w:t>
      </w:r>
      <w:bookmarkEnd w:id="78"/>
    </w:p>
    <w:p w:rsidR="00C7509B" w:rsidRPr="00C7509B" w:rsidRDefault="00C7509B" w:rsidP="00C7509B">
      <w:pPr>
        <w:spacing w:line="240" w:lineRule="auto"/>
      </w:pPr>
    </w:p>
    <w:tbl>
      <w:tblPr>
        <w:tblW w:w="5160" w:type="dxa"/>
        <w:tblInd w:w="1871" w:type="dxa"/>
        <w:tblCellMar>
          <w:left w:w="0" w:type="dxa"/>
          <w:right w:w="0" w:type="dxa"/>
        </w:tblCellMar>
        <w:tblLook w:val="0600" w:firstRow="0" w:lastRow="0" w:firstColumn="0" w:lastColumn="0" w:noHBand="1" w:noVBand="1"/>
      </w:tblPr>
      <w:tblGrid>
        <w:gridCol w:w="3080"/>
        <w:gridCol w:w="2080"/>
      </w:tblGrid>
      <w:tr w:rsidR="00C7509B" w:rsidRPr="00C7509B" w:rsidTr="00C7509B">
        <w:trPr>
          <w:trHeight w:val="330"/>
        </w:trPr>
        <w:tc>
          <w:tcPr>
            <w:tcW w:w="3080" w:type="dxa"/>
            <w:tcBorders>
              <w:top w:val="single" w:sz="8" w:space="0" w:color="000000"/>
              <w:left w:val="single" w:sz="8" w:space="0" w:color="000000"/>
              <w:bottom w:val="single" w:sz="8" w:space="0" w:color="000000"/>
              <w:right w:val="nil"/>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b/>
                <w:bCs/>
                <w:color w:val="000000"/>
                <w:kern w:val="24"/>
              </w:rPr>
              <w:t>Components</w:t>
            </w:r>
          </w:p>
        </w:tc>
        <w:tc>
          <w:tcPr>
            <w:tcW w:w="2080" w:type="dxa"/>
            <w:tcBorders>
              <w:top w:val="single" w:sz="8" w:space="0" w:color="000000"/>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b/>
                <w:bCs/>
                <w:color w:val="000000"/>
                <w:kern w:val="24"/>
              </w:rPr>
              <w:t>Concentration (mg/l)</w:t>
            </w:r>
          </w:p>
        </w:tc>
      </w:tr>
      <w:tr w:rsidR="00C7509B" w:rsidRPr="00C7509B" w:rsidTr="00C7509B">
        <w:trPr>
          <w:trHeight w:val="315"/>
        </w:trPr>
        <w:tc>
          <w:tcPr>
            <w:tcW w:w="3080" w:type="dxa"/>
            <w:tcBorders>
              <w:top w:val="single" w:sz="8" w:space="0" w:color="000000"/>
              <w:left w:val="single" w:sz="8" w:space="0" w:color="000000"/>
              <w:bottom w:val="nil"/>
              <w:right w:val="nil"/>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Sodium</w:t>
            </w:r>
          </w:p>
        </w:tc>
        <w:tc>
          <w:tcPr>
            <w:tcW w:w="2080" w:type="dxa"/>
            <w:tcBorders>
              <w:top w:val="single" w:sz="8" w:space="0" w:color="000000"/>
              <w:left w:val="nil"/>
              <w:bottom w:val="nil"/>
              <w:right w:val="single" w:sz="8" w:space="0" w:color="000000"/>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51675</w:t>
            </w:r>
          </w:p>
        </w:tc>
      </w:tr>
      <w:tr w:rsidR="00C7509B" w:rsidRPr="00C7509B" w:rsidTr="00C7509B">
        <w:trPr>
          <w:trHeight w:val="315"/>
        </w:trPr>
        <w:tc>
          <w:tcPr>
            <w:tcW w:w="3080" w:type="dxa"/>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Potassium</w:t>
            </w:r>
          </w:p>
        </w:tc>
        <w:tc>
          <w:tcPr>
            <w:tcW w:w="2080"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1076</w:t>
            </w:r>
          </w:p>
        </w:tc>
      </w:tr>
      <w:tr w:rsidR="00C7509B" w:rsidRPr="00C7509B" w:rsidTr="00C7509B">
        <w:trPr>
          <w:trHeight w:val="315"/>
        </w:trPr>
        <w:tc>
          <w:tcPr>
            <w:tcW w:w="3080" w:type="dxa"/>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Magnesium</w:t>
            </w:r>
          </w:p>
        </w:tc>
        <w:tc>
          <w:tcPr>
            <w:tcW w:w="2080"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2868</w:t>
            </w:r>
          </w:p>
        </w:tc>
      </w:tr>
      <w:tr w:rsidR="00C7509B" w:rsidRPr="00C7509B" w:rsidTr="00C7509B">
        <w:trPr>
          <w:trHeight w:val="315"/>
        </w:trPr>
        <w:tc>
          <w:tcPr>
            <w:tcW w:w="3080" w:type="dxa"/>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Calcium</w:t>
            </w:r>
          </w:p>
        </w:tc>
        <w:tc>
          <w:tcPr>
            <w:tcW w:w="2080"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10105</w:t>
            </w:r>
          </w:p>
        </w:tc>
      </w:tr>
      <w:tr w:rsidR="00C7509B" w:rsidRPr="00C7509B" w:rsidTr="00C7509B">
        <w:trPr>
          <w:trHeight w:val="315"/>
        </w:trPr>
        <w:tc>
          <w:tcPr>
            <w:tcW w:w="3080" w:type="dxa"/>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Iron</w:t>
            </w:r>
          </w:p>
        </w:tc>
        <w:tc>
          <w:tcPr>
            <w:tcW w:w="2080"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10</w:t>
            </w:r>
          </w:p>
        </w:tc>
      </w:tr>
      <w:tr w:rsidR="00C7509B" w:rsidRPr="00C7509B" w:rsidTr="00C7509B">
        <w:trPr>
          <w:trHeight w:val="315"/>
        </w:trPr>
        <w:tc>
          <w:tcPr>
            <w:tcW w:w="3080" w:type="dxa"/>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Sulfate</w:t>
            </w:r>
          </w:p>
        </w:tc>
        <w:tc>
          <w:tcPr>
            <w:tcW w:w="2080"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341</w:t>
            </w:r>
          </w:p>
        </w:tc>
      </w:tr>
      <w:tr w:rsidR="00C7509B" w:rsidRPr="00C7509B" w:rsidTr="00C7509B">
        <w:trPr>
          <w:trHeight w:val="315"/>
        </w:trPr>
        <w:tc>
          <w:tcPr>
            <w:tcW w:w="3080" w:type="dxa"/>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Chlorine</w:t>
            </w:r>
          </w:p>
        </w:tc>
        <w:tc>
          <w:tcPr>
            <w:tcW w:w="2080"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235634</w:t>
            </w:r>
          </w:p>
        </w:tc>
      </w:tr>
      <w:tr w:rsidR="00C7509B" w:rsidRPr="00C7509B" w:rsidTr="00C7509B">
        <w:trPr>
          <w:trHeight w:val="375"/>
        </w:trPr>
        <w:tc>
          <w:tcPr>
            <w:tcW w:w="3080" w:type="dxa"/>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Total hardness (Ca</w:t>
            </w:r>
            <w:r w:rsidRPr="00C7509B">
              <w:rPr>
                <w:rFonts w:ascii="Times New Roman" w:hAnsi="Times New Roman"/>
                <w:color w:val="000000"/>
                <w:kern w:val="24"/>
                <w:position w:val="7"/>
                <w:vertAlign w:val="superscript"/>
              </w:rPr>
              <w:t>2+</w:t>
            </w:r>
            <w:r w:rsidRPr="00C7509B">
              <w:rPr>
                <w:rFonts w:ascii="Times New Roman" w:hAnsi="Times New Roman"/>
                <w:color w:val="000000"/>
                <w:kern w:val="24"/>
              </w:rPr>
              <w:t xml:space="preserve"> and Mg</w:t>
            </w:r>
            <w:r w:rsidRPr="00C7509B">
              <w:rPr>
                <w:rFonts w:ascii="Times New Roman" w:hAnsi="Times New Roman"/>
                <w:color w:val="000000"/>
                <w:kern w:val="24"/>
                <w:position w:val="7"/>
                <w:vertAlign w:val="superscript"/>
              </w:rPr>
              <w:t>2+</w:t>
            </w:r>
            <w:r w:rsidRPr="00C7509B">
              <w:rPr>
                <w:rFonts w:ascii="Times New Roman" w:hAnsi="Times New Roman"/>
                <w:color w:val="000000"/>
                <w:kern w:val="24"/>
              </w:rPr>
              <w:t>)</w:t>
            </w:r>
          </w:p>
        </w:tc>
        <w:tc>
          <w:tcPr>
            <w:tcW w:w="2080" w:type="dxa"/>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b/>
                <w:bCs/>
                <w:color w:val="000000"/>
                <w:kern w:val="24"/>
              </w:rPr>
              <w:t>12973</w:t>
            </w:r>
          </w:p>
        </w:tc>
      </w:tr>
      <w:tr w:rsidR="00C7509B" w:rsidRPr="00C7509B" w:rsidTr="00C7509B">
        <w:trPr>
          <w:trHeight w:val="330"/>
        </w:trPr>
        <w:tc>
          <w:tcPr>
            <w:tcW w:w="308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color w:val="000000"/>
                <w:kern w:val="24"/>
              </w:rPr>
              <w:t xml:space="preserve">Total dissolved solids </w:t>
            </w:r>
          </w:p>
        </w:tc>
        <w:tc>
          <w:tcPr>
            <w:tcW w:w="20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bottom"/>
            <w:hideMark/>
          </w:tcPr>
          <w:p w:rsidR="00C7509B" w:rsidRPr="00C7509B" w:rsidRDefault="00C7509B" w:rsidP="00C7509B">
            <w:pPr>
              <w:spacing w:line="240" w:lineRule="auto"/>
              <w:jc w:val="center"/>
              <w:textAlignment w:val="bottom"/>
              <w:rPr>
                <w:rFonts w:ascii="Arial" w:hAnsi="Arial" w:cs="Arial"/>
                <w:sz w:val="36"/>
                <w:szCs w:val="36"/>
              </w:rPr>
            </w:pPr>
            <w:r w:rsidRPr="00C7509B">
              <w:rPr>
                <w:rFonts w:ascii="Times New Roman" w:hAnsi="Times New Roman"/>
                <w:b/>
                <w:bCs/>
                <w:color w:val="000000"/>
                <w:kern w:val="24"/>
              </w:rPr>
              <w:t>301710</w:t>
            </w:r>
          </w:p>
        </w:tc>
      </w:tr>
    </w:tbl>
    <w:p w:rsidR="00C7509B" w:rsidRPr="00FD5E90" w:rsidRDefault="00C7509B" w:rsidP="00FD5E90">
      <w:pPr>
        <w:jc w:val="both"/>
        <w:rPr>
          <w:lang w:bidi="en-US"/>
        </w:rPr>
      </w:pPr>
    </w:p>
    <w:p w:rsidR="00FD5E90" w:rsidRDefault="00FD5E90" w:rsidP="00FD5E90">
      <w:pPr>
        <w:jc w:val="both"/>
        <w:rPr>
          <w:lang w:bidi="en-US"/>
        </w:rPr>
      </w:pPr>
      <w:r w:rsidRPr="00FD5E90">
        <w:rPr>
          <w:lang w:bidi="en-US"/>
        </w:rPr>
        <w:t>The permeability, porosity, pay thickness, and crude oil viscosity of the War Party site are reported as 500 to 1000 mD, 15-20 %, 12 ft, and 4.5 cP at the reservoir temperature of 52°C (125 °F) respectively. The estimated wellbore dead volume is 35 bbls and the average production rate during the test is 55 bbls/day.</w:t>
      </w:r>
    </w:p>
    <w:p w:rsidR="00FD5E90" w:rsidRDefault="00FD5E90" w:rsidP="00BF7BCE">
      <w:pPr>
        <w:pStyle w:val="Heading3"/>
      </w:pPr>
      <w:bookmarkStart w:id="79" w:name="_Toc426374031"/>
      <w:r w:rsidRPr="00FD5E90">
        <w:t>Sand Pack Study</w:t>
      </w:r>
      <w:bookmarkEnd w:id="79"/>
    </w:p>
    <w:p w:rsidR="00FD5E90" w:rsidRDefault="00FD5E90" w:rsidP="00FD5E90">
      <w:pPr>
        <w:jc w:val="both"/>
        <w:rPr>
          <w:lang w:bidi="en-US"/>
        </w:rPr>
      </w:pPr>
      <w:r w:rsidRPr="00FD5E90">
        <w:rPr>
          <w:lang w:bidi="en-US"/>
        </w:rPr>
        <w:t>A glass chromatographic column that is 1 inch in diameter and 6 inches long was used for sand pack studies. The F-95 grade Ottawa sand was used as a column packing material. The detail</w:t>
      </w:r>
      <w:r w:rsidR="00616243">
        <w:rPr>
          <w:lang w:bidi="en-US"/>
        </w:rPr>
        <w:t>ed</w:t>
      </w:r>
      <w:r w:rsidRPr="00FD5E90">
        <w:rPr>
          <w:lang w:bidi="en-US"/>
        </w:rPr>
        <w:t xml:space="preserve"> information on procedures that were followed during packing sand and preparing column for a chemical flood are found elsewhere [</w:t>
      </w:r>
      <w:r w:rsidR="000B2A7C">
        <w:rPr>
          <w:lang w:bidi="en-US"/>
        </w:rPr>
        <w:t>Chapter 1</w:t>
      </w:r>
      <w:r w:rsidRPr="00FD5E90">
        <w:rPr>
          <w:lang w:bidi="en-US"/>
        </w:rPr>
        <w:t xml:space="preserve">]. The pore </w:t>
      </w:r>
      <w:r w:rsidRPr="00FD5E90">
        <w:rPr>
          <w:lang w:bidi="en-US"/>
        </w:rPr>
        <w:lastRenderedPageBreak/>
        <w:t xml:space="preserve">volume (PV), which is also known as void volume of sand pack, was calculated by conducting the salinity gradient test. The column was first saturated with 2 wt % NaCl solution followed by saturation with the reservoir brine. Effluent samples were collected for every 3 mL immediately after brine injection was initiated. The conductivity of each effluent sample was measured and the plot of normalized conductivity against volume injected was constructed. A breakthrough of any conservative chemical solution that is injected into a sand pack occurs at one PV. In accordance with this concept and from the conductivity vs. volumes injected plot, the PV of the sand packs used in this study was determined to be 29±2 ml.   </w:t>
      </w:r>
    </w:p>
    <w:p w:rsidR="00FD5E90" w:rsidRDefault="00FD5E90" w:rsidP="00BF7BCE">
      <w:pPr>
        <w:pStyle w:val="Heading3"/>
        <w:rPr>
          <w:rFonts w:eastAsia="Calibri"/>
        </w:rPr>
      </w:pPr>
      <w:bookmarkStart w:id="80" w:name="_Toc426374032"/>
      <w:r w:rsidRPr="00FD5E90">
        <w:rPr>
          <w:rFonts w:eastAsia="Calibri"/>
        </w:rPr>
        <w:t>Partitioning Coefficient and Hydrolysis Rate Constant</w:t>
      </w:r>
      <w:bookmarkEnd w:id="80"/>
    </w:p>
    <w:p w:rsidR="00FD5E90" w:rsidRPr="00FD5E90" w:rsidRDefault="00FD5E90" w:rsidP="00FD5E90">
      <w:pPr>
        <w:jc w:val="both"/>
        <w:rPr>
          <w:lang w:bidi="en-US"/>
        </w:rPr>
      </w:pPr>
      <w:r w:rsidRPr="00FD5E90">
        <w:rPr>
          <w:lang w:bidi="en-US"/>
        </w:rPr>
        <w:t>The partitioning/reactive tracer coefficient, K, measurement was carried out by preparing four sample replicates; each containing equal volumes, 10 mL each of filtered brine and oil. The reactive tracer concentration in brine was 10,000 ppm. All samples were placed in the shaker that was set to 350 rpm and were shaken for at least an hour. Next, the samples were placed inside oven (52°C) to equilibrate. After 1 hour, in every 30</w:t>
      </w:r>
      <w:r w:rsidR="00864C6A">
        <w:rPr>
          <w:rFonts w:cstheme="minorHAnsi"/>
          <w:lang w:bidi="en-US"/>
        </w:rPr>
        <w:t>±</w:t>
      </w:r>
      <w:r w:rsidR="00864C6A">
        <w:rPr>
          <w:lang w:bidi="en-US"/>
        </w:rPr>
        <w:t>5</w:t>
      </w:r>
      <w:r w:rsidRPr="00FD5E90">
        <w:rPr>
          <w:lang w:bidi="en-US"/>
        </w:rPr>
        <w:t xml:space="preserve"> minutes, aqueous phase samples were collected from the bottom of the vials and the reactive tracer concentration of each sampl</w:t>
      </w:r>
      <w:r w:rsidR="00864C6A">
        <w:rPr>
          <w:lang w:bidi="en-US"/>
        </w:rPr>
        <w:t>e was determined using gas c</w:t>
      </w:r>
      <w:r w:rsidRPr="00FD5E90">
        <w:rPr>
          <w:lang w:bidi="en-US"/>
        </w:rPr>
        <w:t xml:space="preserve">hromatography (GC). The equilibrium partition coefficient K was calculated from the ratio of reactive tracer concentration in oil to the concentration in water. </w:t>
      </w:r>
    </w:p>
    <w:p w:rsidR="00FD5E90" w:rsidRPr="00FD5E90" w:rsidRDefault="00FD5E90" w:rsidP="00FD5E90">
      <w:pPr>
        <w:jc w:val="both"/>
        <w:rPr>
          <w:lang w:bidi="en-US"/>
        </w:rPr>
      </w:pPr>
      <w:r w:rsidRPr="00FD5E90">
        <w:rPr>
          <w:lang w:bidi="en-US"/>
        </w:rPr>
        <w:t>The hydrolysis rate constant of reactive tracer to form alcohol is strictly dependent on reservoir temperature and is typically assumed to follow the pseudo-first order reaction</w:t>
      </w:r>
      <w:r w:rsidRPr="00FD5E90">
        <w:rPr>
          <w:lang w:bidi="en-US"/>
        </w:rPr>
        <w:fldChar w:fldCharType="begin"/>
      </w:r>
      <w:r w:rsidR="00332C11">
        <w:rPr>
          <w:lang w:bidi="en-US"/>
        </w:rPr>
        <w:instrText xml:space="preserve"> ADDIN EN.CITE &lt;EndNote&gt;&lt;Cite&gt;&lt;Author&gt;Jerauld&lt;/Author&gt;&lt;Year&gt;2010&lt;/Year&gt;&lt;RecNum&gt;93&lt;/RecNum&gt;&lt;DisplayText&gt;&lt;style face="superscript"&gt;67&lt;/style&gt;&lt;/DisplayText&gt;&lt;record&gt;&lt;rec-number&gt;93&lt;/rec-number&gt;&lt;foreign-keys&gt;&lt;key app="EN" db-id="a5zz9zdsp2tzdiedrdov0ztx9zwzps0patvs" timestamp="1432070341"&gt;93&lt;/key&gt;&lt;/foreign-keys&gt;&lt;ref-type name="Conference Proceedings"&gt;10&lt;/ref-type&gt;&lt;contributors&gt;&lt;authors&gt;&lt;author&gt;Jerauld, Gary&lt;/author&gt;&lt;author&gt;Mohammadi, Hourshad&lt;/author&gt;&lt;author&gt;Webb, Kevin John&lt;/author&gt;&lt;/authors&gt;&lt;/contributors&gt;&lt;titles&gt;&lt;title&gt;Interpreting single well chemical tracer tests&lt;/title&gt;&lt;secondary-title&gt;SPE Improved Oil Recovery Symposium&lt;/secondary-title&gt;&lt;/titles&gt;&lt;dates&gt;&lt;year&gt;2010&lt;/year&gt;&lt;/dates&gt;&lt;publisher&gt;Society of Petroleum Engineers&lt;/publisher&gt;&lt;isbn&gt;1555632890&lt;/isbn&gt;&lt;urls&gt;&lt;/urls&gt;&lt;/record&gt;&lt;/Cite&gt;&lt;/EndNote&gt;</w:instrText>
      </w:r>
      <w:r w:rsidRPr="00FD5E90">
        <w:rPr>
          <w:lang w:bidi="en-US"/>
        </w:rPr>
        <w:fldChar w:fldCharType="separate"/>
      </w:r>
      <w:r w:rsidR="00332C11" w:rsidRPr="00332C11">
        <w:rPr>
          <w:noProof/>
          <w:vertAlign w:val="superscript"/>
          <w:lang w:bidi="en-US"/>
        </w:rPr>
        <w:t>67</w:t>
      </w:r>
      <w:r w:rsidRPr="00FD5E90">
        <w:rPr>
          <w:lang w:bidi="en-US"/>
        </w:rPr>
        <w:fldChar w:fldCharType="end"/>
      </w:r>
      <w:r w:rsidRPr="00FD5E90">
        <w:rPr>
          <w:lang w:bidi="en-US"/>
        </w:rPr>
        <w:t xml:space="preserve">. Sample preparation and analysis technique to determine hydrolysis rate constant of </w:t>
      </w:r>
      <w:r w:rsidRPr="00FD5E90">
        <w:rPr>
          <w:lang w:bidi="en-US"/>
        </w:rPr>
        <w:lastRenderedPageBreak/>
        <w:t xml:space="preserve">reactive tracer were similar to that of partitioning coefficient determination. The first order reaction is: </w:t>
      </w:r>
    </w:p>
    <w:p w:rsidR="00FD5E90" w:rsidRPr="00FD5E90" w:rsidRDefault="00FD5E90" w:rsidP="00FD5E90">
      <w:pPr>
        <w:jc w:val="both"/>
        <w:rPr>
          <w:lang w:bidi="en-US"/>
        </w:rPr>
      </w:pPr>
      <m:oMath>
        <m:r>
          <m:rPr>
            <m:sty m:val="p"/>
          </m:rPr>
          <w:rPr>
            <w:rFonts w:ascii="Cambria Math" w:hAnsi="Cambria Math"/>
            <w:lang w:bidi="en-US"/>
          </w:rPr>
          <m:t>ln⁡</m:t>
        </m:r>
        <m:r>
          <w:rPr>
            <w:rFonts w:ascii="Cambria Math" w:hAnsi="Cambria Math"/>
            <w:lang w:bidi="en-US"/>
          </w:rPr>
          <m:t>[</m:t>
        </m:r>
        <m:sSub>
          <m:sSubPr>
            <m:ctrlPr>
              <w:rPr>
                <w:rFonts w:ascii="Cambria Math" w:hAnsi="Cambria Math"/>
                <w:i/>
                <w:lang w:bidi="en-US"/>
              </w:rPr>
            </m:ctrlPr>
          </m:sSubPr>
          <m:e>
            <m:r>
              <w:rPr>
                <w:rFonts w:ascii="Cambria Math" w:hAnsi="Cambria Math"/>
                <w:lang w:bidi="en-US"/>
              </w:rPr>
              <m:t>A]</m:t>
            </m:r>
          </m:e>
          <m:sub>
            <m:r>
              <w:rPr>
                <w:rFonts w:ascii="Cambria Math" w:hAnsi="Cambria Math"/>
                <w:lang w:bidi="en-US"/>
              </w:rPr>
              <m:t>t</m:t>
            </m:r>
          </m:sub>
        </m:sSub>
        <m:r>
          <w:rPr>
            <w:rFonts w:ascii="Cambria Math" w:hAnsi="Cambria Math"/>
            <w:lang w:bidi="en-US"/>
          </w:rPr>
          <m:t>= -kt+</m:t>
        </m:r>
        <m:r>
          <m:rPr>
            <m:sty m:val="p"/>
          </m:rPr>
          <w:rPr>
            <w:rFonts w:ascii="Cambria Math" w:hAnsi="Cambria Math"/>
            <w:lang w:bidi="en-US"/>
          </w:rPr>
          <m:t>ln⁡</m:t>
        </m:r>
        <m:r>
          <w:rPr>
            <w:rFonts w:ascii="Cambria Math" w:hAnsi="Cambria Math"/>
            <w:lang w:bidi="en-US"/>
          </w:rPr>
          <m:t>[</m:t>
        </m:r>
        <m:sSub>
          <m:sSubPr>
            <m:ctrlPr>
              <w:rPr>
                <w:rFonts w:ascii="Cambria Math" w:hAnsi="Cambria Math"/>
                <w:i/>
                <w:lang w:bidi="en-US"/>
              </w:rPr>
            </m:ctrlPr>
          </m:sSubPr>
          <m:e>
            <m:r>
              <w:rPr>
                <w:rFonts w:ascii="Cambria Math" w:hAnsi="Cambria Math"/>
                <w:lang w:bidi="en-US"/>
              </w:rPr>
              <m:t>A]</m:t>
            </m:r>
          </m:e>
          <m:sub>
            <m:r>
              <w:rPr>
                <w:rFonts w:ascii="Cambria Math" w:hAnsi="Cambria Math"/>
                <w:lang w:bidi="en-US"/>
              </w:rPr>
              <m:t>0</m:t>
            </m:r>
          </m:sub>
        </m:sSub>
      </m:oMath>
      <w:r w:rsidRPr="00FD5E90">
        <w:rPr>
          <w:lang w:bidi="en-US"/>
        </w:rPr>
        <w:tab/>
      </w:r>
      <w:r w:rsidRPr="00FD5E90">
        <w:rPr>
          <w:lang w:bidi="en-US"/>
        </w:rPr>
        <w:tab/>
      </w:r>
      <w:r w:rsidRPr="00FD5E90">
        <w:rPr>
          <w:lang w:bidi="en-US"/>
        </w:rPr>
        <w:tab/>
        <w:t>Equation (1)</w:t>
      </w:r>
    </w:p>
    <w:p w:rsidR="00FD5E90" w:rsidRPr="00FD5E90" w:rsidRDefault="00FD5E90" w:rsidP="00FD5E90">
      <w:pPr>
        <w:jc w:val="both"/>
        <w:rPr>
          <w:lang w:bidi="en-US"/>
        </w:rPr>
      </w:pPr>
      <w:r w:rsidRPr="00FD5E90">
        <w:rPr>
          <w:lang w:bidi="en-US"/>
        </w:rPr>
        <w:t>Where [A]</w:t>
      </w:r>
      <w:r w:rsidRPr="00FD5E90">
        <w:rPr>
          <w:vertAlign w:val="subscript"/>
          <w:lang w:bidi="en-US"/>
        </w:rPr>
        <w:t>t</w:t>
      </w:r>
      <w:r w:rsidRPr="00FD5E90">
        <w:rPr>
          <w:lang w:bidi="en-US"/>
        </w:rPr>
        <w:t xml:space="preserve"> is the concentration of tracer at time t, [A]</w:t>
      </w:r>
      <w:r w:rsidRPr="00FD5E90">
        <w:rPr>
          <w:vertAlign w:val="subscript"/>
          <w:lang w:bidi="en-US"/>
        </w:rPr>
        <w:t>o</w:t>
      </w:r>
      <w:r w:rsidRPr="00FD5E90">
        <w:rPr>
          <w:lang w:bidi="en-US"/>
        </w:rPr>
        <w:t xml:space="preserve"> is the initial </w:t>
      </w:r>
      <w:r w:rsidR="00616243">
        <w:rPr>
          <w:lang w:bidi="en-US"/>
        </w:rPr>
        <w:t xml:space="preserve">known </w:t>
      </w:r>
      <w:r w:rsidRPr="00FD5E90">
        <w:rPr>
          <w:lang w:bidi="en-US"/>
        </w:rPr>
        <w:t>concentration of tracer, and k is the rate constant which is the slope of “ln[A]</w:t>
      </w:r>
      <w:r w:rsidRPr="00FD5E90">
        <w:rPr>
          <w:vertAlign w:val="subscript"/>
          <w:lang w:bidi="en-US"/>
        </w:rPr>
        <w:t>t</w:t>
      </w:r>
      <w:r w:rsidRPr="00FD5E90">
        <w:rPr>
          <w:lang w:bidi="en-US"/>
        </w:rPr>
        <w:t xml:space="preserve"> versus t” plot. </w:t>
      </w:r>
    </w:p>
    <w:p w:rsidR="00FD5E90" w:rsidRPr="00FD5E90" w:rsidRDefault="00C7509B" w:rsidP="00BF7BCE">
      <w:pPr>
        <w:pStyle w:val="Heading3"/>
      </w:pPr>
      <w:bookmarkStart w:id="81" w:name="_Toc426374033"/>
      <w:r w:rsidRPr="00C7509B">
        <w:t>SWCTT Field Operation</w:t>
      </w:r>
      <w:bookmarkEnd w:id="81"/>
    </w:p>
    <w:p w:rsidR="00C7509B" w:rsidRDefault="00C7509B" w:rsidP="00C7509B">
      <w:pPr>
        <w:jc w:val="both"/>
        <w:rPr>
          <w:lang w:bidi="en-US"/>
        </w:rPr>
      </w:pPr>
      <w:r w:rsidRPr="00C7509B">
        <w:rPr>
          <w:lang w:bidi="en-US"/>
        </w:rPr>
        <w:t>SWCTT field operations were designed based on target volume or PV, approximate</w:t>
      </w:r>
      <w:r w:rsidR="00616243">
        <w:rPr>
          <w:lang w:bidi="en-US"/>
        </w:rPr>
        <w:t>ly</w:t>
      </w:r>
      <w:r w:rsidRPr="00C7509B">
        <w:rPr>
          <w:lang w:bidi="en-US"/>
        </w:rPr>
        <w:t xml:space="preserve"> 85 bbls, of the investigation region that was characterized with radius distance of 9 feet from the well bore, pay zone thickness of 12 feet, and a</w:t>
      </w:r>
      <w:r w:rsidR="000B2A7C">
        <w:rPr>
          <w:lang w:bidi="en-US"/>
        </w:rPr>
        <w:t>ssumed porosity of 20 %. Table 11</w:t>
      </w:r>
      <w:r w:rsidRPr="00C7509B">
        <w:rPr>
          <w:lang w:bidi="en-US"/>
        </w:rPr>
        <w:t xml:space="preserve"> summarizes the details of field operational steps. </w:t>
      </w:r>
    </w:p>
    <w:p w:rsidR="00C7509B" w:rsidRPr="00C7509B" w:rsidRDefault="00C7509B" w:rsidP="00C7509B">
      <w:pPr>
        <w:pStyle w:val="Caption"/>
        <w:keepNext/>
        <w:spacing w:line="480" w:lineRule="auto"/>
        <w:ind w:right="216"/>
        <w:jc w:val="right"/>
        <w:rPr>
          <w:b w:val="0"/>
        </w:rPr>
      </w:pPr>
      <w:bookmarkStart w:id="82" w:name="_Toc426967289"/>
      <w:r>
        <w:t xml:space="preserve">Table </w:t>
      </w:r>
      <w:r w:rsidR="001C58A2">
        <w:fldChar w:fldCharType="begin"/>
      </w:r>
      <w:r w:rsidR="001C58A2">
        <w:instrText xml:space="preserve"> SEQ Table \* ARABIC </w:instrText>
      </w:r>
      <w:r w:rsidR="001C58A2">
        <w:fldChar w:fldCharType="separate"/>
      </w:r>
      <w:r w:rsidR="003F7947">
        <w:rPr>
          <w:noProof/>
        </w:rPr>
        <w:t>11</w:t>
      </w:r>
      <w:r w:rsidR="001C58A2">
        <w:rPr>
          <w:noProof/>
        </w:rPr>
        <w:fldChar w:fldCharType="end"/>
      </w:r>
      <w:r>
        <w:t xml:space="preserve">. </w:t>
      </w:r>
      <w:r w:rsidRPr="00C7509B">
        <w:rPr>
          <w:b w:val="0"/>
        </w:rPr>
        <w:t>Field operational steps and amount of chemicals injected, 1 PV = 85 bbls</w:t>
      </w:r>
      <w:bookmarkEnd w:id="82"/>
    </w:p>
    <w:tbl>
      <w:tblPr>
        <w:tblW w:w="5000" w:type="pct"/>
        <w:tblCellMar>
          <w:left w:w="0" w:type="dxa"/>
          <w:right w:w="0" w:type="dxa"/>
        </w:tblCellMar>
        <w:tblLook w:val="0600" w:firstRow="0" w:lastRow="0" w:firstColumn="0" w:lastColumn="0" w:noHBand="1" w:noVBand="1"/>
      </w:tblPr>
      <w:tblGrid>
        <w:gridCol w:w="2249"/>
        <w:gridCol w:w="1704"/>
        <w:gridCol w:w="1858"/>
        <w:gridCol w:w="2665"/>
      </w:tblGrid>
      <w:tr w:rsidR="00C7509B" w:rsidRPr="00C7509B" w:rsidTr="00C7509B">
        <w:trPr>
          <w:trHeight w:val="315"/>
        </w:trPr>
        <w:tc>
          <w:tcPr>
            <w:tcW w:w="2332"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jc w:val="center"/>
              <w:textAlignment w:val="center"/>
              <w:rPr>
                <w:rFonts w:ascii="Arial" w:hAnsi="Arial" w:cs="Arial"/>
                <w:sz w:val="36"/>
                <w:szCs w:val="36"/>
              </w:rPr>
            </w:pPr>
            <w:r w:rsidRPr="00C7509B">
              <w:rPr>
                <w:rFonts w:ascii="Times New Roman" w:hAnsi="Times New Roman"/>
                <w:color w:val="000000"/>
                <w:kern w:val="24"/>
                <w:sz w:val="20"/>
                <w:szCs w:val="20"/>
              </w:rPr>
              <w:t> </w:t>
            </w:r>
          </w:p>
        </w:tc>
        <w:tc>
          <w:tcPr>
            <w:tcW w:w="2668"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jc w:val="center"/>
              <w:textAlignment w:val="center"/>
              <w:rPr>
                <w:rFonts w:ascii="Arial" w:hAnsi="Arial" w:cs="Arial"/>
                <w:sz w:val="36"/>
                <w:szCs w:val="36"/>
              </w:rPr>
            </w:pPr>
            <w:r>
              <w:rPr>
                <w:rFonts w:ascii="Times New Roman" w:hAnsi="Times New Roman"/>
                <w:b/>
                <w:bCs/>
                <w:color w:val="000000"/>
                <w:kern w:val="24"/>
                <w:sz w:val="21"/>
                <w:szCs w:val="21"/>
              </w:rPr>
              <w:t>W Site</w:t>
            </w:r>
          </w:p>
        </w:tc>
      </w:tr>
      <w:tr w:rsidR="00C7509B" w:rsidRPr="00C7509B" w:rsidTr="00697AF7">
        <w:trPr>
          <w:trHeight w:val="460"/>
        </w:trPr>
        <w:tc>
          <w:tcPr>
            <w:tcW w:w="2332"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b/>
                <w:bCs/>
                <w:color w:val="000000"/>
                <w:kern w:val="24"/>
                <w:sz w:val="21"/>
                <w:szCs w:val="21"/>
              </w:rPr>
              <w:t>Step</w:t>
            </w:r>
          </w:p>
        </w:tc>
        <w:tc>
          <w:tcPr>
            <w:tcW w:w="1096"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b/>
                <w:bCs/>
                <w:color w:val="000000"/>
                <w:kern w:val="24"/>
                <w:sz w:val="21"/>
                <w:szCs w:val="21"/>
              </w:rPr>
              <w:t>Injected fluid</w:t>
            </w:r>
          </w:p>
        </w:tc>
        <w:tc>
          <w:tcPr>
            <w:tcW w:w="1572"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b/>
                <w:bCs/>
                <w:color w:val="000000"/>
                <w:kern w:val="24"/>
                <w:sz w:val="21"/>
                <w:szCs w:val="21"/>
              </w:rPr>
              <w:t>Chemicals</w:t>
            </w:r>
          </w:p>
        </w:tc>
      </w:tr>
      <w:tr w:rsidR="00C7509B" w:rsidRPr="00C7509B" w:rsidTr="00697AF7">
        <w:trPr>
          <w:trHeight w:val="442"/>
        </w:trPr>
        <w:tc>
          <w:tcPr>
            <w:tcW w:w="2332"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b/>
                <w:bCs/>
                <w:color w:val="000000"/>
                <w:kern w:val="24"/>
                <w:sz w:val="20"/>
                <w:szCs w:val="20"/>
              </w:rPr>
              <w:t>Water Flooding</w:t>
            </w:r>
          </w:p>
        </w:tc>
        <w:tc>
          <w:tcPr>
            <w:tcW w:w="1096"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0"/>
                <w:szCs w:val="20"/>
              </w:rPr>
              <w:t>Brine 6 PV</w:t>
            </w:r>
          </w:p>
        </w:tc>
        <w:tc>
          <w:tcPr>
            <w:tcW w:w="1572"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0"/>
                <w:szCs w:val="20"/>
              </w:rPr>
              <w:t> </w:t>
            </w:r>
          </w:p>
        </w:tc>
      </w:tr>
      <w:tr w:rsidR="00C7509B" w:rsidRPr="00C7509B" w:rsidTr="00C7509B">
        <w:trPr>
          <w:trHeight w:val="300"/>
        </w:trPr>
        <w:tc>
          <w:tcPr>
            <w:tcW w:w="1327"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b/>
                <w:bCs/>
                <w:color w:val="000000"/>
                <w:kern w:val="24"/>
                <w:sz w:val="20"/>
                <w:szCs w:val="20"/>
              </w:rPr>
              <w:t>SWCTT</w:t>
            </w:r>
          </w:p>
        </w:tc>
        <w:tc>
          <w:tcPr>
            <w:tcW w:w="1005"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Reacting tracer</w:t>
            </w:r>
          </w:p>
        </w:tc>
        <w:tc>
          <w:tcPr>
            <w:tcW w:w="1096"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0.28 PV</w:t>
            </w:r>
          </w:p>
        </w:tc>
        <w:tc>
          <w:tcPr>
            <w:tcW w:w="1572" w:type="pct"/>
            <w:tcBorders>
              <w:top w:val="single" w:sz="8" w:space="0" w:color="000000"/>
              <w:left w:val="single" w:sz="8" w:space="0" w:color="000000"/>
              <w:bottom w:val="nil"/>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EthylFormate 10,000 ppm</w:t>
            </w:r>
          </w:p>
        </w:tc>
      </w:tr>
      <w:tr w:rsidR="00C7509B" w:rsidRPr="00C7509B" w:rsidTr="00C7509B">
        <w:trPr>
          <w:trHeight w:val="300"/>
        </w:trPr>
        <w:tc>
          <w:tcPr>
            <w:tcW w:w="1327"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05"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96"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572" w:type="pct"/>
            <w:tcBorders>
              <w:top w:val="nil"/>
              <w:left w:val="single" w:sz="8" w:space="0" w:color="000000"/>
              <w:bottom w:val="nil"/>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Methanol 5,000 ppm</w:t>
            </w:r>
          </w:p>
        </w:tc>
      </w:tr>
      <w:tr w:rsidR="00C7509B" w:rsidRPr="00C7509B" w:rsidTr="00C7509B">
        <w:trPr>
          <w:trHeight w:val="315"/>
        </w:trPr>
        <w:tc>
          <w:tcPr>
            <w:tcW w:w="1327"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05"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96"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572" w:type="pc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n-propanol 5, 000 ppm</w:t>
            </w:r>
          </w:p>
        </w:tc>
      </w:tr>
      <w:tr w:rsidR="00C7509B" w:rsidRPr="00C7509B" w:rsidTr="00C7509B">
        <w:trPr>
          <w:trHeight w:val="315"/>
        </w:trPr>
        <w:tc>
          <w:tcPr>
            <w:tcW w:w="1327"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05"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Pusher</w:t>
            </w:r>
          </w:p>
        </w:tc>
        <w:tc>
          <w:tcPr>
            <w:tcW w:w="1096"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1.13 PV</w:t>
            </w:r>
          </w:p>
        </w:tc>
        <w:tc>
          <w:tcPr>
            <w:tcW w:w="1572"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Methanol 5,000 ppm</w:t>
            </w:r>
          </w:p>
        </w:tc>
      </w:tr>
      <w:tr w:rsidR="00C7509B" w:rsidRPr="00C7509B" w:rsidTr="00C7509B">
        <w:trPr>
          <w:trHeight w:val="315"/>
        </w:trPr>
        <w:tc>
          <w:tcPr>
            <w:tcW w:w="1327"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05"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Shut in</w:t>
            </w:r>
          </w:p>
        </w:tc>
        <w:tc>
          <w:tcPr>
            <w:tcW w:w="1096"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18 hrs</w:t>
            </w:r>
          </w:p>
        </w:tc>
        <w:tc>
          <w:tcPr>
            <w:tcW w:w="1572"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 </w:t>
            </w:r>
          </w:p>
        </w:tc>
      </w:tr>
      <w:tr w:rsidR="00C7509B" w:rsidRPr="00C7509B" w:rsidTr="00C7509B">
        <w:trPr>
          <w:trHeight w:val="315"/>
        </w:trPr>
        <w:tc>
          <w:tcPr>
            <w:tcW w:w="1327"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05"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Pull-back</w:t>
            </w:r>
          </w:p>
        </w:tc>
        <w:tc>
          <w:tcPr>
            <w:tcW w:w="1096"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1.6 PV</w:t>
            </w:r>
          </w:p>
        </w:tc>
        <w:tc>
          <w:tcPr>
            <w:tcW w:w="1572"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 </w:t>
            </w:r>
          </w:p>
        </w:tc>
      </w:tr>
      <w:tr w:rsidR="00C7509B" w:rsidRPr="00C7509B" w:rsidTr="00C7509B">
        <w:trPr>
          <w:trHeight w:val="383"/>
        </w:trPr>
        <w:tc>
          <w:tcPr>
            <w:tcW w:w="2332"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b/>
                <w:bCs/>
                <w:color w:val="000000"/>
                <w:kern w:val="24"/>
                <w:sz w:val="21"/>
                <w:szCs w:val="21"/>
              </w:rPr>
              <w:t>Surfactant only Flooding</w:t>
            </w:r>
          </w:p>
        </w:tc>
        <w:tc>
          <w:tcPr>
            <w:tcW w:w="1096"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0.5 PV, 0.5 wt %</w:t>
            </w:r>
          </w:p>
        </w:tc>
        <w:tc>
          <w:tcPr>
            <w:tcW w:w="1572"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 </w:t>
            </w:r>
          </w:p>
        </w:tc>
      </w:tr>
      <w:tr w:rsidR="00C7509B" w:rsidRPr="00C7509B" w:rsidTr="00C7509B">
        <w:trPr>
          <w:trHeight w:val="315"/>
        </w:trPr>
        <w:tc>
          <w:tcPr>
            <w:tcW w:w="2332" w:type="pct"/>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b/>
                <w:bCs/>
                <w:color w:val="000000"/>
                <w:kern w:val="24"/>
                <w:sz w:val="21"/>
                <w:szCs w:val="21"/>
              </w:rPr>
              <w:t>Water Flooding</w:t>
            </w:r>
          </w:p>
        </w:tc>
        <w:tc>
          <w:tcPr>
            <w:tcW w:w="1096"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4. 3 PV</w:t>
            </w:r>
          </w:p>
        </w:tc>
        <w:tc>
          <w:tcPr>
            <w:tcW w:w="1572"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 </w:t>
            </w:r>
          </w:p>
        </w:tc>
      </w:tr>
      <w:tr w:rsidR="00C7509B" w:rsidRPr="00C7509B" w:rsidTr="00C7509B">
        <w:trPr>
          <w:trHeight w:val="300"/>
        </w:trPr>
        <w:tc>
          <w:tcPr>
            <w:tcW w:w="1327"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b/>
                <w:bCs/>
                <w:color w:val="000000"/>
                <w:kern w:val="24"/>
                <w:sz w:val="20"/>
                <w:szCs w:val="20"/>
              </w:rPr>
              <w:t>SWCTT</w:t>
            </w:r>
          </w:p>
        </w:tc>
        <w:tc>
          <w:tcPr>
            <w:tcW w:w="1005"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Reacting tracer</w:t>
            </w:r>
          </w:p>
        </w:tc>
        <w:tc>
          <w:tcPr>
            <w:tcW w:w="1096"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0.28 PV</w:t>
            </w:r>
          </w:p>
        </w:tc>
        <w:tc>
          <w:tcPr>
            <w:tcW w:w="1572" w:type="pct"/>
            <w:tcBorders>
              <w:top w:val="single" w:sz="8" w:space="0" w:color="000000"/>
              <w:left w:val="single" w:sz="8" w:space="0" w:color="000000"/>
              <w:bottom w:val="nil"/>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EthylFormate 10,000 ppm</w:t>
            </w:r>
          </w:p>
        </w:tc>
      </w:tr>
      <w:tr w:rsidR="00C7509B" w:rsidRPr="00C7509B" w:rsidTr="00C7509B">
        <w:trPr>
          <w:trHeight w:val="300"/>
        </w:trPr>
        <w:tc>
          <w:tcPr>
            <w:tcW w:w="1327"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05"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96"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572" w:type="pct"/>
            <w:tcBorders>
              <w:top w:val="nil"/>
              <w:left w:val="single" w:sz="8" w:space="0" w:color="000000"/>
              <w:bottom w:val="nil"/>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Methanol 5,000 ppm</w:t>
            </w:r>
          </w:p>
        </w:tc>
      </w:tr>
      <w:tr w:rsidR="00C7509B" w:rsidRPr="00C7509B" w:rsidTr="00C7509B">
        <w:trPr>
          <w:trHeight w:val="315"/>
        </w:trPr>
        <w:tc>
          <w:tcPr>
            <w:tcW w:w="1327"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05"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96"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572" w:type="pc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n-propanol 5, 000 ppm</w:t>
            </w:r>
          </w:p>
        </w:tc>
      </w:tr>
      <w:tr w:rsidR="00C7509B" w:rsidRPr="00C7509B" w:rsidTr="00C7509B">
        <w:trPr>
          <w:trHeight w:val="315"/>
        </w:trPr>
        <w:tc>
          <w:tcPr>
            <w:tcW w:w="1327"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05"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Pusher</w:t>
            </w:r>
          </w:p>
        </w:tc>
        <w:tc>
          <w:tcPr>
            <w:tcW w:w="1096"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1.13 PV</w:t>
            </w:r>
          </w:p>
        </w:tc>
        <w:tc>
          <w:tcPr>
            <w:tcW w:w="1572"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Methanol 5,000 ppm</w:t>
            </w:r>
          </w:p>
        </w:tc>
      </w:tr>
      <w:tr w:rsidR="00C7509B" w:rsidRPr="00C7509B" w:rsidTr="00C7509B">
        <w:trPr>
          <w:trHeight w:val="315"/>
        </w:trPr>
        <w:tc>
          <w:tcPr>
            <w:tcW w:w="1327"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05"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Shut in</w:t>
            </w:r>
          </w:p>
        </w:tc>
        <w:tc>
          <w:tcPr>
            <w:tcW w:w="1096"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18 hrs</w:t>
            </w:r>
          </w:p>
        </w:tc>
        <w:tc>
          <w:tcPr>
            <w:tcW w:w="1572"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 </w:t>
            </w:r>
          </w:p>
        </w:tc>
      </w:tr>
      <w:tr w:rsidR="00C7509B" w:rsidRPr="00C7509B" w:rsidTr="00C7509B">
        <w:trPr>
          <w:trHeight w:val="315"/>
        </w:trPr>
        <w:tc>
          <w:tcPr>
            <w:tcW w:w="1327" w:type="pct"/>
            <w:vMerge/>
            <w:tcBorders>
              <w:top w:val="single" w:sz="8" w:space="0" w:color="000000"/>
              <w:left w:val="single" w:sz="8" w:space="0" w:color="000000"/>
              <w:bottom w:val="single" w:sz="8" w:space="0" w:color="000000"/>
              <w:right w:val="single" w:sz="8" w:space="0" w:color="000000"/>
            </w:tcBorders>
            <w:vAlign w:val="center"/>
            <w:hideMark/>
          </w:tcPr>
          <w:p w:rsidR="00C7509B" w:rsidRPr="00C7509B" w:rsidRDefault="00C7509B" w:rsidP="00C7509B">
            <w:pPr>
              <w:spacing w:line="240" w:lineRule="auto"/>
              <w:rPr>
                <w:rFonts w:ascii="Arial" w:hAnsi="Arial" w:cs="Arial"/>
                <w:sz w:val="36"/>
                <w:szCs w:val="36"/>
              </w:rPr>
            </w:pPr>
          </w:p>
        </w:tc>
        <w:tc>
          <w:tcPr>
            <w:tcW w:w="1005"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Pull-back</w:t>
            </w:r>
          </w:p>
        </w:tc>
        <w:tc>
          <w:tcPr>
            <w:tcW w:w="1096"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2 PV</w:t>
            </w:r>
          </w:p>
        </w:tc>
        <w:tc>
          <w:tcPr>
            <w:tcW w:w="1572" w:type="pct"/>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7509B" w:rsidRPr="00C7509B" w:rsidRDefault="00C7509B" w:rsidP="00C7509B">
            <w:pPr>
              <w:spacing w:line="240" w:lineRule="auto"/>
              <w:jc w:val="center"/>
              <w:textAlignment w:val="center"/>
              <w:rPr>
                <w:rFonts w:ascii="Arial" w:hAnsi="Arial" w:cs="Arial"/>
                <w:sz w:val="36"/>
                <w:szCs w:val="36"/>
              </w:rPr>
            </w:pPr>
            <w:r w:rsidRPr="00C7509B">
              <w:rPr>
                <w:rFonts w:ascii="Times New Roman" w:hAnsi="Times New Roman"/>
                <w:color w:val="000000"/>
                <w:kern w:val="24"/>
                <w:sz w:val="21"/>
                <w:szCs w:val="21"/>
              </w:rPr>
              <w:t> </w:t>
            </w:r>
          </w:p>
        </w:tc>
      </w:tr>
    </w:tbl>
    <w:p w:rsidR="00C7509B" w:rsidRPr="00C7509B" w:rsidRDefault="00C7509B" w:rsidP="00C7509B">
      <w:pPr>
        <w:jc w:val="both"/>
        <w:rPr>
          <w:lang w:bidi="en-US"/>
        </w:rPr>
      </w:pPr>
    </w:p>
    <w:p w:rsidR="00C7509B" w:rsidRPr="00C7509B" w:rsidRDefault="00C7509B" w:rsidP="00C7509B">
      <w:pPr>
        <w:jc w:val="both"/>
        <w:rPr>
          <w:lang w:bidi="en-US"/>
        </w:rPr>
      </w:pPr>
      <w:r w:rsidRPr="00C7509B">
        <w:rPr>
          <w:lang w:bidi="en-US"/>
        </w:rPr>
        <w:lastRenderedPageBreak/>
        <w:t>Field operation of SWCTT was di</w:t>
      </w:r>
      <w:r w:rsidR="00616243">
        <w:rPr>
          <w:lang w:bidi="en-US"/>
        </w:rPr>
        <w:t>vided in</w:t>
      </w:r>
      <w:r w:rsidRPr="00C7509B">
        <w:rPr>
          <w:lang w:bidi="en-US"/>
        </w:rPr>
        <w:t xml:space="preserve">to four major events. The first event was the baseline water flooding in which 6 PVs of recycled reservoir produced brine was injected at the average rate of 150 bbls/day. This step </w:t>
      </w:r>
      <w:r w:rsidR="00616243">
        <w:rPr>
          <w:lang w:bidi="en-US"/>
        </w:rPr>
        <w:t>was</w:t>
      </w:r>
      <w:r w:rsidRPr="00C7509B">
        <w:rPr>
          <w:lang w:bidi="en-US"/>
        </w:rPr>
        <w:t xml:space="preserve"> carried out to achieve minimum Sor of the target volume around the well bore. The second event was the pre-chemical tracer test and was carried out to confirm the Sor of the target region. The third event was the surfactant only flooding in which laboratory designed surfactant flood system was injected into the reservoir with a brine pusher to move the mobilized oil further away from the wellbore. The fourth and final event involved post-chemical tracer test in which the final Sor of the target zone was determined. Ethylformate was chosen as the reactive/partitioning tracer for SWCTT operations because the reservoir temperature is below 130 °F</w:t>
      </w:r>
      <w:r w:rsidRPr="00C7509B">
        <w:rPr>
          <w:lang w:bidi="en-US"/>
        </w:rPr>
        <w:fldChar w:fldCharType="begin"/>
      </w:r>
      <w:r w:rsidR="00332C11">
        <w:rPr>
          <w:lang w:bidi="en-US"/>
        </w:rPr>
        <w:instrText xml:space="preserve"> ADDIN EN.CITE &lt;EndNote&gt;&lt;Cite&gt;&lt;Author&gt;Deans&lt;/Author&gt;&lt;Year&gt;1988&lt;/Year&gt;&lt;RecNum&gt;89&lt;/RecNum&gt;&lt;DisplayText&gt;&lt;style face="superscript"&gt;62&lt;/style&gt;&lt;/DisplayText&gt;&lt;record&gt;&lt;rec-number&gt;89&lt;/rec-number&gt;&lt;foreign-keys&gt;&lt;key app="EN" db-id="a5zz9zdsp2tzdiedrdov0ztx9zwzps0patvs" timestamp="1432068441"&gt;89&lt;/key&gt;&lt;/foreign-keys&gt;&lt;ref-type name="Book"&gt;6&lt;/ref-type&gt;&lt;contributors&gt;&lt;authors&gt;&lt;author&gt;Deans, HA&lt;/author&gt;&lt;author&gt;Carlisle, CT&lt;/author&gt;&lt;/authors&gt;&lt;/contributors&gt;&lt;titles&gt;&lt;title&gt;Single Well Chemical Tracer Test Handbook&lt;/title&gt;&lt;secondary-title&gt;Chemical Tracers Inc., Houston, TX&lt;/secondary-title&gt;&lt;/titles&gt;&lt;periodical&gt;&lt;full-title&gt;Chemical Tracers Inc., Houston, TX&lt;/full-title&gt;&lt;/periodical&gt;&lt;dates&gt;&lt;year&gt;1988&lt;/year&gt;&lt;/dates&gt;&lt;urls&gt;&lt;/urls&gt;&lt;/record&gt;&lt;/Cite&gt;&lt;/EndNote&gt;</w:instrText>
      </w:r>
      <w:r w:rsidRPr="00C7509B">
        <w:rPr>
          <w:lang w:bidi="en-US"/>
        </w:rPr>
        <w:fldChar w:fldCharType="separate"/>
      </w:r>
      <w:r w:rsidR="00332C11" w:rsidRPr="00332C11">
        <w:rPr>
          <w:noProof/>
          <w:vertAlign w:val="superscript"/>
          <w:lang w:bidi="en-US"/>
        </w:rPr>
        <w:t>62</w:t>
      </w:r>
      <w:r w:rsidRPr="00C7509B">
        <w:rPr>
          <w:lang w:bidi="en-US"/>
        </w:rPr>
        <w:fldChar w:fldCharType="end"/>
      </w:r>
      <w:r w:rsidRPr="00C7509B">
        <w:rPr>
          <w:lang w:bidi="en-US"/>
        </w:rPr>
        <w:t xml:space="preserve">. Methanol was used as the material balance tracer and the n-propanol was used as the cover tracer. </w:t>
      </w:r>
    </w:p>
    <w:p w:rsidR="00C7509B" w:rsidRDefault="00C7509B" w:rsidP="00C7509B">
      <w:pPr>
        <w:jc w:val="both"/>
        <w:rPr>
          <w:lang w:bidi="en-US"/>
        </w:rPr>
      </w:pPr>
      <w:r w:rsidRPr="00C7509B">
        <w:rPr>
          <w:lang w:bidi="en-US"/>
        </w:rPr>
        <w:t>A cover tracer is usually incorporated with the reactive tracer slug to keep track of water that contains ester. It is also included to overcome any unforeseen circumstances such as complete hydrolysis of the reactive tracer</w:t>
      </w:r>
      <w:r w:rsidRPr="00C7509B">
        <w:rPr>
          <w:lang w:bidi="en-US"/>
        </w:rPr>
        <w:fldChar w:fldCharType="begin"/>
      </w:r>
      <w:r w:rsidR="00332C11">
        <w:rPr>
          <w:lang w:bidi="en-US"/>
        </w:rPr>
        <w:instrText xml:space="preserve"> ADDIN EN.CITE &lt;EndNote&gt;&lt;Cite&gt;&lt;Author&gt;Deans&lt;/Author&gt;&lt;Year&gt;1988&lt;/Year&gt;&lt;RecNum&gt;89&lt;/RecNum&gt;&lt;DisplayText&gt;&lt;style face="superscript"&gt;62&lt;/style&gt;&lt;/DisplayText&gt;&lt;record&gt;&lt;rec-number&gt;89&lt;/rec-number&gt;&lt;foreign-keys&gt;&lt;key app="EN" db-id="a5zz9zdsp2tzdiedrdov0ztx9zwzps0patvs" timestamp="1432068441"&gt;89&lt;/key&gt;&lt;/foreign-keys&gt;&lt;ref-type name="Book"&gt;6&lt;/ref-type&gt;&lt;contributors&gt;&lt;authors&gt;&lt;author&gt;Deans, HA&lt;/author&gt;&lt;author&gt;Carlisle, CT&lt;/author&gt;&lt;/authors&gt;&lt;/contributors&gt;&lt;titles&gt;&lt;title&gt;Single Well Chemical Tracer Test Handbook&lt;/title&gt;&lt;secondary-title&gt;Chemical Tracers Inc., Houston, TX&lt;/secondary-title&gt;&lt;/titles&gt;&lt;periodical&gt;&lt;full-title&gt;Chemical Tracers Inc., Houston, TX&lt;/full-title&gt;&lt;/periodical&gt;&lt;dates&gt;&lt;year&gt;1988&lt;/year&gt;&lt;/dates&gt;&lt;urls&gt;&lt;/urls&gt;&lt;/record&gt;&lt;/Cite&gt;&lt;/EndNote&gt;</w:instrText>
      </w:r>
      <w:r w:rsidRPr="00C7509B">
        <w:rPr>
          <w:lang w:bidi="en-US"/>
        </w:rPr>
        <w:fldChar w:fldCharType="separate"/>
      </w:r>
      <w:r w:rsidR="00332C11" w:rsidRPr="00332C11">
        <w:rPr>
          <w:noProof/>
          <w:vertAlign w:val="superscript"/>
          <w:lang w:bidi="en-US"/>
        </w:rPr>
        <w:t>62</w:t>
      </w:r>
      <w:r w:rsidRPr="00C7509B">
        <w:rPr>
          <w:lang w:bidi="en-US"/>
        </w:rPr>
        <w:fldChar w:fldCharType="end"/>
      </w:r>
      <w:r w:rsidRPr="00C7509B">
        <w:rPr>
          <w:lang w:bidi="en-US"/>
        </w:rPr>
        <w:t xml:space="preserve">. In such circumstance, Sor cannot be evaluated because the retardation factor, β, cannot be determined. However, the cover tracer, n-propanol, which is found to arrive at the same time as the ethylformate during pullback allows to calculate Sor by determining β between the peaks of n-propanol and ethanol even if all of the ethylformate injected is hydrolyzed. Therefore, sometimes cover tracers are also called as insurance tracer. </w:t>
      </w:r>
    </w:p>
    <w:p w:rsidR="00C7509B" w:rsidRPr="00C7509B" w:rsidRDefault="00C7509B" w:rsidP="00BF7BCE">
      <w:pPr>
        <w:pStyle w:val="Heading3"/>
      </w:pPr>
      <w:bookmarkStart w:id="83" w:name="_Toc426374034"/>
      <w:r w:rsidRPr="00C7509B">
        <w:t>SWCTTs Data Interpretation Method</w:t>
      </w:r>
      <w:bookmarkEnd w:id="83"/>
    </w:p>
    <w:p w:rsidR="00C7509B" w:rsidRPr="00C7509B" w:rsidRDefault="00C7509B" w:rsidP="00C7509B">
      <w:pPr>
        <w:jc w:val="both"/>
        <w:rPr>
          <w:lang w:bidi="en-US"/>
        </w:rPr>
      </w:pPr>
      <w:r w:rsidRPr="00C7509B">
        <w:rPr>
          <w:lang w:bidi="en-US"/>
        </w:rPr>
        <w:t xml:space="preserve">A similar simulation method reported by Jin </w:t>
      </w:r>
      <w:r w:rsidRPr="00C7509B">
        <w:rPr>
          <w:i/>
          <w:lang w:bidi="en-US"/>
        </w:rPr>
        <w:t>et al.</w:t>
      </w:r>
      <w:r w:rsidRPr="00C7509B">
        <w:rPr>
          <w:lang w:bidi="en-US"/>
        </w:rPr>
        <w:fldChar w:fldCharType="begin"/>
      </w:r>
      <w:r w:rsidR="00332C11">
        <w:rPr>
          <w:lang w:bidi="en-US"/>
        </w:rPr>
        <w:instrText xml:space="preserve"> ADDIN EN.CITE &lt;EndNote&gt;&lt;Cite&gt;&lt;Author&gt;Jin&lt;/Author&gt;&lt;Year&gt;2015&lt;/Year&gt;&lt;RecNum&gt;86&lt;/RecNum&gt;&lt;DisplayText&gt;&lt;style face="superscript"&gt;60&lt;/style&gt;&lt;/DisplayText&gt;&lt;record&gt;&lt;rec-number&gt;86&lt;/rec-number&gt;&lt;foreign-keys&gt;&lt;key app="EN" db-id="a5zz9zdsp2tzdiedrdov0ztx9zwzps0patvs" timestamp="1432067088"&gt;86&lt;/key&gt;&lt;/foreign-keys&gt;&lt;ref-type name="Conference Proceedings"&gt;10&lt;/ref-type&gt;&lt;contributors&gt;&lt;authors&gt;&lt;author&gt;Jin, Luchao&lt;/author&gt;&lt;author&gt;Jamili, Ahmad&lt;/author&gt;&lt;author&gt;Harwell, Jeffrey H&lt;/author&gt;&lt;author&gt;Shiau, BJ&lt;/author&gt;&lt;author&gt;Roller, Chad&lt;/author&gt;&lt;/authors&gt;&lt;/contributors&gt;&lt;titles&gt;&lt;title&gt;Modeling and Interpretation of Single Well Chemical Tracer Tests (SWCTT) for pre and post Chemical EOR in two High Salinity Reservoirs&lt;/title&gt;&lt;secondary-title&gt;SPE Production and Operations Symposium&lt;/secondary-title&gt;&lt;/titles&gt;&lt;dates&gt;&lt;year&gt;2015&lt;/year&gt;&lt;/dates&gt;&lt;publisher&gt;Society of Petroleum Engineers&lt;/publisher&gt;&lt;isbn&gt;1613993757&lt;/isbn&gt;&lt;urls&gt;&lt;/urls&gt;&lt;/record&gt;&lt;/Cite&gt;&lt;/EndNote&gt;</w:instrText>
      </w:r>
      <w:r w:rsidRPr="00C7509B">
        <w:rPr>
          <w:lang w:bidi="en-US"/>
        </w:rPr>
        <w:fldChar w:fldCharType="separate"/>
      </w:r>
      <w:r w:rsidR="00332C11" w:rsidRPr="00332C11">
        <w:rPr>
          <w:noProof/>
          <w:vertAlign w:val="superscript"/>
          <w:lang w:bidi="en-US"/>
        </w:rPr>
        <w:t>60</w:t>
      </w:r>
      <w:r w:rsidRPr="00C7509B">
        <w:rPr>
          <w:lang w:bidi="en-US"/>
        </w:rPr>
        <w:fldChar w:fldCharType="end"/>
      </w:r>
      <w:r>
        <w:rPr>
          <w:lang w:bidi="en-US"/>
        </w:rPr>
        <w:t xml:space="preserve"> </w:t>
      </w:r>
      <w:r w:rsidRPr="00C7509B">
        <w:rPr>
          <w:lang w:bidi="en-US"/>
        </w:rPr>
        <w:t xml:space="preserve">in their work was adapted in this work to interpret field data. </w:t>
      </w:r>
      <w:r w:rsidR="0002352A">
        <w:rPr>
          <w:lang w:bidi="en-US"/>
        </w:rPr>
        <w:t>The SWCTTs results were interpreted using the CMG-</w:t>
      </w:r>
      <w:r w:rsidR="0002352A">
        <w:rPr>
          <w:lang w:bidi="en-US"/>
        </w:rPr>
        <w:lastRenderedPageBreak/>
        <w:t xml:space="preserve">STARS software. </w:t>
      </w:r>
      <w:r w:rsidRPr="00C7509B">
        <w:rPr>
          <w:lang w:bidi="en-US"/>
        </w:rPr>
        <w:t xml:space="preserve">A 2D radial model with a constant grid block size of 0.01 m was used to model the tests. Also for simplicity purpose, following assumptions were made; constant reservoir temperature, no crossflow between layers, no fluid drift, and no effect of pH variation on ester hydrolysis reaction. Other critical variables such as K-value and reaction rate constant of the reacting tracer required for simulation were measured in the lab at the reservoir conditions. </w:t>
      </w:r>
    </w:p>
    <w:p w:rsidR="00C7509B" w:rsidRPr="00C7509B" w:rsidRDefault="00C7509B" w:rsidP="00C7509B">
      <w:pPr>
        <w:jc w:val="both"/>
        <w:rPr>
          <w:lang w:bidi="en-US"/>
        </w:rPr>
      </w:pPr>
      <w:r w:rsidRPr="00C7509B">
        <w:rPr>
          <w:lang w:bidi="en-US"/>
        </w:rPr>
        <w:t>The injection and production schemes similar to field operation were used as simulation inputs and the injected tracer concentration was tuned to match the recovery history of tracers. The number of layers and individual flow fraction in each layer were used as the key matching parameters to model the irreversible flow. In addition, lab measured hydrolysis reaction rate was used as input and was tuned later for better fitting. The dispersivity coefficient was used to match the shape of the tracer profiles. Finally, the residual oil saturation, which is the objective of the simulation work, was tuned to accurately represent the tracer peak location.</w:t>
      </w:r>
    </w:p>
    <w:p w:rsidR="00C7509B" w:rsidRPr="00C7509B" w:rsidRDefault="00C7509B" w:rsidP="00C7509B">
      <w:pPr>
        <w:jc w:val="both"/>
        <w:rPr>
          <w:lang w:bidi="en-US"/>
        </w:rPr>
      </w:pPr>
      <w:r w:rsidRPr="00C7509B">
        <w:rPr>
          <w:lang w:bidi="en-US"/>
        </w:rPr>
        <w:t>The residual oil saturation, Sor, in each layer is given by</w:t>
      </w:r>
      <w:r w:rsidRPr="00C7509B">
        <w:rPr>
          <w:lang w:bidi="en-US"/>
        </w:rPr>
        <w:fldChar w:fldCharType="begin"/>
      </w:r>
      <w:r w:rsidR="00332C11">
        <w:rPr>
          <w:lang w:bidi="en-US"/>
        </w:rPr>
        <w:instrText xml:space="preserve"> ADDIN EN.CITE &lt;EndNote&gt;&lt;Cite&gt;&lt;Author&gt;Deans&lt;/Author&gt;&lt;Year&gt;1971&lt;/Year&gt;&lt;RecNum&gt;88&lt;/RecNum&gt;&lt;DisplayText&gt;&lt;style face="superscript"&gt;61-62&lt;/style&gt;&lt;/DisplayText&gt;&lt;record&gt;&lt;rec-number&gt;88&lt;/rec-number&gt;&lt;foreign-keys&gt;&lt;key app="EN" db-id="a5zz9zdsp2tzdiedrdov0ztx9zwzps0patvs" timestamp="1432067841"&gt;88&lt;/key&gt;&lt;/foreign-keys&gt;&lt;ref-type name="Patent"&gt;25&lt;/ref-type&gt;&lt;contributors&gt;&lt;authors&gt;&lt;author&gt;Deans, HA&lt;/author&gt;&lt;/authors&gt;&lt;/contributors&gt;&lt;titles&gt;&lt;title&gt;Method of determining fluid saturations in reservoirs&lt;/title&gt;&lt;/titles&gt;&lt;volume&gt;US 3623842&lt;/volume&gt;&lt;dates&gt;&lt;year&gt;1971&lt;/year&gt;&lt;/dates&gt;&lt;urls&gt;&lt;/urls&gt;&lt;/record&gt;&lt;/Cite&gt;&lt;Cite&gt;&lt;Author&gt;Deans&lt;/Author&gt;&lt;Year&gt;1988&lt;/Year&gt;&lt;RecNum&gt;89&lt;/RecNum&gt;&lt;record&gt;&lt;rec-number&gt;89&lt;/rec-number&gt;&lt;foreign-keys&gt;&lt;key app="EN" db-id="a5zz9zdsp2tzdiedrdov0ztx9zwzps0patvs" timestamp="1432068441"&gt;89&lt;/key&gt;&lt;/foreign-keys&gt;&lt;ref-type name="Book"&gt;6&lt;/ref-type&gt;&lt;contributors&gt;&lt;authors&gt;&lt;author&gt;Deans, HA&lt;/author&gt;&lt;author&gt;Carlisle, CT&lt;/author&gt;&lt;/authors&gt;&lt;/contributors&gt;&lt;titles&gt;&lt;title&gt;Single Well Chemical Tracer Test Handbook&lt;/title&gt;&lt;secondary-title&gt;Chemical Tracers Inc., Houston, TX&lt;/secondary-title&gt;&lt;/titles&gt;&lt;periodical&gt;&lt;full-title&gt;Chemical Tracers Inc., Houston, TX&lt;/full-title&gt;&lt;/periodical&gt;&lt;dates&gt;&lt;year&gt;1988&lt;/year&gt;&lt;/dates&gt;&lt;urls&gt;&lt;/urls&gt;&lt;/record&gt;&lt;/Cite&gt;&lt;/EndNote&gt;</w:instrText>
      </w:r>
      <w:r w:rsidRPr="00C7509B">
        <w:rPr>
          <w:lang w:bidi="en-US"/>
        </w:rPr>
        <w:fldChar w:fldCharType="separate"/>
      </w:r>
      <w:r w:rsidR="00332C11" w:rsidRPr="00332C11">
        <w:rPr>
          <w:noProof/>
          <w:vertAlign w:val="superscript"/>
          <w:lang w:bidi="en-US"/>
        </w:rPr>
        <w:t>61-62</w:t>
      </w:r>
      <w:r w:rsidRPr="00C7509B">
        <w:rPr>
          <w:lang w:bidi="en-US"/>
        </w:rPr>
        <w:fldChar w:fldCharType="end"/>
      </w:r>
      <w:r w:rsidRPr="00C7509B">
        <w:rPr>
          <w:lang w:bidi="en-US"/>
        </w:rPr>
        <w:t>:</w:t>
      </w:r>
    </w:p>
    <w:p w:rsidR="00C7509B" w:rsidRPr="00C7509B" w:rsidRDefault="001C58A2" w:rsidP="00C7509B">
      <w:pPr>
        <w:jc w:val="both"/>
        <w:rPr>
          <w:lang w:bidi="en-US"/>
        </w:rPr>
      </w:pPr>
      <m:oMath>
        <m:sSub>
          <m:sSubPr>
            <m:ctrlPr>
              <w:rPr>
                <w:rFonts w:ascii="Cambria Math" w:hAnsi="Cambria Math"/>
                <w:lang w:bidi="en-US"/>
              </w:rPr>
            </m:ctrlPr>
          </m:sSubPr>
          <m:e>
            <m:r>
              <m:rPr>
                <m:sty m:val="p"/>
              </m:rPr>
              <w:rPr>
                <w:rFonts w:ascii="Cambria Math" w:hAnsi="Cambria Math"/>
                <w:lang w:bidi="en-US"/>
              </w:rPr>
              <m:t>S</m:t>
            </m:r>
          </m:e>
          <m:sub>
            <m:r>
              <m:rPr>
                <m:sty m:val="p"/>
              </m:rPr>
              <w:rPr>
                <w:rFonts w:ascii="Cambria Math" w:hAnsi="Cambria Math"/>
                <w:lang w:bidi="en-US"/>
              </w:rPr>
              <m:t>or</m:t>
            </m:r>
          </m:sub>
        </m:sSub>
        <m:r>
          <m:rPr>
            <m:sty m:val="p"/>
          </m:rPr>
          <w:rPr>
            <w:rFonts w:ascii="Cambria Math" w:hAnsi="Cambria Math"/>
            <w:lang w:bidi="en-US"/>
          </w:rPr>
          <m:t xml:space="preserve">= </m:t>
        </m:r>
        <m:f>
          <m:fPr>
            <m:ctrlPr>
              <w:rPr>
                <w:rFonts w:ascii="Cambria Math" w:hAnsi="Cambria Math"/>
                <w:lang w:bidi="en-US"/>
              </w:rPr>
            </m:ctrlPr>
          </m:fPr>
          <m:num>
            <m:r>
              <m:rPr>
                <m:sty m:val="p"/>
              </m:rPr>
              <w:rPr>
                <w:rFonts w:ascii="Cambria Math" w:hAnsi="Cambria Math"/>
                <w:lang w:bidi="en-US"/>
              </w:rPr>
              <m:t>β</m:t>
            </m:r>
          </m:num>
          <m:den>
            <m:r>
              <m:rPr>
                <m:sty m:val="p"/>
              </m:rPr>
              <w:rPr>
                <w:rFonts w:ascii="Cambria Math" w:hAnsi="Cambria Math"/>
                <w:lang w:bidi="en-US"/>
              </w:rPr>
              <m:t>β+K</m:t>
            </m:r>
          </m:den>
        </m:f>
      </m:oMath>
      <w:r w:rsidR="00C7509B" w:rsidRPr="00C7509B">
        <w:rPr>
          <w:lang w:bidi="en-US"/>
        </w:rPr>
        <w:tab/>
      </w:r>
      <w:r w:rsidR="00C7509B" w:rsidRPr="00C7509B">
        <w:rPr>
          <w:lang w:bidi="en-US"/>
        </w:rPr>
        <w:tab/>
      </w:r>
      <w:r w:rsidR="00C7509B" w:rsidRPr="00C7509B">
        <w:rPr>
          <w:lang w:bidi="en-US"/>
        </w:rPr>
        <w:tab/>
        <w:t>Equation (2)</w:t>
      </w:r>
    </w:p>
    <w:p w:rsidR="00C7509B" w:rsidRPr="00C7509B" w:rsidRDefault="00C7509B" w:rsidP="00C7509B">
      <w:pPr>
        <w:jc w:val="both"/>
        <w:rPr>
          <w:lang w:bidi="en-US"/>
        </w:rPr>
      </w:pPr>
      <w:r w:rsidRPr="00C7509B">
        <w:rPr>
          <w:lang w:bidi="en-US"/>
        </w:rPr>
        <w:t>Where β is the retardation factor between product alcohol and reactive tracer, ester, and K is the equilibrium partition coefficient of the reactive tracer</w:t>
      </w:r>
    </w:p>
    <w:p w:rsidR="00C7509B" w:rsidRPr="00C7509B" w:rsidRDefault="00C7509B" w:rsidP="00C7509B">
      <w:pPr>
        <w:jc w:val="both"/>
        <w:rPr>
          <w:lang w:bidi="en-US"/>
        </w:rPr>
      </w:pPr>
      <m:oMath>
        <m:r>
          <m:rPr>
            <m:sty m:val="p"/>
          </m:rPr>
          <w:rPr>
            <w:rFonts w:ascii="Cambria Math" w:hAnsi="Cambria Math"/>
            <w:lang w:bidi="en-US"/>
          </w:rPr>
          <m:t>β=</m:t>
        </m:r>
        <m:f>
          <m:fPr>
            <m:ctrlPr>
              <w:rPr>
                <w:rFonts w:ascii="Cambria Math" w:hAnsi="Cambria Math"/>
                <w:lang w:bidi="en-US"/>
              </w:rPr>
            </m:ctrlPr>
          </m:fPr>
          <m:num>
            <m:sSub>
              <m:sSubPr>
                <m:ctrlPr>
                  <w:rPr>
                    <w:rFonts w:ascii="Cambria Math" w:hAnsi="Cambria Math"/>
                    <w:lang w:bidi="en-US"/>
                  </w:rPr>
                </m:ctrlPr>
              </m:sSubPr>
              <m:e>
                <m:r>
                  <m:rPr>
                    <m:sty m:val="p"/>
                  </m:rPr>
                  <w:rPr>
                    <w:rFonts w:ascii="Cambria Math" w:hAnsi="Cambria Math"/>
                    <w:lang w:bidi="en-US"/>
                  </w:rPr>
                  <m:t>Q</m:t>
                </m:r>
              </m:e>
              <m:sub>
                <m:r>
                  <m:rPr>
                    <m:sty m:val="p"/>
                  </m:rPr>
                  <w:rPr>
                    <w:rFonts w:ascii="Cambria Math" w:hAnsi="Cambria Math"/>
                    <w:lang w:bidi="en-US"/>
                  </w:rPr>
                  <m:t>A</m:t>
                </m:r>
              </m:sub>
            </m:sSub>
          </m:num>
          <m:den>
            <m:sSub>
              <m:sSubPr>
                <m:ctrlPr>
                  <w:rPr>
                    <w:rFonts w:ascii="Cambria Math" w:hAnsi="Cambria Math"/>
                    <w:lang w:bidi="en-US"/>
                  </w:rPr>
                </m:ctrlPr>
              </m:sSubPr>
              <m:e>
                <m:r>
                  <m:rPr>
                    <m:sty m:val="p"/>
                  </m:rPr>
                  <w:rPr>
                    <w:rFonts w:ascii="Cambria Math" w:hAnsi="Cambria Math"/>
                    <w:lang w:bidi="en-US"/>
                  </w:rPr>
                  <m:t>Q</m:t>
                </m:r>
              </m:e>
              <m:sub>
                <m:r>
                  <m:rPr>
                    <m:sty m:val="p"/>
                  </m:rPr>
                  <w:rPr>
                    <w:rFonts w:ascii="Cambria Math" w:hAnsi="Cambria Math"/>
                    <w:lang w:bidi="en-US"/>
                  </w:rPr>
                  <m:t>B</m:t>
                </m:r>
              </m:sub>
            </m:sSub>
          </m:den>
        </m:f>
        <m:r>
          <m:rPr>
            <m:sty m:val="p"/>
          </m:rPr>
          <w:rPr>
            <w:rFonts w:ascii="Cambria Math" w:hAnsi="Cambria Math"/>
            <w:lang w:bidi="en-US"/>
          </w:rPr>
          <m:t>-1</m:t>
        </m:r>
      </m:oMath>
      <w:r w:rsidRPr="00C7509B">
        <w:rPr>
          <w:lang w:bidi="en-US"/>
        </w:rPr>
        <w:tab/>
      </w:r>
      <w:r w:rsidRPr="00C7509B">
        <w:rPr>
          <w:lang w:bidi="en-US"/>
        </w:rPr>
        <w:tab/>
      </w:r>
      <w:r w:rsidRPr="00C7509B">
        <w:rPr>
          <w:lang w:bidi="en-US"/>
        </w:rPr>
        <w:tab/>
        <w:t>Equation (3)</w:t>
      </w:r>
    </w:p>
    <w:p w:rsidR="00C7509B" w:rsidRPr="00C7509B" w:rsidRDefault="00C7509B" w:rsidP="00C7509B">
      <w:pPr>
        <w:jc w:val="both"/>
        <w:rPr>
          <w:lang w:bidi="en-US"/>
        </w:rPr>
      </w:pPr>
      <w:r w:rsidRPr="00C7509B">
        <w:rPr>
          <w:lang w:bidi="en-US"/>
        </w:rPr>
        <w:t>Where Q</w:t>
      </w:r>
      <w:r w:rsidRPr="00C7509B">
        <w:rPr>
          <w:vertAlign w:val="subscript"/>
          <w:lang w:bidi="en-US"/>
        </w:rPr>
        <w:t>A</w:t>
      </w:r>
      <w:r w:rsidRPr="00C7509B">
        <w:rPr>
          <w:lang w:bidi="en-US"/>
        </w:rPr>
        <w:t xml:space="preserve"> and Q</w:t>
      </w:r>
      <w:r w:rsidRPr="00C7509B">
        <w:rPr>
          <w:vertAlign w:val="subscript"/>
          <w:lang w:bidi="en-US"/>
        </w:rPr>
        <w:t>B</w:t>
      </w:r>
      <w:r w:rsidRPr="00C7509B">
        <w:rPr>
          <w:lang w:bidi="en-US"/>
        </w:rPr>
        <w:t xml:space="preserve"> are the produced volumes at which the ester and alcohol peaks appear respectively. </w:t>
      </w:r>
    </w:p>
    <w:p w:rsidR="00FD5E90" w:rsidRDefault="000B2A7C" w:rsidP="00C47C5C">
      <w:pPr>
        <w:pStyle w:val="Heading2"/>
      </w:pPr>
      <w:bookmarkStart w:id="84" w:name="_Toc426374035"/>
      <w:r w:rsidRPr="000B2A7C">
        <w:lastRenderedPageBreak/>
        <w:t>Results and discussions</w:t>
      </w:r>
      <w:bookmarkEnd w:id="84"/>
    </w:p>
    <w:bookmarkStart w:id="85" w:name="_Toc426374036"/>
    <w:p w:rsidR="000B2A7C" w:rsidRDefault="00E51198" w:rsidP="00BF7BCE">
      <w:pPr>
        <w:pStyle w:val="Heading3"/>
      </w:pPr>
      <w:r>
        <w:rPr>
          <w:noProof/>
          <w:lang w:bidi="ar-SA"/>
        </w:rPr>
        <mc:AlternateContent>
          <mc:Choice Requires="wps">
            <w:drawing>
              <wp:anchor distT="0" distB="0" distL="114300" distR="114300" simplePos="0" relativeHeight="251765760" behindDoc="0" locked="0" layoutInCell="1" allowOverlap="1" wp14:anchorId="54B32F2B" wp14:editId="79256B92">
                <wp:simplePos x="0" y="0"/>
                <wp:positionH relativeFrom="column">
                  <wp:posOffset>67945</wp:posOffset>
                </wp:positionH>
                <wp:positionV relativeFrom="paragraph">
                  <wp:posOffset>3500755</wp:posOffset>
                </wp:positionV>
                <wp:extent cx="5326380" cy="635"/>
                <wp:effectExtent l="0" t="0" r="7620" b="7620"/>
                <wp:wrapTopAndBottom/>
                <wp:docPr id="1" name="Text Box 1"/>
                <wp:cNvGraphicFramePr/>
                <a:graphic xmlns:a="http://schemas.openxmlformats.org/drawingml/2006/main">
                  <a:graphicData uri="http://schemas.microsoft.com/office/word/2010/wordprocessingShape">
                    <wps:wsp>
                      <wps:cNvSpPr txBox="1"/>
                      <wps:spPr>
                        <a:xfrm>
                          <a:off x="0" y="0"/>
                          <a:ext cx="5326380" cy="635"/>
                        </a:xfrm>
                        <a:prstGeom prst="rect">
                          <a:avLst/>
                        </a:prstGeom>
                        <a:solidFill>
                          <a:prstClr val="white"/>
                        </a:solidFill>
                        <a:ln>
                          <a:noFill/>
                        </a:ln>
                        <a:effectLst/>
                      </wps:spPr>
                      <wps:txbx>
                        <w:txbxContent>
                          <w:p w:rsidR="005C410D" w:rsidRPr="00E51198" w:rsidRDefault="005C410D" w:rsidP="00E51198">
                            <w:pPr>
                              <w:pStyle w:val="Caption"/>
                              <w:rPr>
                                <w:b w:val="0"/>
                              </w:rPr>
                            </w:pPr>
                            <w:bookmarkStart w:id="86" w:name="_Toc426967299"/>
                            <w:r>
                              <w:t xml:space="preserve">Figure </w:t>
                            </w:r>
                            <w:r w:rsidR="001C58A2">
                              <w:fldChar w:fldCharType="begin"/>
                            </w:r>
                            <w:r w:rsidR="001C58A2">
                              <w:instrText xml:space="preserve"> SEQ Figure \* ARABIC </w:instrText>
                            </w:r>
                            <w:r w:rsidR="001C58A2">
                              <w:fldChar w:fldCharType="separate"/>
                            </w:r>
                            <w:r w:rsidR="003F7947">
                              <w:rPr>
                                <w:noProof/>
                              </w:rPr>
                              <w:t>7</w:t>
                            </w:r>
                            <w:r w:rsidR="001C58A2">
                              <w:rPr>
                                <w:noProof/>
                              </w:rPr>
                              <w:fldChar w:fldCharType="end"/>
                            </w:r>
                            <w:r>
                              <w:t xml:space="preserve">. </w:t>
                            </w:r>
                            <w:r w:rsidRPr="00E51198">
                              <w:rPr>
                                <w:b w:val="0"/>
                              </w:rPr>
                              <w:t>Equilibrium IFT measurements of the binary mixtures (C</w:t>
                            </w:r>
                            <w:r w:rsidRPr="00E51198">
                              <w:rPr>
                                <w:b w:val="0"/>
                                <w:vertAlign w:val="subscript"/>
                              </w:rPr>
                              <w:t>8</w:t>
                            </w:r>
                            <w:r w:rsidRPr="00E51198">
                              <w:rPr>
                                <w:b w:val="0"/>
                              </w:rPr>
                              <w:t>-(PO)</w:t>
                            </w:r>
                            <w:r w:rsidRPr="00E51198">
                              <w:rPr>
                                <w:b w:val="0"/>
                                <w:vertAlign w:val="subscript"/>
                              </w:rPr>
                              <w:t>4</w:t>
                            </w:r>
                            <w:r w:rsidRPr="00E51198">
                              <w:rPr>
                                <w:b w:val="0"/>
                              </w:rPr>
                              <w:t>-(EO)</w:t>
                            </w:r>
                            <w:r w:rsidRPr="00E51198">
                              <w:rPr>
                                <w:b w:val="0"/>
                                <w:vertAlign w:val="subscript"/>
                              </w:rPr>
                              <w:t>1</w:t>
                            </w:r>
                            <w:r w:rsidRPr="00E51198">
                              <w:rPr>
                                <w:b w:val="0"/>
                              </w:rPr>
                              <w:t>-SO4Na, 0.25 wt % + SAES) with the reservoir crude oil at 52°C</w:t>
                            </w:r>
                            <w:bookmarkEnd w:id="86"/>
                          </w:p>
                          <w:p w:rsidR="005C410D" w:rsidRPr="00A00CB7" w:rsidRDefault="005C410D" w:rsidP="00E51198">
                            <w:pPr>
                              <w:pStyle w:val="Caption"/>
                              <w:rPr>
                                <w:i/>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4B32F2B" id="Text Box 1" o:spid="_x0000_s1032" type="#_x0000_t202" style="position:absolute;left:0;text-align:left;margin-left:5.35pt;margin-top:275.65pt;width:419.4pt;height:.05pt;z-index:251765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" stroked="f">
                <v:textbox style="mso-fit-shape-to-text:t" inset="0,0,0,0">
                  <w:txbxContent>
                    <w:p w:rsidR="005C410D" w:rsidRPr="00E51198" w:rsidRDefault="005C410D" w:rsidP="00E51198">
                      <w:pPr>
                        <w:pStyle w:val="Caption"/>
                        <w:rPr>
                          <w:b w:val="0"/>
                        </w:rPr>
                      </w:pPr>
                      <w:bookmarkStart w:id="94" w:name="_Toc426967299"/>
                      <w:r>
                        <w:t xml:space="preserve">Figure </w:t>
                      </w:r>
                      <w:fldSimple w:instr=" SEQ Figure \* ARABIC ">
                        <w:r w:rsidR="003F7947">
                          <w:rPr>
                            <w:noProof/>
                          </w:rPr>
                          <w:t>7</w:t>
                        </w:r>
                      </w:fldSimple>
                      <w:r>
                        <w:t xml:space="preserve">. </w:t>
                      </w:r>
                      <w:r w:rsidRPr="00E51198">
                        <w:rPr>
                          <w:b w:val="0"/>
                        </w:rPr>
                        <w:t>Equilibrium IFT measurements of the binary mixtures (C</w:t>
                      </w:r>
                      <w:r w:rsidRPr="00E51198">
                        <w:rPr>
                          <w:b w:val="0"/>
                          <w:vertAlign w:val="subscript"/>
                        </w:rPr>
                        <w:t>8</w:t>
                      </w:r>
                      <w:r w:rsidRPr="00E51198">
                        <w:rPr>
                          <w:b w:val="0"/>
                        </w:rPr>
                        <w:t>-(PO)</w:t>
                      </w:r>
                      <w:r w:rsidRPr="00E51198">
                        <w:rPr>
                          <w:b w:val="0"/>
                          <w:vertAlign w:val="subscript"/>
                        </w:rPr>
                        <w:t>4</w:t>
                      </w:r>
                      <w:r w:rsidRPr="00E51198">
                        <w:rPr>
                          <w:b w:val="0"/>
                        </w:rPr>
                        <w:t>-(EO)</w:t>
                      </w:r>
                      <w:r w:rsidRPr="00E51198">
                        <w:rPr>
                          <w:b w:val="0"/>
                          <w:vertAlign w:val="subscript"/>
                        </w:rPr>
                        <w:t>1</w:t>
                      </w:r>
                      <w:r w:rsidRPr="00E51198">
                        <w:rPr>
                          <w:b w:val="0"/>
                        </w:rPr>
                        <w:t>-SO4Na, 0.25 wt % + SAES) with the reservoir crude oil at 52°C</w:t>
                      </w:r>
                      <w:bookmarkEnd w:id="94"/>
                    </w:p>
                    <w:p w:rsidR="005C410D" w:rsidRPr="00A00CB7" w:rsidRDefault="005C410D" w:rsidP="00E51198">
                      <w:pPr>
                        <w:pStyle w:val="Caption"/>
                        <w:rPr>
                          <w:i/>
                          <w:noProof/>
                        </w:rPr>
                      </w:pPr>
                    </w:p>
                  </w:txbxContent>
                </v:textbox>
                <w10:wrap type="topAndBottom"/>
              </v:shape>
            </w:pict>
          </mc:Fallback>
        </mc:AlternateContent>
      </w:r>
      <w:r w:rsidR="000B2A7C">
        <w:rPr>
          <w:noProof/>
          <w:lang w:bidi="ar-SA"/>
        </w:rPr>
        <w:drawing>
          <wp:anchor distT="0" distB="0" distL="114300" distR="114300" simplePos="0" relativeHeight="251682816" behindDoc="0" locked="0" layoutInCell="1" allowOverlap="1" wp14:anchorId="2B9CBB5F" wp14:editId="36CD04C1">
            <wp:simplePos x="0" y="0"/>
            <wp:positionH relativeFrom="column">
              <wp:posOffset>260985</wp:posOffset>
            </wp:positionH>
            <wp:positionV relativeFrom="page">
              <wp:posOffset>1524000</wp:posOffset>
            </wp:positionV>
            <wp:extent cx="4886325" cy="3095625"/>
            <wp:effectExtent l="0" t="0" r="9525" b="952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886325" cy="3095625"/>
                    </a:xfrm>
                    <a:prstGeom prst="rect">
                      <a:avLst/>
                    </a:prstGeom>
                    <a:noFill/>
                    <a:ln>
                      <a:noFill/>
                    </a:ln>
                  </pic:spPr>
                </pic:pic>
              </a:graphicData>
            </a:graphic>
          </wp:anchor>
        </w:drawing>
      </w:r>
      <w:r w:rsidR="000B2A7C" w:rsidRPr="000B2A7C">
        <w:t>Surfactant Formulations</w:t>
      </w:r>
      <w:bookmarkEnd w:id="85"/>
    </w:p>
    <w:p w:rsidR="000B2A7C" w:rsidRDefault="000B2A7C" w:rsidP="000B2A7C">
      <w:pPr>
        <w:jc w:val="both"/>
        <w:rPr>
          <w:lang w:bidi="en-US"/>
        </w:rPr>
      </w:pPr>
      <w:r w:rsidRPr="000B2A7C">
        <w:rPr>
          <w:lang w:bidi="en-US"/>
        </w:rPr>
        <w:t>Four optimized surfactant formulations have been developed and proposed for this specific W site reservoir conditions by the hydrophilic lipophilic deviation (HLD) method and is discussed elsewhere</w:t>
      </w:r>
      <w:r>
        <w:rPr>
          <w:lang w:bidi="en-US"/>
        </w:rPr>
        <w:t xml:space="preserve"> [Chapter 1</w:t>
      </w:r>
      <w:r w:rsidRPr="000B2A7C">
        <w:rPr>
          <w:lang w:bidi="en-US"/>
        </w:rPr>
        <w:t>]. During the field tasks planning stage, the surfactant formulation incorporating C</w:t>
      </w:r>
      <w:r w:rsidRPr="000B2A7C">
        <w:rPr>
          <w:vertAlign w:val="subscript"/>
          <w:lang w:bidi="en-US"/>
        </w:rPr>
        <w:t>8</w:t>
      </w:r>
      <w:r w:rsidRPr="000B2A7C">
        <w:rPr>
          <w:lang w:bidi="en-US"/>
        </w:rPr>
        <w:t>-(</w:t>
      </w:r>
      <w:r w:rsidR="00864C6A">
        <w:rPr>
          <w:lang w:bidi="en-US"/>
        </w:rPr>
        <w:t>PO</w:t>
      </w:r>
      <w:r w:rsidRPr="000B2A7C">
        <w:rPr>
          <w:lang w:bidi="en-US"/>
        </w:rPr>
        <w:t>)</w:t>
      </w:r>
      <w:r w:rsidR="00864C6A">
        <w:rPr>
          <w:vertAlign w:val="subscript"/>
          <w:lang w:bidi="en-US"/>
        </w:rPr>
        <w:t>4</w:t>
      </w:r>
      <w:r w:rsidR="00864C6A">
        <w:rPr>
          <w:lang w:bidi="en-US"/>
        </w:rPr>
        <w:t>-(E</w:t>
      </w:r>
      <w:r w:rsidRPr="000B2A7C">
        <w:rPr>
          <w:lang w:bidi="en-US"/>
        </w:rPr>
        <w:t>O)</w:t>
      </w:r>
      <w:r w:rsidR="00864C6A">
        <w:rPr>
          <w:vertAlign w:val="subscript"/>
          <w:lang w:bidi="en-US"/>
        </w:rPr>
        <w:t>1</w:t>
      </w:r>
      <w:r w:rsidRPr="000B2A7C">
        <w:rPr>
          <w:lang w:bidi="en-US"/>
        </w:rPr>
        <w:t>-SO</w:t>
      </w:r>
      <w:r w:rsidRPr="000B2A7C">
        <w:rPr>
          <w:vertAlign w:val="subscript"/>
          <w:lang w:bidi="en-US"/>
        </w:rPr>
        <w:t>4</w:t>
      </w:r>
      <w:r w:rsidRPr="000B2A7C">
        <w:rPr>
          <w:lang w:bidi="en-US"/>
        </w:rPr>
        <w:t xml:space="preserve">Na and SAES was chosen as the surfactant flood system for further field test because of unavailability of other three extended surfactant candidates in bulk quantity. </w:t>
      </w:r>
      <w:r w:rsidR="00C110FA">
        <w:rPr>
          <w:lang w:bidi="en-US"/>
        </w:rPr>
        <w:t>Figure 7</w:t>
      </w:r>
      <w:r w:rsidRPr="000B2A7C">
        <w:rPr>
          <w:lang w:bidi="en-US"/>
        </w:rPr>
        <w:t xml:space="preserve"> shows the IFT measurements of the surfactant system at the various concentrations of SAES.  The ratio between C</w:t>
      </w:r>
      <w:r w:rsidRPr="000B2A7C">
        <w:rPr>
          <w:vertAlign w:val="subscript"/>
          <w:lang w:bidi="en-US"/>
        </w:rPr>
        <w:t>8</w:t>
      </w:r>
      <w:r w:rsidR="00864C6A">
        <w:rPr>
          <w:lang w:bidi="en-US"/>
        </w:rPr>
        <w:t>-(P</w:t>
      </w:r>
      <w:r w:rsidRPr="000B2A7C">
        <w:rPr>
          <w:lang w:bidi="en-US"/>
        </w:rPr>
        <w:t>O)</w:t>
      </w:r>
      <w:r w:rsidR="00864C6A">
        <w:rPr>
          <w:vertAlign w:val="subscript"/>
          <w:lang w:bidi="en-US"/>
        </w:rPr>
        <w:t>4</w:t>
      </w:r>
      <w:r w:rsidR="00864C6A">
        <w:rPr>
          <w:lang w:bidi="en-US"/>
        </w:rPr>
        <w:t>-(E</w:t>
      </w:r>
      <w:r w:rsidRPr="000B2A7C">
        <w:rPr>
          <w:lang w:bidi="en-US"/>
        </w:rPr>
        <w:t>O)</w:t>
      </w:r>
      <w:r w:rsidR="00864C6A">
        <w:rPr>
          <w:vertAlign w:val="subscript"/>
          <w:lang w:bidi="en-US"/>
        </w:rPr>
        <w:t>1</w:t>
      </w:r>
      <w:r w:rsidRPr="000B2A7C">
        <w:rPr>
          <w:lang w:bidi="en-US"/>
        </w:rPr>
        <w:t>-SO</w:t>
      </w:r>
      <w:r w:rsidRPr="000B2A7C">
        <w:rPr>
          <w:vertAlign w:val="subscript"/>
          <w:lang w:bidi="en-US"/>
        </w:rPr>
        <w:t>4</w:t>
      </w:r>
      <w:r w:rsidRPr="000B2A7C">
        <w:rPr>
          <w:lang w:bidi="en-US"/>
        </w:rPr>
        <w:t>Na  and SAES at which the minimal IFT, 8E-3 mN/m, is obtained is defined as the optimal formulation. The aqueous surfactant solution at the optimal condition exhibits clear homogeneous single-phase solution for extended period. Also the coalescence rate of C</w:t>
      </w:r>
      <w:r w:rsidRPr="000B2A7C">
        <w:rPr>
          <w:vertAlign w:val="subscript"/>
          <w:lang w:bidi="en-US"/>
        </w:rPr>
        <w:t>8</w:t>
      </w:r>
      <w:r w:rsidR="00864C6A">
        <w:rPr>
          <w:lang w:bidi="en-US"/>
        </w:rPr>
        <w:t>-(P</w:t>
      </w:r>
      <w:r w:rsidRPr="000B2A7C">
        <w:rPr>
          <w:lang w:bidi="en-US"/>
        </w:rPr>
        <w:t>O)</w:t>
      </w:r>
      <w:r w:rsidR="00864C6A">
        <w:rPr>
          <w:vertAlign w:val="subscript"/>
          <w:lang w:bidi="en-US"/>
        </w:rPr>
        <w:t>4</w:t>
      </w:r>
      <w:r w:rsidR="00864C6A">
        <w:rPr>
          <w:lang w:bidi="en-US"/>
        </w:rPr>
        <w:t>-(E</w:t>
      </w:r>
      <w:r w:rsidRPr="000B2A7C">
        <w:rPr>
          <w:lang w:bidi="en-US"/>
        </w:rPr>
        <w:t>O)</w:t>
      </w:r>
      <w:r w:rsidR="00864C6A">
        <w:rPr>
          <w:vertAlign w:val="subscript"/>
          <w:lang w:bidi="en-US"/>
        </w:rPr>
        <w:t>1</w:t>
      </w:r>
      <w:r w:rsidRPr="000B2A7C">
        <w:rPr>
          <w:lang w:bidi="en-US"/>
        </w:rPr>
        <w:t>-SO</w:t>
      </w:r>
      <w:r w:rsidRPr="000B2A7C">
        <w:rPr>
          <w:vertAlign w:val="subscript"/>
          <w:lang w:bidi="en-US"/>
        </w:rPr>
        <w:t>4</w:t>
      </w:r>
      <w:r w:rsidRPr="000B2A7C">
        <w:rPr>
          <w:lang w:bidi="en-US"/>
        </w:rPr>
        <w:t xml:space="preserve">Na/SAES/crude microemulsions at the optimal </w:t>
      </w:r>
      <w:r w:rsidRPr="000B2A7C">
        <w:rPr>
          <w:lang w:bidi="en-US"/>
        </w:rPr>
        <w:lastRenderedPageBreak/>
        <w:t>condition is reported to be less than 30 minutes showing that the proposed C</w:t>
      </w:r>
      <w:r w:rsidRPr="000B2A7C">
        <w:rPr>
          <w:vertAlign w:val="subscript"/>
          <w:lang w:bidi="en-US"/>
        </w:rPr>
        <w:t>8</w:t>
      </w:r>
      <w:r w:rsidR="00864C6A">
        <w:rPr>
          <w:lang w:bidi="en-US"/>
        </w:rPr>
        <w:t>-(P</w:t>
      </w:r>
      <w:r w:rsidRPr="000B2A7C">
        <w:rPr>
          <w:lang w:bidi="en-US"/>
        </w:rPr>
        <w:t>O)</w:t>
      </w:r>
      <w:r w:rsidR="00864C6A">
        <w:rPr>
          <w:vertAlign w:val="subscript"/>
          <w:lang w:bidi="en-US"/>
        </w:rPr>
        <w:t>4</w:t>
      </w:r>
      <w:r w:rsidR="00864C6A">
        <w:rPr>
          <w:lang w:bidi="en-US"/>
        </w:rPr>
        <w:t>-(E</w:t>
      </w:r>
      <w:r w:rsidRPr="000B2A7C">
        <w:rPr>
          <w:lang w:bidi="en-US"/>
        </w:rPr>
        <w:t>O)</w:t>
      </w:r>
      <w:r w:rsidR="00864C6A">
        <w:rPr>
          <w:vertAlign w:val="subscript"/>
          <w:lang w:bidi="en-US"/>
        </w:rPr>
        <w:t>1</w:t>
      </w:r>
      <w:r w:rsidRPr="000B2A7C">
        <w:rPr>
          <w:lang w:bidi="en-US"/>
        </w:rPr>
        <w:t>-SO</w:t>
      </w:r>
      <w:r w:rsidRPr="000B2A7C">
        <w:rPr>
          <w:vertAlign w:val="subscript"/>
          <w:lang w:bidi="en-US"/>
        </w:rPr>
        <w:t>4</w:t>
      </w:r>
      <w:r w:rsidRPr="000B2A7C">
        <w:rPr>
          <w:lang w:bidi="en-US"/>
        </w:rPr>
        <w:t>Na/SAES blend satisfies the criteria</w:t>
      </w:r>
      <w:r w:rsidRPr="000B2A7C">
        <w:rPr>
          <w:lang w:bidi="en-US"/>
        </w:rPr>
        <w:fldChar w:fldCharType="begin"/>
      </w:r>
      <w:r w:rsidR="00332C11">
        <w:rPr>
          <w:lang w:bidi="en-US"/>
        </w:rPr>
        <w:instrText xml:space="preserve"> ADDIN EN.CITE &lt;EndNote&gt;&lt;Cite&gt;&lt;Author&gt;Levitt&lt;/Author&gt;&lt;Year&gt;2009&lt;/Year&gt;&lt;RecNum&gt;74&lt;/RecNum&gt;&lt;DisplayText&gt;&lt;style face="superscript"&gt;12, 54&lt;/style&gt;&lt;/DisplayText&gt;&lt;record&gt;&lt;rec-number&gt;74&lt;/rec-number&gt;&lt;foreign-keys&gt;&lt;key app="EN" db-id="a5zz9zdsp2tzdiedrdov0ztx9zwzps0patvs" timestamp="1425609119"&gt;74&lt;/key&gt;&lt;/foreign-keys&gt;&lt;ref-type name="Journal Article"&gt;17&lt;/ref-type&gt;&lt;contributors&gt;&lt;authors&gt;&lt;author&gt;David B. Levitt  &lt;/author&gt;&lt;author&gt;Adam C.  Jackson; &lt;/author&gt;&lt;author&gt;Christopher Heinson &lt;/author&gt;&lt;author&gt;Larry N.  Britton&lt;/author&gt;&lt;author&gt;Taimur Malik &lt;/author&gt;&lt;author&gt;Varadarajan Dwarakanath&lt;/author&gt;&lt;author&gt;Gary A. Pope &lt;/author&gt;&lt;/authors&gt;&lt;/contributors&gt;&lt;titles&gt;&lt;title&gt;Identification and evaluation of high-performance EOR surfactants&lt;/title&gt;&lt;secondary-title&gt;SPE Reservoir Evaluation &amp;amp; Engineering&lt;/secondary-title&gt;&lt;/titles&gt;&lt;periodical&gt;&lt;full-title&gt;SPE Reservoir Evaluation &amp;amp; Engineering&lt;/full-title&gt;&lt;/periodical&gt;&lt;pages&gt;243-253&lt;/pages&gt;&lt;volume&gt;2&lt;/volume&gt;&lt;number&gt;12&lt;/number&gt;&lt;dates&gt;&lt;year&gt;2009&lt;/year&gt;&lt;/dates&gt;&lt;urls&gt;&lt;/urls&gt;&lt;/record&gt;&lt;/Cite&gt;&lt;Cite&gt;&lt;Author&gt;Flaaten&lt;/Author&gt;&lt;Year&gt;2009&lt;/Year&gt;&lt;RecNum&gt;22&lt;/RecNum&gt;&lt;record&gt;&lt;rec-number&gt;22&lt;/rec-number&gt;&lt;foreign-keys&gt;&lt;key app="EN" db-id="a5zz9zdsp2tzdiedrdov0ztx9zwzps0patvs" timestamp="1424741470"&gt;22&lt;/key&gt;&lt;/foreign-keys&gt;&lt;ref-type name="Journal Article"&gt;17&lt;/ref-type&gt;&lt;contributors&gt;&lt;authors&gt;&lt;author&gt;Flaaten, Adam&lt;/author&gt;&lt;author&gt;Nguyen, Quoc P&lt;/author&gt;&lt;author&gt;Pope, Gary A&lt;/author&gt;&lt;author&gt;Zhang, Jieyuan&lt;/author&gt;&lt;/authors&gt;&lt;/contributors&gt;&lt;titles&gt;&lt;title&gt;A systematic laboratory approach to low-cost, high-performance chemical flooding&lt;/title&gt;&lt;secondary-title&gt;SPE Reservoir Evaluation &amp;amp; Engineering&lt;/secondary-title&gt;&lt;/titles&gt;&lt;periodical&gt;&lt;full-title&gt;SPE Reservoir Evaluation &amp;amp; Engineering&lt;/full-title&gt;&lt;/periodical&gt;&lt;pages&gt;713-723&lt;/pages&gt;&lt;volume&gt;12&lt;/volume&gt;&lt;number&gt;05&lt;/number&gt;&lt;dates&gt;&lt;year&gt;2009&lt;/year&gt;&lt;/dates&gt;&lt;isbn&gt;1094-6470&lt;/isbn&gt;&lt;urls&gt;&lt;/urls&gt;&lt;/record&gt;&lt;/Cite&gt;&lt;/EndNote&gt;</w:instrText>
      </w:r>
      <w:r w:rsidRPr="000B2A7C">
        <w:rPr>
          <w:lang w:bidi="en-US"/>
        </w:rPr>
        <w:fldChar w:fldCharType="separate"/>
      </w:r>
      <w:r w:rsidR="00332C11" w:rsidRPr="00332C11">
        <w:rPr>
          <w:noProof/>
          <w:vertAlign w:val="superscript"/>
          <w:lang w:bidi="en-US"/>
        </w:rPr>
        <w:t>12, 54</w:t>
      </w:r>
      <w:r w:rsidRPr="000B2A7C">
        <w:rPr>
          <w:lang w:bidi="en-US"/>
        </w:rPr>
        <w:fldChar w:fldCharType="end"/>
      </w:r>
      <w:r w:rsidRPr="000B2A7C">
        <w:rPr>
          <w:lang w:bidi="en-US"/>
        </w:rPr>
        <w:t xml:space="preserve"> of the cEOR surfactant flood system.   </w:t>
      </w:r>
    </w:p>
    <w:p w:rsidR="00C110FA" w:rsidRPr="000B2A7C" w:rsidRDefault="00C110FA" w:rsidP="00BF7BCE">
      <w:pPr>
        <w:pStyle w:val="Heading3"/>
      </w:pPr>
      <w:bookmarkStart w:id="87" w:name="_Toc426374037"/>
      <w:r w:rsidRPr="00C110FA">
        <w:t xml:space="preserve">Sand Pack </w:t>
      </w:r>
      <w:r w:rsidR="00CF5567">
        <w:t>Experiments</w:t>
      </w:r>
      <w:bookmarkEnd w:id="87"/>
    </w:p>
    <w:p w:rsidR="00C110FA" w:rsidRPr="00C110FA" w:rsidRDefault="00C110FA" w:rsidP="00C110FA">
      <w:pPr>
        <w:jc w:val="both"/>
        <w:rPr>
          <w:lang w:bidi="en-US"/>
        </w:rPr>
      </w:pPr>
      <w:r>
        <w:rPr>
          <w:noProof/>
        </w:rPr>
        <mc:AlternateContent>
          <mc:Choice Requires="wps">
            <w:drawing>
              <wp:anchor distT="0" distB="0" distL="114300" distR="114300" simplePos="0" relativeHeight="251687936" behindDoc="0" locked="0" layoutInCell="1" allowOverlap="1" wp14:anchorId="723C2066" wp14:editId="07B3E36B">
                <wp:simplePos x="0" y="0"/>
                <wp:positionH relativeFrom="column">
                  <wp:posOffset>60960</wp:posOffset>
                </wp:positionH>
                <wp:positionV relativeFrom="paragraph">
                  <wp:posOffset>5290185</wp:posOffset>
                </wp:positionV>
                <wp:extent cx="5394960" cy="635"/>
                <wp:effectExtent l="0" t="0" r="0" b="0"/>
                <wp:wrapTopAndBottom/>
                <wp:docPr id="20" name="Text Box 20"/>
                <wp:cNvGraphicFramePr/>
                <a:graphic xmlns:a="http://schemas.openxmlformats.org/drawingml/2006/main">
                  <a:graphicData uri="http://schemas.microsoft.com/office/word/2010/wordprocessingShape">
                    <wps:wsp>
                      <wps:cNvSpPr txBox="1"/>
                      <wps:spPr>
                        <a:xfrm>
                          <a:off x="0" y="0"/>
                          <a:ext cx="5394960" cy="635"/>
                        </a:xfrm>
                        <a:prstGeom prst="rect">
                          <a:avLst/>
                        </a:prstGeom>
                        <a:solidFill>
                          <a:prstClr val="white"/>
                        </a:solidFill>
                        <a:ln>
                          <a:noFill/>
                        </a:ln>
                        <a:effectLst/>
                      </wps:spPr>
                      <wps:txbx>
                        <w:txbxContent>
                          <w:p w:rsidR="005C410D" w:rsidRPr="00C110FA" w:rsidRDefault="005C410D" w:rsidP="00C110FA">
                            <w:pPr>
                              <w:pStyle w:val="Caption"/>
                              <w:rPr>
                                <w:b w:val="0"/>
                              </w:rPr>
                            </w:pPr>
                            <w:bookmarkStart w:id="88" w:name="_Toc426967300"/>
                            <w:r w:rsidRPr="00E51198">
                              <w:t xml:space="preserve">Figure </w:t>
                            </w:r>
                            <w:r w:rsidR="001C58A2">
                              <w:fldChar w:fldCharType="begin"/>
                            </w:r>
                            <w:r w:rsidR="001C58A2">
                              <w:instrText xml:space="preserve"> SEQ Figure \* ARABIC </w:instrText>
                            </w:r>
                            <w:r w:rsidR="001C58A2">
                              <w:fldChar w:fldCharType="separate"/>
                            </w:r>
                            <w:r w:rsidR="003F7947">
                              <w:rPr>
                                <w:noProof/>
                              </w:rPr>
                              <w:t>8</w:t>
                            </w:r>
                            <w:r w:rsidR="001C58A2">
                              <w:rPr>
                                <w:noProof/>
                              </w:rPr>
                              <w:fldChar w:fldCharType="end"/>
                            </w:r>
                            <w:r w:rsidRPr="00E51198">
                              <w:t>.</w:t>
                            </w:r>
                            <w:r w:rsidRPr="00E51198">
                              <w:rPr>
                                <w:b w:val="0"/>
                              </w:rPr>
                              <w:t xml:space="preserve"> Effect</w:t>
                            </w:r>
                            <w:r w:rsidRPr="00C110FA">
                              <w:rPr>
                                <w:b w:val="0"/>
                              </w:rPr>
                              <w:t xml:space="preserve"> of surfactant concentration on cumulative oil recovery and oil break through. Post water flooding surfactant injection (1 PV)</w:t>
                            </w:r>
                            <w:bookmarkEnd w:id="88"/>
                          </w:p>
                          <w:p w:rsidR="005C410D" w:rsidRPr="0039590C" w:rsidRDefault="005C410D" w:rsidP="00C110FA">
                            <w:pPr>
                              <w:pStyle w:val="Caption"/>
                              <w:rPr>
                                <w:szCs w:val="24"/>
                                <w:lang w:bidi="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3C2066" id="Text Box 20" o:spid="_x0000_s1033" type="#_x0000_t202" style="position:absolute;left:0;text-align:left;margin-left:4.8pt;margin-top:416.55pt;width:424.8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" stroked="f">
                <v:textbox style="mso-fit-shape-to-text:t" inset="0,0,0,0">
                  <w:txbxContent>
                    <w:p w:rsidR="005C410D" w:rsidRPr="00C110FA" w:rsidRDefault="005C410D" w:rsidP="00C110FA">
                      <w:pPr>
                        <w:pStyle w:val="Caption"/>
                        <w:rPr>
                          <w:b w:val="0"/>
                        </w:rPr>
                      </w:pPr>
                      <w:bookmarkStart w:id="97" w:name="_Toc426967300"/>
                      <w:r w:rsidRPr="00E51198">
                        <w:t xml:space="preserve">Figure </w:t>
                      </w:r>
                      <w:fldSimple w:instr=" SEQ Figure \* ARABIC ">
                        <w:r w:rsidR="003F7947">
                          <w:rPr>
                            <w:noProof/>
                          </w:rPr>
                          <w:t>8</w:t>
                        </w:r>
                      </w:fldSimple>
                      <w:r w:rsidRPr="00E51198">
                        <w:t>.</w:t>
                      </w:r>
                      <w:r w:rsidRPr="00E51198">
                        <w:rPr>
                          <w:b w:val="0"/>
                        </w:rPr>
                        <w:t xml:space="preserve"> Effect</w:t>
                      </w:r>
                      <w:r w:rsidRPr="00C110FA">
                        <w:rPr>
                          <w:b w:val="0"/>
                        </w:rPr>
                        <w:t xml:space="preserve"> of surfactant concentration on cumulative oil recovery and oil break through. Post water flooding surfactant injection (1 PV)</w:t>
                      </w:r>
                      <w:bookmarkEnd w:id="97"/>
                    </w:p>
                    <w:p w:rsidR="005C410D" w:rsidRPr="0039590C" w:rsidRDefault="005C410D" w:rsidP="00C110FA">
                      <w:pPr>
                        <w:pStyle w:val="Caption"/>
                        <w:rPr>
                          <w:szCs w:val="24"/>
                          <w:lang w:bidi="en-US"/>
                        </w:rPr>
                      </w:pPr>
                    </w:p>
                  </w:txbxContent>
                </v:textbox>
                <w10:wrap type="topAndBottom"/>
              </v:shape>
            </w:pict>
          </mc:Fallback>
        </mc:AlternateContent>
      </w:r>
      <w:r w:rsidRPr="00C110FA">
        <w:rPr>
          <w:noProof/>
        </w:rPr>
        <w:drawing>
          <wp:anchor distT="0" distB="0" distL="114300" distR="114300" simplePos="0" relativeHeight="251685888" behindDoc="0" locked="0" layoutInCell="1" allowOverlap="1" wp14:anchorId="1B2824D0" wp14:editId="6E190817">
            <wp:simplePos x="0" y="0"/>
            <wp:positionH relativeFrom="column">
              <wp:posOffset>-91440</wp:posOffset>
            </wp:positionH>
            <wp:positionV relativeFrom="page">
              <wp:posOffset>4514850</wp:posOffset>
            </wp:positionV>
            <wp:extent cx="5394960" cy="2742565"/>
            <wp:effectExtent l="0" t="0" r="15240" b="635"/>
            <wp:wrapTopAndBottom/>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anchor>
        </w:drawing>
      </w:r>
      <w:r w:rsidRPr="00C110FA">
        <w:rPr>
          <w:lang w:bidi="en-US"/>
        </w:rPr>
        <w:t xml:space="preserve">Sand pack studies are conducted in laboratory for the purpose of optimizing surfactant-only flood system under flow through conditions prepared for the field test. The optimal Type III microemulsion formulation described in previous section which exhibits minimum IFT value </w:t>
      </w:r>
      <w:r>
        <w:rPr>
          <w:lang w:bidi="en-US"/>
        </w:rPr>
        <w:t>in Figure 7</w:t>
      </w:r>
      <w:r w:rsidRPr="00C110FA">
        <w:rPr>
          <w:lang w:bidi="en-US"/>
        </w:rPr>
        <w:t xml:space="preserve"> is chosen for the sand pack tests. The resulted IFTs of the surfactant slugs with the crude oil wer</w:t>
      </w:r>
      <w:r w:rsidR="00616243">
        <w:rPr>
          <w:lang w:bidi="en-US"/>
        </w:rPr>
        <w:t>e confirmed before injecting in</w:t>
      </w:r>
      <w:r w:rsidRPr="00C110FA">
        <w:rPr>
          <w:lang w:bidi="en-US"/>
        </w:rPr>
        <w:t>to the sand pack. The IFT values for each column test are pre</w:t>
      </w:r>
      <w:r>
        <w:rPr>
          <w:lang w:bidi="en-US"/>
        </w:rPr>
        <w:t>sented in Table 12</w:t>
      </w:r>
      <w:r w:rsidRPr="00C110FA">
        <w:rPr>
          <w:lang w:bidi="en-US"/>
        </w:rPr>
        <w:t xml:space="preserve">. It can be observed that all the surfactant slugs produce ultra-low IFT. </w:t>
      </w:r>
    </w:p>
    <w:p w:rsidR="00C110FA" w:rsidRDefault="00C110FA" w:rsidP="00C110FA">
      <w:pPr>
        <w:jc w:val="both"/>
        <w:rPr>
          <w:lang w:bidi="en-US"/>
        </w:rPr>
      </w:pPr>
      <w:r>
        <w:rPr>
          <w:lang w:bidi="en-US"/>
        </w:rPr>
        <w:t>Figure 8</w:t>
      </w:r>
      <w:r w:rsidRPr="00C110FA">
        <w:rPr>
          <w:lang w:bidi="en-US"/>
        </w:rPr>
        <w:t xml:space="preserve"> shows the effect of varying total surfactant concentration on cumulative oil recovery. As seen in the Figure, decreasing the overall surfactant concentration from 0.75 wt % to 0.50 wt % decreases the cumulative oil recovery from 60% to 48%. A further decrease, down to 37%, in oil recovery is observed for 0.25 wt % surfactant concentration. </w:t>
      </w:r>
      <w:r>
        <w:rPr>
          <w:lang w:bidi="en-US"/>
        </w:rPr>
        <w:lastRenderedPageBreak/>
        <w:t>Figure 8</w:t>
      </w:r>
      <w:r w:rsidR="00AB06A3">
        <w:rPr>
          <w:lang w:bidi="en-US"/>
        </w:rPr>
        <w:t xml:space="preserve"> also shows </w:t>
      </w:r>
      <w:r w:rsidRPr="00C110FA">
        <w:rPr>
          <w:lang w:bidi="en-US"/>
        </w:rPr>
        <w:t xml:space="preserve">early oil breakthrough for the sand pack that is flooded with the surfactant concentration of 0.75 wt % compared to that of sand packs flooded with </w:t>
      </w:r>
      <w:r w:rsidR="00AB06A3">
        <w:rPr>
          <w:noProof/>
        </w:rPr>
        <mc:AlternateContent>
          <mc:Choice Requires="wps">
            <w:drawing>
              <wp:anchor distT="0" distB="0" distL="114300" distR="114300" simplePos="0" relativeHeight="251691008" behindDoc="0" locked="0" layoutInCell="1" allowOverlap="1" wp14:anchorId="515853F7" wp14:editId="4499FD14">
                <wp:simplePos x="0" y="0"/>
                <wp:positionH relativeFrom="column">
                  <wp:posOffset>299085</wp:posOffset>
                </wp:positionH>
                <wp:positionV relativeFrom="paragraph">
                  <wp:posOffset>4799330</wp:posOffset>
                </wp:positionV>
                <wp:extent cx="4669790" cy="635"/>
                <wp:effectExtent l="0" t="0" r="0" b="0"/>
                <wp:wrapTopAndBottom/>
                <wp:docPr id="22" name="Text Box 22"/>
                <wp:cNvGraphicFramePr/>
                <a:graphic xmlns:a="http://schemas.openxmlformats.org/drawingml/2006/main">
                  <a:graphicData uri="http://schemas.microsoft.com/office/word/2010/wordprocessingShape">
                    <wps:wsp>
                      <wps:cNvSpPr txBox="1"/>
                      <wps:spPr>
                        <a:xfrm>
                          <a:off x="0" y="0"/>
                          <a:ext cx="4669790" cy="635"/>
                        </a:xfrm>
                        <a:prstGeom prst="rect">
                          <a:avLst/>
                        </a:prstGeom>
                        <a:solidFill>
                          <a:prstClr val="white"/>
                        </a:solidFill>
                        <a:ln>
                          <a:noFill/>
                        </a:ln>
                        <a:effectLst/>
                      </wps:spPr>
                      <wps:txbx>
                        <w:txbxContent>
                          <w:p w:rsidR="005C410D" w:rsidRPr="00AB06A3" w:rsidRDefault="005C410D" w:rsidP="00AB06A3">
                            <w:pPr>
                              <w:pStyle w:val="Caption"/>
                              <w:rPr>
                                <w:b w:val="0"/>
                              </w:rPr>
                            </w:pPr>
                            <w:bookmarkStart w:id="89" w:name="_Toc426967301"/>
                            <w:r>
                              <w:t xml:space="preserve">Figure </w:t>
                            </w:r>
                            <w:r w:rsidR="001C58A2">
                              <w:fldChar w:fldCharType="begin"/>
                            </w:r>
                            <w:r w:rsidR="001C58A2">
                              <w:instrText xml:space="preserve"> SEQ Figure \* ARABIC </w:instrText>
                            </w:r>
                            <w:r w:rsidR="001C58A2">
                              <w:fldChar w:fldCharType="separate"/>
                            </w:r>
                            <w:r w:rsidR="003F7947">
                              <w:rPr>
                                <w:noProof/>
                              </w:rPr>
                              <w:t>9</w:t>
                            </w:r>
                            <w:r w:rsidR="001C58A2">
                              <w:rPr>
                                <w:noProof/>
                              </w:rPr>
                              <w:fldChar w:fldCharType="end"/>
                            </w:r>
                            <w:r>
                              <w:t xml:space="preserve">. </w:t>
                            </w:r>
                            <w:r w:rsidRPr="00AB06A3">
                              <w:rPr>
                                <w:b w:val="0"/>
                              </w:rPr>
                              <w:t>Effect of surfactant concentration on</w:t>
                            </w:r>
                            <w:r>
                              <w:t xml:space="preserve"> </w:t>
                            </w:r>
                            <w:r>
                              <w:rPr>
                                <w:b w:val="0"/>
                              </w:rPr>
                              <w:t xml:space="preserve">oil bank position. </w:t>
                            </w:r>
                            <w:r w:rsidRPr="00AB06A3">
                              <w:t>A)</w:t>
                            </w:r>
                            <w:r w:rsidRPr="00AB06A3">
                              <w:rPr>
                                <w:b w:val="0"/>
                              </w:rPr>
                              <w:t xml:space="preserve"> 1 PV, 0.25 wt% </w:t>
                            </w:r>
                            <w:r w:rsidRPr="00AB06A3">
                              <w:t>B)</w:t>
                            </w:r>
                            <w:r w:rsidRPr="00AB06A3">
                              <w:rPr>
                                <w:b w:val="0"/>
                              </w:rPr>
                              <w:t xml:space="preserve"> 1 PV, 0.50 wt% </w:t>
                            </w:r>
                            <w:r w:rsidRPr="00AB06A3">
                              <w:t>C)</w:t>
                            </w:r>
                            <w:r w:rsidRPr="00AB06A3">
                              <w:rPr>
                                <w:b w:val="0"/>
                              </w:rPr>
                              <w:t xml:space="preserve"> 1 PV, 0.75 wt%. Fluid injection rate: 0.3 ml/min</w:t>
                            </w:r>
                            <w:r>
                              <w:rPr>
                                <w:b w:val="0"/>
                              </w:rPr>
                              <w:t>.</w:t>
                            </w:r>
                            <w:bookmarkEnd w:id="89"/>
                            <w:r>
                              <w:rPr>
                                <w:b w:val="0"/>
                              </w:rPr>
                              <w:t xml:space="preserve"> </w:t>
                            </w:r>
                            <w:r w:rsidRPr="00AB06A3">
                              <w:rPr>
                                <w:b w:val="0"/>
                              </w:rPr>
                              <w:t xml:space="preserve"> </w:t>
                            </w:r>
                          </w:p>
                          <w:p w:rsidR="005C410D" w:rsidRPr="00200D78" w:rsidRDefault="005C410D" w:rsidP="00AB06A3">
                            <w:pPr>
                              <w:pStyle w:val="Caption"/>
                              <w:rPr>
                                <w:szCs w:val="24"/>
                                <w:lang w:bidi="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5853F7" id="Text Box 22" o:spid="_x0000_s1034" type="#_x0000_t202" style="position:absolute;left:0;text-align:left;margin-left:23.55pt;margin-top:377.9pt;width:367.7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" stroked="f">
                <v:textbox style="mso-fit-shape-to-text:t" inset="0,0,0,0">
                  <w:txbxContent>
                    <w:p w:rsidR="005C410D" w:rsidRPr="00AB06A3" w:rsidRDefault="005C410D" w:rsidP="00AB06A3">
                      <w:pPr>
                        <w:pStyle w:val="Caption"/>
                        <w:rPr>
                          <w:b w:val="0"/>
                        </w:rPr>
                      </w:pPr>
                      <w:bookmarkStart w:id="99" w:name="_Toc426967301"/>
                      <w:r>
                        <w:t xml:space="preserve">Figure </w:t>
                      </w:r>
                      <w:fldSimple w:instr=" SEQ Figure \* ARABIC ">
                        <w:r w:rsidR="003F7947">
                          <w:rPr>
                            <w:noProof/>
                          </w:rPr>
                          <w:t>9</w:t>
                        </w:r>
                      </w:fldSimple>
                      <w:r>
                        <w:t xml:space="preserve">. </w:t>
                      </w:r>
                      <w:r w:rsidRPr="00AB06A3">
                        <w:rPr>
                          <w:b w:val="0"/>
                        </w:rPr>
                        <w:t>Effect of surfactant concentration on</w:t>
                      </w:r>
                      <w:r>
                        <w:t xml:space="preserve"> </w:t>
                      </w:r>
                      <w:r>
                        <w:rPr>
                          <w:b w:val="0"/>
                        </w:rPr>
                        <w:t xml:space="preserve">oil bank position. </w:t>
                      </w:r>
                      <w:r w:rsidRPr="00AB06A3">
                        <w:t>A)</w:t>
                      </w:r>
                      <w:r w:rsidRPr="00AB06A3">
                        <w:rPr>
                          <w:b w:val="0"/>
                        </w:rPr>
                        <w:t xml:space="preserve"> 1 PV, 0.25 wt% </w:t>
                      </w:r>
                      <w:r w:rsidRPr="00AB06A3">
                        <w:t>B)</w:t>
                      </w:r>
                      <w:r w:rsidRPr="00AB06A3">
                        <w:rPr>
                          <w:b w:val="0"/>
                        </w:rPr>
                        <w:t xml:space="preserve"> 1 PV, 0.50 wt% </w:t>
                      </w:r>
                      <w:r w:rsidRPr="00AB06A3">
                        <w:t>C)</w:t>
                      </w:r>
                      <w:r w:rsidRPr="00AB06A3">
                        <w:rPr>
                          <w:b w:val="0"/>
                        </w:rPr>
                        <w:t xml:space="preserve"> 1 PV, 0.75 wt%. Fluid injection rate: 0.3 ml/min</w:t>
                      </w:r>
                      <w:r>
                        <w:rPr>
                          <w:b w:val="0"/>
                        </w:rPr>
                        <w:t>.</w:t>
                      </w:r>
                      <w:bookmarkEnd w:id="99"/>
                      <w:r>
                        <w:rPr>
                          <w:b w:val="0"/>
                        </w:rPr>
                        <w:t xml:space="preserve"> </w:t>
                      </w:r>
                      <w:r w:rsidRPr="00AB06A3">
                        <w:rPr>
                          <w:b w:val="0"/>
                        </w:rPr>
                        <w:t xml:space="preserve"> </w:t>
                      </w:r>
                    </w:p>
                    <w:p w:rsidR="005C410D" w:rsidRPr="00200D78" w:rsidRDefault="005C410D" w:rsidP="00AB06A3">
                      <w:pPr>
                        <w:pStyle w:val="Caption"/>
                        <w:rPr>
                          <w:szCs w:val="24"/>
                          <w:lang w:bidi="en-US"/>
                        </w:rPr>
                      </w:pPr>
                    </w:p>
                  </w:txbxContent>
                </v:textbox>
                <w10:wrap type="topAndBottom"/>
              </v:shape>
            </w:pict>
          </mc:Fallback>
        </mc:AlternateContent>
      </w:r>
      <w:r>
        <w:rPr>
          <w:noProof/>
        </w:rPr>
        <w:drawing>
          <wp:anchor distT="0" distB="0" distL="114300" distR="114300" simplePos="0" relativeHeight="251688960" behindDoc="0" locked="0" layoutInCell="1" allowOverlap="1" wp14:anchorId="628EB3A4" wp14:editId="178E9071">
            <wp:simplePos x="0" y="0"/>
            <wp:positionH relativeFrom="column">
              <wp:posOffset>299085</wp:posOffset>
            </wp:positionH>
            <wp:positionV relativeFrom="page">
              <wp:posOffset>1962150</wp:posOffset>
            </wp:positionV>
            <wp:extent cx="4669790" cy="3694430"/>
            <wp:effectExtent l="0" t="0" r="0" b="127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BEBA8EAE-BF5A-486C-A8C5-ECC9F3942E4B}">
                          <a14:imgProps xmlns:a14="http://schemas.microsoft.com/office/drawing/2010/main">
                            <a14:imgLayer r:embed="rId5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4669790" cy="3694430"/>
                    </a:xfrm>
                    <a:prstGeom prst="rect">
                      <a:avLst/>
                    </a:prstGeom>
                    <a:noFill/>
                  </pic:spPr>
                </pic:pic>
              </a:graphicData>
            </a:graphic>
          </wp:anchor>
        </w:drawing>
      </w:r>
      <w:r w:rsidRPr="00C110FA">
        <w:rPr>
          <w:lang w:bidi="en-US"/>
        </w:rPr>
        <w:t xml:space="preserve">less concentrated surfactant slug. </w:t>
      </w:r>
    </w:p>
    <w:p w:rsidR="00E64881" w:rsidRDefault="00AB06A3" w:rsidP="00C110FA">
      <w:pPr>
        <w:jc w:val="both"/>
        <w:rPr>
          <w:lang w:bidi="en-US"/>
        </w:rPr>
      </w:pPr>
      <w:r>
        <w:rPr>
          <w:lang w:bidi="en-US"/>
        </w:rPr>
        <w:t>Figure 9</w:t>
      </w:r>
      <w:r w:rsidR="00C110FA" w:rsidRPr="00C110FA">
        <w:rPr>
          <w:lang w:bidi="en-US"/>
        </w:rPr>
        <w:t xml:space="preserve"> shows the position of oil bank in sand pack shortly after flooding with one PV of each surfactant slug. It is observed that the sand pack flooded with 0.75 wt % surfactant slug has relatively higher oil bank advancing position than that of 0.50 wt % and 0.25 wt % surfactant slugs respectively. In ideal case where the surfactant adsorption in porous media is negligible and if significant IFT reduction at the oil-water interface is the only oil recovery mechanism</w:t>
      </w:r>
      <w:r w:rsidR="00864C6A">
        <w:rPr>
          <w:lang w:bidi="en-US"/>
        </w:rPr>
        <w:t>,</w:t>
      </w:r>
      <w:r w:rsidR="00C110FA" w:rsidRPr="00C110FA">
        <w:rPr>
          <w:lang w:bidi="en-US"/>
        </w:rPr>
        <w:t xml:space="preserve"> then lowering overall surfactant concentration while maintaining the optimal Type III region should not decrease the cumul</w:t>
      </w:r>
      <w:r w:rsidR="00864C6A">
        <w:rPr>
          <w:lang w:bidi="en-US"/>
        </w:rPr>
        <w:t>ative oil recovery and</w:t>
      </w:r>
      <w:r w:rsidR="00C110FA" w:rsidRPr="00C110FA">
        <w:rPr>
          <w:lang w:bidi="en-US"/>
        </w:rPr>
        <w:t xml:space="preserve"> nor should it delay the oil breakthrough. However, the observation made in this study </w:t>
      </w:r>
      <w:r w:rsidR="00C110FA" w:rsidRPr="00C110FA">
        <w:rPr>
          <w:lang w:bidi="en-US"/>
        </w:rPr>
        <w:lastRenderedPageBreak/>
        <w:t>doesn’t correspond to the ideal case. One potential explanation could be the severe surfactant retention in porous media by adsorption. In literature it is reported that the oil recovery is sensitive to the amount of surfactant injected and that the amount of surfactant required depends on the level of adsorption in porous media</w:t>
      </w:r>
      <w:r w:rsidR="00C110FA" w:rsidRPr="00C110FA">
        <w:rPr>
          <w:lang w:bidi="en-US"/>
        </w:rPr>
        <w:fldChar w:fldCharType="begin"/>
      </w:r>
      <w:r w:rsidR="00332C11">
        <w:rPr>
          <w:lang w:bidi="en-US"/>
        </w:rPr>
        <w:instrText xml:space="preserve"> ADDIN EN.CITE &lt;EndNote&gt;&lt;Cite&gt;&lt;Author&gt;Pope&lt;/Author&gt;&lt;Year&gt;1979&lt;/Year&gt;&lt;RecNum&gt;102&lt;/RecNum&gt;&lt;DisplayText&gt;&lt;style face="superscript"&gt;69&lt;/style&gt;&lt;/DisplayText&gt;&lt;record&gt;&lt;rec-number&gt;102&lt;/rec-number&gt;&lt;foreign-keys&gt;&lt;key app="EN" db-id="a5zz9zdsp2tzdiedrdov0ztx9zwzps0patvs" timestamp="1432240289"&gt;102&lt;/key&gt;&lt;/foreign-keys&gt;&lt;ref-type name="Journal Article"&gt;17&lt;/ref-type&gt;&lt;contributors&gt;&lt;authors&gt;&lt;author&gt;Pope, GA&lt;/author&gt;&lt;author&gt;Wang, Ben&lt;/author&gt;&lt;author&gt;Tsaur, Kerming&lt;/author&gt;&lt;/authors&gt;&lt;/contributors&gt;&lt;titles&gt;&lt;title&gt;A Sensitivity Study of Micellar/Polymer Flooding&lt;/title&gt;&lt;secondary-title&gt;Society of Petroleum Engineers Journal&lt;/secondary-title&gt;&lt;/titles&gt;&lt;periodical&gt;&lt;full-title&gt;Society of Petroleum Engineers Journal&lt;/full-title&gt;&lt;/periodical&gt;&lt;pages&gt;357-368&lt;/pages&gt;&lt;volume&gt;19&lt;/volume&gt;&lt;number&gt;06&lt;/number&gt;&lt;dates&gt;&lt;year&gt;1979&lt;/year&gt;&lt;/dates&gt;&lt;isbn&gt;0197-7520&lt;/isbn&gt;&lt;urls&gt;&lt;/urls&gt;&lt;/record&gt;&lt;/Cite&gt;&lt;/EndNote&gt;</w:instrText>
      </w:r>
      <w:r w:rsidR="00C110FA" w:rsidRPr="00C110FA">
        <w:rPr>
          <w:lang w:bidi="en-US"/>
        </w:rPr>
        <w:fldChar w:fldCharType="separate"/>
      </w:r>
      <w:r w:rsidR="00332C11" w:rsidRPr="00332C11">
        <w:rPr>
          <w:noProof/>
          <w:vertAlign w:val="superscript"/>
          <w:lang w:bidi="en-US"/>
        </w:rPr>
        <w:t>69</w:t>
      </w:r>
      <w:r w:rsidR="00C110FA" w:rsidRPr="00C110FA">
        <w:rPr>
          <w:lang w:bidi="en-US"/>
        </w:rPr>
        <w:fldChar w:fldCharType="end"/>
      </w:r>
      <w:r w:rsidR="00C110FA" w:rsidRPr="00C110FA">
        <w:rPr>
          <w:lang w:bidi="en-US"/>
        </w:rPr>
        <w:t xml:space="preserve">. In such case, a 0.75 wt % surfactant slug is arguably the best among other two less concentrated surfactant slugs as most surfactants are available to effectively participate in oil recovery mechanism. It is also likely that 0.75 wt % slug traverses in porous media faster because of more surfactant availability even after adsorption to mobilize oil resulting in faster oil bank formation and </w:t>
      </w:r>
      <w:r w:rsidR="00E64881">
        <w:rPr>
          <w:noProof/>
        </w:rPr>
        <mc:AlternateContent>
          <mc:Choice Requires="wps">
            <w:drawing>
              <wp:anchor distT="0" distB="0" distL="114300" distR="114300" simplePos="0" relativeHeight="251694080" behindDoc="0" locked="0" layoutInCell="1" allowOverlap="1" wp14:anchorId="53480E2D" wp14:editId="0E54A6FF">
                <wp:simplePos x="0" y="0"/>
                <wp:positionH relativeFrom="column">
                  <wp:posOffset>3810</wp:posOffset>
                </wp:positionH>
                <wp:positionV relativeFrom="paragraph">
                  <wp:posOffset>5710555</wp:posOffset>
                </wp:positionV>
                <wp:extent cx="5394960" cy="635"/>
                <wp:effectExtent l="0" t="0" r="0" b="0"/>
                <wp:wrapTopAndBottom/>
                <wp:docPr id="24" name="Text Box 24"/>
                <wp:cNvGraphicFramePr/>
                <a:graphic xmlns:a="http://schemas.openxmlformats.org/drawingml/2006/main">
                  <a:graphicData uri="http://schemas.microsoft.com/office/word/2010/wordprocessingShape">
                    <wps:wsp>
                      <wps:cNvSpPr txBox="1"/>
                      <wps:spPr>
                        <a:xfrm>
                          <a:off x="0" y="0"/>
                          <a:ext cx="5394960" cy="635"/>
                        </a:xfrm>
                        <a:prstGeom prst="rect">
                          <a:avLst/>
                        </a:prstGeom>
                        <a:solidFill>
                          <a:prstClr val="white"/>
                        </a:solidFill>
                        <a:ln>
                          <a:noFill/>
                        </a:ln>
                        <a:effectLst/>
                      </wps:spPr>
                      <wps:txbx>
                        <w:txbxContent>
                          <w:p w:rsidR="005C410D" w:rsidRPr="005C410D" w:rsidRDefault="005C410D" w:rsidP="005C410D">
                            <w:pPr>
                              <w:pStyle w:val="Caption"/>
                              <w:rPr>
                                <w:rFonts w:eastAsiaTheme="minorEastAsia"/>
                                <w:b w:val="0"/>
                                <w:color w:val="000000" w:themeColor="text1"/>
                                <w:kern w:val="24"/>
                              </w:rPr>
                            </w:pPr>
                            <w:bookmarkStart w:id="90" w:name="_Toc426967302"/>
                            <w:r>
                              <w:t xml:space="preserve">Figure </w:t>
                            </w:r>
                            <w:r w:rsidR="001C58A2">
                              <w:fldChar w:fldCharType="begin"/>
                            </w:r>
                            <w:r w:rsidR="001C58A2">
                              <w:instrText xml:space="preserve"> SEQ Figure \* ARABIC </w:instrText>
                            </w:r>
                            <w:r w:rsidR="001C58A2">
                              <w:fldChar w:fldCharType="separate"/>
                            </w:r>
                            <w:r w:rsidR="003F7947">
                              <w:rPr>
                                <w:noProof/>
                              </w:rPr>
                              <w:t>10</w:t>
                            </w:r>
                            <w:r w:rsidR="001C58A2">
                              <w:rPr>
                                <w:noProof/>
                              </w:rPr>
                              <w:fldChar w:fldCharType="end"/>
                            </w:r>
                            <w:r>
                              <w:t xml:space="preserve">. </w:t>
                            </w:r>
                            <w:r w:rsidRPr="00E64881">
                              <w:rPr>
                                <w:rFonts w:eastAsiaTheme="minorEastAsia"/>
                                <w:b w:val="0"/>
                                <w:color w:val="000000" w:themeColor="text1"/>
                                <w:kern w:val="24"/>
                              </w:rPr>
                              <w:t>Effect of surfactant slug size on cumulative oil recovery</w:t>
                            </w:r>
                            <w:bookmarkEnd w:id="90"/>
                            <w:r>
                              <w:rPr>
                                <w:rFonts w:eastAsiaTheme="minorEastAsia"/>
                                <w:b w:val="0"/>
                                <w:color w:val="000000" w:themeColor="text1"/>
                                <w:kern w:val="24"/>
                              </w:rPr>
                              <w:t xml:space="preserve">. </w:t>
                            </w:r>
                            <w:r w:rsidRPr="005C410D">
                              <w:rPr>
                                <w:rFonts w:eastAsiaTheme="minorEastAsia"/>
                                <w:b w:val="0"/>
                                <w:color w:val="000000" w:themeColor="text1"/>
                                <w:kern w:val="24"/>
                              </w:rPr>
                              <w:t>Post water flooding surfactant injection (1 PV)</w:t>
                            </w:r>
                          </w:p>
                          <w:p w:rsidR="005C410D" w:rsidRPr="00A57856" w:rsidRDefault="005C410D" w:rsidP="00E64881">
                            <w:pPr>
                              <w:pStyle w:val="Caption"/>
                              <w:jc w:val="center"/>
                              <w:rPr>
                                <w:szCs w:val="24"/>
                                <w:lang w:bidi="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480E2D" id="Text Box 24" o:spid="_x0000_s1035" type="#_x0000_t202" style="position:absolute;left:0;text-align:left;margin-left:.3pt;margin-top:449.65pt;width:424.8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" stroked="f">
                <v:textbox style="mso-fit-shape-to-text:t" inset="0,0,0,0">
                  <w:txbxContent>
                    <w:p w:rsidR="005C410D" w:rsidRPr="005C410D" w:rsidRDefault="005C410D" w:rsidP="005C410D">
                      <w:pPr>
                        <w:pStyle w:val="Caption"/>
                        <w:rPr>
                          <w:rFonts w:eastAsiaTheme="minorEastAsia"/>
                          <w:b w:val="0"/>
                          <w:color w:val="000000" w:themeColor="text1"/>
                          <w:kern w:val="24"/>
                        </w:rPr>
                      </w:pPr>
                      <w:bookmarkStart w:id="101" w:name="_Toc426967302"/>
                      <w:r>
                        <w:t xml:space="preserve">Figure </w:t>
                      </w:r>
                      <w:fldSimple w:instr=" SEQ Figure \* ARABIC ">
                        <w:r w:rsidR="003F7947">
                          <w:rPr>
                            <w:noProof/>
                          </w:rPr>
                          <w:t>10</w:t>
                        </w:r>
                      </w:fldSimple>
                      <w:r>
                        <w:t xml:space="preserve">. </w:t>
                      </w:r>
                      <w:r w:rsidRPr="00E64881">
                        <w:rPr>
                          <w:rFonts w:eastAsiaTheme="minorEastAsia"/>
                          <w:b w:val="0"/>
                          <w:color w:val="000000" w:themeColor="text1"/>
                          <w:kern w:val="24"/>
                        </w:rPr>
                        <w:t>Effect of surfactant slug size on cumulative oil recovery</w:t>
                      </w:r>
                      <w:bookmarkEnd w:id="101"/>
                      <w:r>
                        <w:rPr>
                          <w:rFonts w:eastAsiaTheme="minorEastAsia"/>
                          <w:b w:val="0"/>
                          <w:color w:val="000000" w:themeColor="text1"/>
                          <w:kern w:val="24"/>
                        </w:rPr>
                        <w:t xml:space="preserve">. </w:t>
                      </w:r>
                      <w:r w:rsidRPr="005C410D">
                        <w:rPr>
                          <w:rFonts w:eastAsiaTheme="minorEastAsia"/>
                          <w:b w:val="0"/>
                          <w:color w:val="000000" w:themeColor="text1"/>
                          <w:kern w:val="24"/>
                        </w:rPr>
                        <w:t>Post water flooding surfactant injection (1 PV)</w:t>
                      </w:r>
                    </w:p>
                    <w:p w:rsidR="005C410D" w:rsidRPr="00A57856" w:rsidRDefault="005C410D" w:rsidP="00E64881">
                      <w:pPr>
                        <w:pStyle w:val="Caption"/>
                        <w:jc w:val="center"/>
                        <w:rPr>
                          <w:szCs w:val="24"/>
                          <w:lang w:bidi="en-US"/>
                        </w:rPr>
                      </w:pPr>
                    </w:p>
                  </w:txbxContent>
                </v:textbox>
                <w10:wrap type="topAndBottom"/>
              </v:shape>
            </w:pict>
          </mc:Fallback>
        </mc:AlternateContent>
      </w:r>
      <w:r w:rsidR="00C110FA" w:rsidRPr="00C110FA">
        <w:rPr>
          <w:lang w:bidi="en-US"/>
        </w:rPr>
        <w:t xml:space="preserve">ultimately leading to the early oil breakthrough.   </w:t>
      </w:r>
      <w:r w:rsidRPr="00AB06A3">
        <w:rPr>
          <w:noProof/>
        </w:rPr>
        <w:drawing>
          <wp:anchor distT="0" distB="0" distL="114300" distR="114300" simplePos="0" relativeHeight="251692032" behindDoc="0" locked="0" layoutInCell="1" allowOverlap="1" wp14:anchorId="200EEB95" wp14:editId="777071C4">
            <wp:simplePos x="0" y="0"/>
            <wp:positionH relativeFrom="column">
              <wp:posOffset>3810</wp:posOffset>
            </wp:positionH>
            <wp:positionV relativeFrom="page">
              <wp:posOffset>4067175</wp:posOffset>
            </wp:positionV>
            <wp:extent cx="5394960" cy="2555240"/>
            <wp:effectExtent l="0" t="0" r="15240" b="16510"/>
            <wp:wrapTopAndBottom/>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14:sizeRelV relativeFrom="margin">
              <wp14:pctHeight>0</wp14:pctHeight>
            </wp14:sizeRelV>
          </wp:anchor>
        </w:drawing>
      </w:r>
    </w:p>
    <w:p w:rsidR="00C110FA" w:rsidRDefault="00AB06A3" w:rsidP="00C110FA">
      <w:pPr>
        <w:jc w:val="both"/>
        <w:rPr>
          <w:lang w:bidi="en-US"/>
        </w:rPr>
      </w:pPr>
      <w:r>
        <w:rPr>
          <w:lang w:bidi="en-US"/>
        </w:rPr>
        <w:t>Figure 10</w:t>
      </w:r>
      <w:r w:rsidR="00C110FA" w:rsidRPr="00C110FA">
        <w:rPr>
          <w:lang w:bidi="en-US"/>
        </w:rPr>
        <w:t xml:space="preserve"> shows the effect of varying the size of surfactant slug (in PVs) on cumulative oil recovery. The total surfactant concentration of each slug is consta</w:t>
      </w:r>
      <w:r w:rsidR="00864C6A">
        <w:rPr>
          <w:lang w:bidi="en-US"/>
        </w:rPr>
        <w:t>nt at 0.5 wt %. As seen in the F</w:t>
      </w:r>
      <w:r w:rsidR="00C110FA" w:rsidRPr="00C110FA">
        <w:rPr>
          <w:lang w:bidi="en-US"/>
        </w:rPr>
        <w:t>igure</w:t>
      </w:r>
      <w:r>
        <w:rPr>
          <w:lang w:bidi="en-US"/>
        </w:rPr>
        <w:t xml:space="preserve"> 10</w:t>
      </w:r>
      <w:r w:rsidR="00C110FA" w:rsidRPr="00C110FA">
        <w:rPr>
          <w:lang w:bidi="en-US"/>
        </w:rPr>
        <w:t xml:space="preserve">, 1 PV of surfactant slug recover 48% of residual oil, which is slightly higher compared to 41% of residual oil recovered by a 0.5 PV surfactant slug. A possible explanation for the lower oil recovery with 0.5 PV surfactant slug is surfactant dilution. It is likely that the oil mobilization efficiency of 0.5 PV surfactant slug could decrease </w:t>
      </w:r>
      <w:r w:rsidR="00C110FA" w:rsidRPr="00C110FA">
        <w:rPr>
          <w:lang w:bidi="en-US"/>
        </w:rPr>
        <w:lastRenderedPageBreak/>
        <w:t>after being diluted with the chaser brine. This scenario could also be compared and explained with the similar potential reasoning given earlier (See Figure</w:t>
      </w:r>
      <w:r>
        <w:rPr>
          <w:lang w:bidi="en-US"/>
        </w:rPr>
        <w:t xml:space="preserve"> 8</w:t>
      </w:r>
      <w:r w:rsidR="00C110FA" w:rsidRPr="00C110FA">
        <w:rPr>
          <w:lang w:bidi="en-US"/>
        </w:rPr>
        <w:t>) for the less concentrated surfactant slug with less oil recovery.</w:t>
      </w:r>
      <w:r>
        <w:rPr>
          <w:lang w:bidi="en-US"/>
        </w:rPr>
        <w:t xml:space="preserve"> As observed in Figure 10</w:t>
      </w:r>
      <w:r w:rsidR="00C110FA" w:rsidRPr="00C110FA">
        <w:rPr>
          <w:lang w:bidi="en-US"/>
        </w:rPr>
        <w:t xml:space="preserve">, even though total oil recovery is lower for 0.5 PV surfactant slug, the oil breakthrough time for both 0.5 and 1 PV surfactant slugs are similar. A potential explanation for such observation is the similar effect of both slugs during the early stage of surfactant flood. It is possible that when these two surfactant slugs first come in contact with oil, the effect is similar as both slugs are identical in terms of surfactant concentration. Thus, the effect of smaller slug size, 0.5 PV, is not realized until the dilution begins due to the arrival of the chaser brine and by the time this happens, portion of oil already makes it way to the effluent resulting in similar oil breakthrough front detected at the column outlet regardless of slug size. </w:t>
      </w:r>
    </w:p>
    <w:p w:rsidR="00E64881" w:rsidRPr="00E64881" w:rsidRDefault="00E64881" w:rsidP="00E64881">
      <w:pPr>
        <w:pStyle w:val="Caption"/>
        <w:keepNext/>
        <w:spacing w:line="360" w:lineRule="auto"/>
        <w:jc w:val="center"/>
        <w:rPr>
          <w:b w:val="0"/>
        </w:rPr>
      </w:pPr>
      <w:bookmarkStart w:id="91" w:name="_Toc426967290"/>
      <w:r>
        <w:t xml:space="preserve">Table </w:t>
      </w:r>
      <w:r w:rsidR="001C58A2">
        <w:fldChar w:fldCharType="begin"/>
      </w:r>
      <w:r w:rsidR="001C58A2">
        <w:instrText xml:space="preserve"> SEQ Table \* ARABIC </w:instrText>
      </w:r>
      <w:r w:rsidR="001C58A2">
        <w:fldChar w:fldCharType="separate"/>
      </w:r>
      <w:r w:rsidR="003F7947">
        <w:rPr>
          <w:noProof/>
        </w:rPr>
        <w:t>12</w:t>
      </w:r>
      <w:r w:rsidR="001C58A2">
        <w:rPr>
          <w:noProof/>
        </w:rPr>
        <w:fldChar w:fldCharType="end"/>
      </w:r>
      <w:r>
        <w:t xml:space="preserve">. </w:t>
      </w:r>
      <w:r w:rsidRPr="00E64881">
        <w:rPr>
          <w:b w:val="0"/>
        </w:rPr>
        <w:t>Summary of sand pack studies</w:t>
      </w:r>
      <w:bookmarkEnd w:id="91"/>
    </w:p>
    <w:tbl>
      <w:tblPr>
        <w:tblW w:w="5000" w:type="pct"/>
        <w:tblCellMar>
          <w:left w:w="0" w:type="dxa"/>
          <w:right w:w="0" w:type="dxa"/>
        </w:tblCellMar>
        <w:tblLook w:val="0600" w:firstRow="0" w:lastRow="0" w:firstColumn="0" w:lastColumn="0" w:noHBand="1" w:noVBand="1"/>
      </w:tblPr>
      <w:tblGrid>
        <w:gridCol w:w="782"/>
        <w:gridCol w:w="2000"/>
        <w:gridCol w:w="1439"/>
        <w:gridCol w:w="20"/>
        <w:gridCol w:w="1239"/>
        <w:gridCol w:w="1153"/>
        <w:gridCol w:w="1843"/>
      </w:tblGrid>
      <w:tr w:rsidR="00E64881" w:rsidRPr="00E64881" w:rsidTr="0025000C">
        <w:trPr>
          <w:trHeight w:val="676"/>
        </w:trPr>
        <w:tc>
          <w:tcPr>
            <w:tcW w:w="461" w:type="pct"/>
            <w:tcBorders>
              <w:top w:val="single" w:sz="8" w:space="0" w:color="000000"/>
              <w:left w:val="single" w:sz="8" w:space="0" w:color="000000"/>
              <w:bottom w:val="single" w:sz="8" w:space="0" w:color="000000"/>
              <w:right w:val="nil"/>
            </w:tcBorders>
            <w:shd w:val="clear" w:color="auto" w:fill="auto"/>
            <w:tcMar>
              <w:top w:w="15" w:type="dxa"/>
              <w:left w:w="15" w:type="dxa"/>
              <w:bottom w:w="0" w:type="dxa"/>
              <w:right w:w="15" w:type="dxa"/>
            </w:tcMar>
            <w:vAlign w:val="center"/>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b/>
                <w:bCs/>
                <w:color w:val="000000"/>
                <w:kern w:val="24"/>
              </w:rPr>
              <w:t>Sand Pack</w:t>
            </w:r>
          </w:p>
        </w:tc>
        <w:tc>
          <w:tcPr>
            <w:tcW w:w="1179"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b/>
                <w:bCs/>
                <w:color w:val="000000"/>
                <w:kern w:val="24"/>
              </w:rPr>
              <w:t>Surfactant Injection protocol</w:t>
            </w:r>
          </w:p>
        </w:tc>
        <w:tc>
          <w:tcPr>
            <w:tcW w:w="849"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b/>
                <w:bCs/>
                <w:color w:val="000000"/>
                <w:kern w:val="24"/>
              </w:rPr>
              <w:t>IFT, mN/m</w:t>
            </w:r>
          </w:p>
        </w:tc>
        <w:tc>
          <w:tcPr>
            <w:tcW w:w="12" w:type="pct"/>
            <w:tcBorders>
              <w:top w:val="single" w:sz="8" w:space="0" w:color="000000"/>
              <w:left w:val="nil"/>
              <w:bottom w:val="single" w:sz="8" w:space="0" w:color="000000"/>
              <w:right w:val="nil"/>
            </w:tcBorders>
          </w:tcPr>
          <w:p w:rsidR="00E64881" w:rsidRPr="00E64881" w:rsidRDefault="00E64881" w:rsidP="00E64881">
            <w:pPr>
              <w:spacing w:line="240" w:lineRule="auto"/>
              <w:jc w:val="center"/>
              <w:textAlignment w:val="bottom"/>
              <w:rPr>
                <w:rFonts w:ascii="Times New Roman" w:hAnsi="Times New Roman"/>
                <w:b/>
                <w:bCs/>
                <w:color w:val="000000"/>
                <w:kern w:val="24"/>
              </w:rPr>
            </w:pPr>
          </w:p>
        </w:tc>
        <w:tc>
          <w:tcPr>
            <w:tcW w:w="731"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b/>
                <w:bCs/>
                <w:color w:val="000000"/>
                <w:kern w:val="24"/>
              </w:rPr>
              <w:t>Initial Sor ± 0.02</w:t>
            </w:r>
          </w:p>
        </w:tc>
        <w:tc>
          <w:tcPr>
            <w:tcW w:w="680" w:type="pct"/>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b/>
                <w:bCs/>
                <w:color w:val="000000"/>
                <w:kern w:val="24"/>
              </w:rPr>
              <w:t xml:space="preserve">Final Sor </w:t>
            </w:r>
          </w:p>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Arial" w:cs="Arial"/>
                <w:b/>
                <w:bCs/>
                <w:color w:val="000000"/>
                <w:kern w:val="24"/>
              </w:rPr>
              <w:t>±</w:t>
            </w:r>
            <w:r w:rsidRPr="00E64881">
              <w:rPr>
                <w:rFonts w:ascii="Times New Roman" w:hAnsi="Arial" w:cs="Arial"/>
                <w:b/>
                <w:bCs/>
                <w:color w:val="000000"/>
                <w:kern w:val="24"/>
              </w:rPr>
              <w:t xml:space="preserve"> 0.02</w:t>
            </w:r>
          </w:p>
        </w:tc>
        <w:tc>
          <w:tcPr>
            <w:tcW w:w="1087" w:type="pct"/>
            <w:tcBorders>
              <w:top w:val="single" w:sz="8" w:space="0" w:color="000000"/>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b/>
                <w:bCs/>
                <w:color w:val="000000"/>
                <w:kern w:val="24"/>
              </w:rPr>
              <w:t>Cumulative oil recovery, %</w:t>
            </w:r>
          </w:p>
        </w:tc>
      </w:tr>
      <w:tr w:rsidR="00E64881" w:rsidRPr="00E64881" w:rsidTr="0025000C">
        <w:trPr>
          <w:trHeight w:val="464"/>
        </w:trPr>
        <w:tc>
          <w:tcPr>
            <w:tcW w:w="461" w:type="pct"/>
            <w:tcBorders>
              <w:top w:val="single" w:sz="8" w:space="0" w:color="000000"/>
              <w:left w:val="single" w:sz="8" w:space="0" w:color="000000"/>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1</w:t>
            </w:r>
          </w:p>
        </w:tc>
        <w:tc>
          <w:tcPr>
            <w:tcW w:w="1179" w:type="pct"/>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1 PV, 0.75 wt</w:t>
            </w:r>
            <w:r w:rsidR="00AC2588">
              <w:rPr>
                <w:rFonts w:ascii="Times New Roman" w:hAnsi="Times New Roman"/>
                <w:color w:val="000000"/>
                <w:kern w:val="24"/>
              </w:rPr>
              <w:t xml:space="preserve"> </w:t>
            </w:r>
            <w:r w:rsidRPr="00E64881">
              <w:rPr>
                <w:rFonts w:ascii="Times New Roman" w:hAnsi="Times New Roman"/>
                <w:color w:val="000000"/>
                <w:kern w:val="24"/>
              </w:rPr>
              <w:t>%</w:t>
            </w:r>
          </w:p>
        </w:tc>
        <w:tc>
          <w:tcPr>
            <w:tcW w:w="849" w:type="pct"/>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8.00E-03</w:t>
            </w:r>
          </w:p>
        </w:tc>
        <w:tc>
          <w:tcPr>
            <w:tcW w:w="12" w:type="pct"/>
            <w:tcBorders>
              <w:top w:val="single" w:sz="8" w:space="0" w:color="000000"/>
              <w:left w:val="nil"/>
              <w:bottom w:val="nil"/>
              <w:right w:val="nil"/>
            </w:tcBorders>
          </w:tcPr>
          <w:p w:rsidR="00E64881" w:rsidRPr="00E64881" w:rsidRDefault="00E64881" w:rsidP="00E64881">
            <w:pPr>
              <w:spacing w:line="240" w:lineRule="auto"/>
              <w:jc w:val="center"/>
              <w:textAlignment w:val="bottom"/>
              <w:rPr>
                <w:rFonts w:ascii="Times New Roman" w:hAnsi="Times New Roman"/>
                <w:color w:val="000000"/>
                <w:kern w:val="24"/>
              </w:rPr>
            </w:pPr>
          </w:p>
        </w:tc>
        <w:tc>
          <w:tcPr>
            <w:tcW w:w="731" w:type="pct"/>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0.24</w:t>
            </w:r>
          </w:p>
        </w:tc>
        <w:tc>
          <w:tcPr>
            <w:tcW w:w="680" w:type="pct"/>
            <w:tcBorders>
              <w:top w:val="single" w:sz="8" w:space="0" w:color="000000"/>
              <w:left w:val="nil"/>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0.1</w:t>
            </w:r>
            <w:r w:rsidR="00AC2588">
              <w:rPr>
                <w:rFonts w:ascii="Times New Roman" w:hAnsi="Times New Roman"/>
                <w:color w:val="000000"/>
                <w:kern w:val="24"/>
              </w:rPr>
              <w:t>0</w:t>
            </w:r>
          </w:p>
        </w:tc>
        <w:tc>
          <w:tcPr>
            <w:tcW w:w="1087" w:type="pct"/>
            <w:tcBorders>
              <w:top w:val="single" w:sz="8" w:space="0" w:color="000000"/>
              <w:left w:val="nil"/>
              <w:bottom w:val="nil"/>
              <w:right w:val="single" w:sz="8" w:space="0" w:color="000000"/>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60</w:t>
            </w:r>
          </w:p>
        </w:tc>
      </w:tr>
      <w:tr w:rsidR="00E64881" w:rsidRPr="00E64881" w:rsidTr="0025000C">
        <w:trPr>
          <w:trHeight w:val="464"/>
        </w:trPr>
        <w:tc>
          <w:tcPr>
            <w:tcW w:w="461" w:type="pct"/>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2</w:t>
            </w:r>
          </w:p>
        </w:tc>
        <w:tc>
          <w:tcPr>
            <w:tcW w:w="1179" w:type="pct"/>
            <w:tcBorders>
              <w:top w:val="nil"/>
              <w:left w:val="nil"/>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1 PV, 0.50 wt</w:t>
            </w:r>
            <w:r w:rsidR="00AC2588">
              <w:rPr>
                <w:rFonts w:ascii="Times New Roman" w:hAnsi="Times New Roman"/>
                <w:color w:val="000000"/>
                <w:kern w:val="24"/>
              </w:rPr>
              <w:t xml:space="preserve"> </w:t>
            </w:r>
            <w:r w:rsidRPr="00E64881">
              <w:rPr>
                <w:rFonts w:ascii="Times New Roman" w:hAnsi="Times New Roman"/>
                <w:color w:val="000000"/>
                <w:kern w:val="24"/>
              </w:rPr>
              <w:t>%</w:t>
            </w:r>
          </w:p>
        </w:tc>
        <w:tc>
          <w:tcPr>
            <w:tcW w:w="849" w:type="pct"/>
            <w:tcBorders>
              <w:top w:val="nil"/>
              <w:left w:val="nil"/>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7.80E-03</w:t>
            </w:r>
          </w:p>
        </w:tc>
        <w:tc>
          <w:tcPr>
            <w:tcW w:w="12" w:type="pct"/>
            <w:tcBorders>
              <w:top w:val="nil"/>
              <w:left w:val="nil"/>
              <w:bottom w:val="nil"/>
              <w:right w:val="nil"/>
            </w:tcBorders>
          </w:tcPr>
          <w:p w:rsidR="00E64881" w:rsidRPr="00E64881" w:rsidRDefault="00E64881" w:rsidP="00E64881">
            <w:pPr>
              <w:spacing w:line="240" w:lineRule="auto"/>
              <w:jc w:val="center"/>
              <w:textAlignment w:val="bottom"/>
              <w:rPr>
                <w:rFonts w:ascii="Times New Roman" w:hAnsi="Times New Roman"/>
                <w:color w:val="000000"/>
                <w:kern w:val="24"/>
              </w:rPr>
            </w:pPr>
          </w:p>
        </w:tc>
        <w:tc>
          <w:tcPr>
            <w:tcW w:w="731" w:type="pct"/>
            <w:tcBorders>
              <w:top w:val="nil"/>
              <w:left w:val="nil"/>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0.2</w:t>
            </w:r>
            <w:r w:rsidR="00AC2588">
              <w:rPr>
                <w:rFonts w:ascii="Times New Roman" w:hAnsi="Times New Roman"/>
                <w:color w:val="000000"/>
                <w:kern w:val="24"/>
              </w:rPr>
              <w:t>0</w:t>
            </w:r>
          </w:p>
        </w:tc>
        <w:tc>
          <w:tcPr>
            <w:tcW w:w="680" w:type="pct"/>
            <w:tcBorders>
              <w:top w:val="nil"/>
              <w:left w:val="nil"/>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0.1</w:t>
            </w:r>
            <w:r w:rsidR="00AC2588">
              <w:rPr>
                <w:rFonts w:ascii="Times New Roman" w:hAnsi="Times New Roman"/>
                <w:color w:val="000000"/>
                <w:kern w:val="24"/>
              </w:rPr>
              <w:t>0</w:t>
            </w:r>
          </w:p>
        </w:tc>
        <w:tc>
          <w:tcPr>
            <w:tcW w:w="1087" w:type="pct"/>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48</w:t>
            </w:r>
          </w:p>
        </w:tc>
      </w:tr>
      <w:tr w:rsidR="00E64881" w:rsidRPr="00E64881" w:rsidTr="0025000C">
        <w:trPr>
          <w:trHeight w:val="464"/>
        </w:trPr>
        <w:tc>
          <w:tcPr>
            <w:tcW w:w="461" w:type="pct"/>
            <w:tcBorders>
              <w:top w:val="nil"/>
              <w:left w:val="single" w:sz="8" w:space="0" w:color="000000"/>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3</w:t>
            </w:r>
          </w:p>
        </w:tc>
        <w:tc>
          <w:tcPr>
            <w:tcW w:w="1179" w:type="pct"/>
            <w:tcBorders>
              <w:top w:val="nil"/>
              <w:left w:val="nil"/>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1 PV, 0.25 wt</w:t>
            </w:r>
            <w:r w:rsidR="00AC2588">
              <w:rPr>
                <w:rFonts w:ascii="Times New Roman" w:hAnsi="Times New Roman"/>
                <w:color w:val="000000"/>
                <w:kern w:val="24"/>
              </w:rPr>
              <w:t xml:space="preserve"> </w:t>
            </w:r>
            <w:r w:rsidRPr="00E64881">
              <w:rPr>
                <w:rFonts w:ascii="Times New Roman" w:hAnsi="Times New Roman"/>
                <w:color w:val="000000"/>
                <w:kern w:val="24"/>
              </w:rPr>
              <w:t>%</w:t>
            </w:r>
          </w:p>
        </w:tc>
        <w:tc>
          <w:tcPr>
            <w:tcW w:w="849" w:type="pct"/>
            <w:tcBorders>
              <w:top w:val="nil"/>
              <w:left w:val="nil"/>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7.50E-03</w:t>
            </w:r>
          </w:p>
        </w:tc>
        <w:tc>
          <w:tcPr>
            <w:tcW w:w="12" w:type="pct"/>
            <w:tcBorders>
              <w:top w:val="nil"/>
              <w:left w:val="nil"/>
              <w:bottom w:val="nil"/>
              <w:right w:val="nil"/>
            </w:tcBorders>
          </w:tcPr>
          <w:p w:rsidR="00E64881" w:rsidRPr="00E64881" w:rsidRDefault="00E64881" w:rsidP="00E64881">
            <w:pPr>
              <w:spacing w:line="240" w:lineRule="auto"/>
              <w:jc w:val="center"/>
              <w:textAlignment w:val="bottom"/>
              <w:rPr>
                <w:rFonts w:ascii="Times New Roman" w:hAnsi="Times New Roman"/>
                <w:color w:val="000000"/>
                <w:kern w:val="24"/>
              </w:rPr>
            </w:pPr>
          </w:p>
        </w:tc>
        <w:tc>
          <w:tcPr>
            <w:tcW w:w="731" w:type="pct"/>
            <w:tcBorders>
              <w:top w:val="nil"/>
              <w:left w:val="nil"/>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0.26</w:t>
            </w:r>
          </w:p>
        </w:tc>
        <w:tc>
          <w:tcPr>
            <w:tcW w:w="680" w:type="pct"/>
            <w:tcBorders>
              <w:top w:val="nil"/>
              <w:left w:val="nil"/>
              <w:bottom w:val="nil"/>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0.16</w:t>
            </w:r>
          </w:p>
        </w:tc>
        <w:tc>
          <w:tcPr>
            <w:tcW w:w="1087" w:type="pct"/>
            <w:tcBorders>
              <w:top w:val="nil"/>
              <w:left w:val="nil"/>
              <w:bottom w:val="nil"/>
              <w:right w:val="single" w:sz="8" w:space="0" w:color="000000"/>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37</w:t>
            </w:r>
          </w:p>
        </w:tc>
      </w:tr>
      <w:tr w:rsidR="00E64881" w:rsidRPr="00E64881" w:rsidTr="0025000C">
        <w:trPr>
          <w:trHeight w:val="411"/>
        </w:trPr>
        <w:tc>
          <w:tcPr>
            <w:tcW w:w="461" w:type="pct"/>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4</w:t>
            </w:r>
          </w:p>
        </w:tc>
        <w:tc>
          <w:tcPr>
            <w:tcW w:w="1179" w:type="pct"/>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0.50 PV, 0.50 wt</w:t>
            </w:r>
            <w:r w:rsidR="00AC2588">
              <w:rPr>
                <w:rFonts w:ascii="Times New Roman" w:hAnsi="Times New Roman"/>
                <w:color w:val="000000"/>
                <w:kern w:val="24"/>
              </w:rPr>
              <w:t xml:space="preserve"> </w:t>
            </w:r>
            <w:r w:rsidRPr="00E64881">
              <w:rPr>
                <w:rFonts w:ascii="Times New Roman" w:hAnsi="Times New Roman"/>
                <w:color w:val="000000"/>
                <w:kern w:val="24"/>
              </w:rPr>
              <w:t>%</w:t>
            </w:r>
          </w:p>
        </w:tc>
        <w:tc>
          <w:tcPr>
            <w:tcW w:w="849" w:type="pct"/>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8.1 E-03</w:t>
            </w:r>
          </w:p>
        </w:tc>
        <w:tc>
          <w:tcPr>
            <w:tcW w:w="12" w:type="pct"/>
            <w:tcBorders>
              <w:top w:val="nil"/>
              <w:left w:val="nil"/>
              <w:bottom w:val="single" w:sz="8" w:space="0" w:color="000000"/>
              <w:right w:val="nil"/>
            </w:tcBorders>
          </w:tcPr>
          <w:p w:rsidR="00E64881" w:rsidRPr="00E64881" w:rsidRDefault="00E64881" w:rsidP="00E64881">
            <w:pPr>
              <w:spacing w:line="240" w:lineRule="auto"/>
              <w:jc w:val="center"/>
              <w:textAlignment w:val="bottom"/>
              <w:rPr>
                <w:rFonts w:ascii="Times New Roman" w:hAnsi="Times New Roman"/>
                <w:color w:val="000000"/>
                <w:kern w:val="24"/>
              </w:rPr>
            </w:pPr>
          </w:p>
        </w:tc>
        <w:tc>
          <w:tcPr>
            <w:tcW w:w="731" w:type="pct"/>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0.23</w:t>
            </w:r>
          </w:p>
        </w:tc>
        <w:tc>
          <w:tcPr>
            <w:tcW w:w="680" w:type="pct"/>
            <w:tcBorders>
              <w:top w:val="nil"/>
              <w:left w:val="nil"/>
              <w:bottom w:val="single" w:sz="8" w:space="0" w:color="000000"/>
              <w:right w:val="nil"/>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0.14</w:t>
            </w:r>
          </w:p>
        </w:tc>
        <w:tc>
          <w:tcPr>
            <w:tcW w:w="1087" w:type="pct"/>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bottom"/>
            <w:hideMark/>
          </w:tcPr>
          <w:p w:rsidR="00E64881" w:rsidRPr="00E64881" w:rsidRDefault="00E64881" w:rsidP="00E64881">
            <w:pPr>
              <w:spacing w:line="240" w:lineRule="auto"/>
              <w:jc w:val="center"/>
              <w:textAlignment w:val="bottom"/>
              <w:rPr>
                <w:rFonts w:ascii="Arial" w:hAnsi="Arial" w:cs="Arial"/>
                <w:sz w:val="36"/>
                <w:szCs w:val="36"/>
              </w:rPr>
            </w:pPr>
            <w:r w:rsidRPr="00E64881">
              <w:rPr>
                <w:rFonts w:ascii="Times New Roman" w:hAnsi="Times New Roman"/>
                <w:color w:val="000000"/>
                <w:kern w:val="24"/>
              </w:rPr>
              <w:t>41</w:t>
            </w:r>
          </w:p>
        </w:tc>
      </w:tr>
    </w:tbl>
    <w:p w:rsidR="00E64881" w:rsidRDefault="00E64881" w:rsidP="00C110FA">
      <w:pPr>
        <w:jc w:val="both"/>
        <w:rPr>
          <w:lang w:bidi="en-US"/>
        </w:rPr>
      </w:pPr>
    </w:p>
    <w:p w:rsidR="00701BCD" w:rsidRDefault="00616243" w:rsidP="00C110FA">
      <w:pPr>
        <w:jc w:val="both"/>
        <w:rPr>
          <w:lang w:bidi="en-US"/>
        </w:rPr>
      </w:pPr>
      <w:r>
        <w:rPr>
          <w:lang w:bidi="en-US"/>
        </w:rPr>
        <w:t>Table 12</w:t>
      </w:r>
      <w:r w:rsidR="00C110FA" w:rsidRPr="00C110FA">
        <w:rPr>
          <w:lang w:bidi="en-US"/>
        </w:rPr>
        <w:t xml:space="preserve"> summarizes the detailed information of each sand pack test. Taking into account of sand pack performance, field operation, and cost, the surfactant only flood system with slug size of 0.5 PV and 0.5 wt % surfactant concentration is thus decided as cEOR agent for field test. Literature shows that results of sand pack test corresponds very well with </w:t>
      </w:r>
      <w:r w:rsidR="00C110FA" w:rsidRPr="00C110FA">
        <w:rPr>
          <w:lang w:bidi="en-US"/>
        </w:rPr>
        <w:lastRenderedPageBreak/>
        <w:t>the performance of coreflood test</w:t>
      </w:r>
      <w:r w:rsidR="00C110FA" w:rsidRPr="00C110FA">
        <w:rPr>
          <w:lang w:bidi="en-US"/>
        </w:rPr>
        <w:fldChar w:fldCharType="begin"/>
      </w:r>
      <w:r w:rsidR="00332C11">
        <w:rPr>
          <w:lang w:bidi="en-US"/>
        </w:rPr>
        <w:instrText xml:space="preserve"> ADDIN EN.CITE &lt;EndNote&gt;&lt;Cite&gt;&lt;Author&gt;Hsu&lt;/Author&gt;&lt;Year&gt;2012&lt;/Year&gt;&lt;RecNum&gt;41&lt;/RecNum&gt;&lt;DisplayText&gt;&lt;style face="superscript"&gt;41&lt;/style&gt;&lt;/DisplayText&gt;&lt;record&gt;&lt;rec-number&gt;41&lt;/rec-number&gt;&lt;foreign-keys&gt;&lt;key app="EN" db-id="a5zz9zdsp2tzdiedrdov0ztx9zwzps0patvs" timestamp="1424741473"&gt;41&lt;/key&gt;&lt;/foreign-keys&gt;&lt;ref-type name="Conference Paper"&gt;47&lt;/ref-type&gt;&lt;contributors&gt;&lt;authors&gt;&lt;author&gt;Tzu-Ping Hsu&lt;/author&gt;&lt;author&gt;Prapas, Lohateeraparp&lt;/author&gt;&lt;author&gt;Xiaoguang Wang&lt;/author&gt;&lt;author&gt;Budhathoki, Mahesh&lt;/author&gt;&lt;author&gt;Shiau, BJ Ben&lt;/author&gt;&lt;/authors&gt;&lt;/contributors&gt;&lt;titles&gt;&lt;title&gt;Improved oil recovery by chemical flood from high salinity reservoirs-single-well surfactant injection test&lt;/title&gt;&lt;secondary-title&gt;In SPE EOR Conference at Oil and Gas West Asia&lt;/secondary-title&gt;&lt;/titles&gt;&lt;dates&gt;&lt;year&gt;2012&lt;/year&gt;&lt;/dates&gt;&lt;publisher&gt;Society of Petroleum Engineers&lt;/publisher&gt;&lt;urls&gt;&lt;/urls&gt;&lt;/record&gt;&lt;/Cite&gt;&lt;/EndNote&gt;</w:instrText>
      </w:r>
      <w:r w:rsidR="00C110FA" w:rsidRPr="00C110FA">
        <w:rPr>
          <w:lang w:bidi="en-US"/>
        </w:rPr>
        <w:fldChar w:fldCharType="separate"/>
      </w:r>
      <w:r w:rsidR="00332C11" w:rsidRPr="00332C11">
        <w:rPr>
          <w:noProof/>
          <w:vertAlign w:val="superscript"/>
          <w:lang w:bidi="en-US"/>
        </w:rPr>
        <w:t>41</w:t>
      </w:r>
      <w:r w:rsidR="00C110FA" w:rsidRPr="00C110FA">
        <w:rPr>
          <w:lang w:bidi="en-US"/>
        </w:rPr>
        <w:fldChar w:fldCharType="end"/>
      </w:r>
      <w:r w:rsidR="00C110FA" w:rsidRPr="00C110FA">
        <w:rPr>
          <w:lang w:bidi="en-US"/>
        </w:rPr>
        <w:t>. For this reason, coreflood tests are not performed in this study</w:t>
      </w:r>
      <w:r w:rsidR="00701BCD">
        <w:rPr>
          <w:lang w:bidi="en-US"/>
        </w:rPr>
        <w:t>.</w:t>
      </w:r>
    </w:p>
    <w:p w:rsidR="00701BCD" w:rsidRDefault="00701BCD" w:rsidP="00BF7BCE">
      <w:pPr>
        <w:pStyle w:val="Heading3"/>
      </w:pPr>
      <w:bookmarkStart w:id="92" w:name="_Toc426374038"/>
      <w:r w:rsidRPr="00701BCD">
        <w:t>Equilibrium Partitioning Tracer Coefficient, K</w:t>
      </w:r>
      <w:bookmarkEnd w:id="92"/>
    </w:p>
    <w:p w:rsidR="00701BCD" w:rsidRDefault="009E7742" w:rsidP="00701BCD">
      <w:pPr>
        <w:jc w:val="both"/>
        <w:rPr>
          <w:lang w:bidi="en-US"/>
        </w:rPr>
      </w:pPr>
      <w:r w:rsidRPr="009E7742">
        <w:rPr>
          <w:b/>
          <w:noProof/>
        </w:rPr>
        <w:drawing>
          <wp:anchor distT="0" distB="0" distL="114300" distR="114300" simplePos="0" relativeHeight="251695104" behindDoc="0" locked="0" layoutInCell="1" allowOverlap="1" wp14:anchorId="5ADC0F12" wp14:editId="473B1076">
            <wp:simplePos x="0" y="0"/>
            <wp:positionH relativeFrom="column">
              <wp:posOffset>99060</wp:posOffset>
            </wp:positionH>
            <wp:positionV relativeFrom="page">
              <wp:posOffset>4067175</wp:posOffset>
            </wp:positionV>
            <wp:extent cx="4572000" cy="2743200"/>
            <wp:effectExtent l="0" t="0" r="0" b="0"/>
            <wp:wrapTopAndBottom/>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anchor>
        </w:drawing>
      </w:r>
      <w:r w:rsidR="00701BCD" w:rsidRPr="00701BCD">
        <w:rPr>
          <w:lang w:bidi="en-US"/>
        </w:rPr>
        <w:t>It is desired for reactive tracer to have slightly higher solubility preference for oil over brine to estimate the Sor accurately</w:t>
      </w:r>
      <w:r w:rsidR="00701BCD" w:rsidRPr="00701BCD">
        <w:rPr>
          <w:lang w:bidi="en-US"/>
        </w:rPr>
        <w:fldChar w:fldCharType="begin"/>
      </w:r>
      <w:r w:rsidR="00332C11">
        <w:rPr>
          <w:lang w:bidi="en-US"/>
        </w:rPr>
        <w:instrText xml:space="preserve"> ADDIN EN.CITE &lt;EndNote&gt;&lt;Cite&gt;&lt;Author&gt;Deans&lt;/Author&gt;&lt;Year&gt;1988&lt;/Year&gt;&lt;RecNum&gt;89&lt;/RecNum&gt;&lt;DisplayText&gt;&lt;style face="superscript"&gt;62&lt;/style&gt;&lt;/DisplayText&gt;&lt;record&gt;&lt;rec-number&gt;89&lt;/rec-number&gt;&lt;foreign-keys&gt;&lt;key app="EN" db-id="a5zz9zdsp2tzdiedrdov0ztx9zwzps0patvs" timestamp="1432068441"&gt;89&lt;/key&gt;&lt;/foreign-keys&gt;&lt;ref-type name="Book"&gt;6&lt;/ref-type&gt;&lt;contributors&gt;&lt;authors&gt;&lt;author&gt;Deans, HA&lt;/author&gt;&lt;author&gt;Carlisle, CT&lt;/author&gt;&lt;/authors&gt;&lt;/contributors&gt;&lt;titles&gt;&lt;title&gt;Single Well Chemical Tracer Test Handbook&lt;/title&gt;&lt;secondary-title&gt;Chemical Tracers Inc., Houston, TX&lt;/secondary-title&gt;&lt;/titles&gt;&lt;periodical&gt;&lt;full-title&gt;Chemical Tracers Inc., Houston, TX&lt;/full-title&gt;&lt;/periodical&gt;&lt;dates&gt;&lt;year&gt;1988&lt;/year&gt;&lt;/dates&gt;&lt;urls&gt;&lt;/urls&gt;&lt;/record&gt;&lt;/Cite&gt;&lt;/EndNote&gt;</w:instrText>
      </w:r>
      <w:r w:rsidR="00701BCD" w:rsidRPr="00701BCD">
        <w:rPr>
          <w:lang w:bidi="en-US"/>
        </w:rPr>
        <w:fldChar w:fldCharType="separate"/>
      </w:r>
      <w:r w:rsidR="00332C11" w:rsidRPr="00332C11">
        <w:rPr>
          <w:noProof/>
          <w:vertAlign w:val="superscript"/>
          <w:lang w:bidi="en-US"/>
        </w:rPr>
        <w:t>62</w:t>
      </w:r>
      <w:r w:rsidR="00701BCD" w:rsidRPr="00701BCD">
        <w:rPr>
          <w:lang w:bidi="en-US"/>
        </w:rPr>
        <w:fldChar w:fldCharType="end"/>
      </w:r>
      <w:r w:rsidR="00701BCD" w:rsidRPr="00701BCD">
        <w:rPr>
          <w:lang w:bidi="en-US"/>
        </w:rPr>
        <w:t>. The equilibrium partition coefficient K of ethylformate measured in this study is 2.91±0.30. This value suggests that the ethylformate prefers oil almost 3 times to brine at the reservoir conditions. The ethylformate K values, which are sensitive to the reservoir temperature, brine salinity, pH, and crude oil light component, are reported to be in the range of 2.0 to 8.0</w:t>
      </w:r>
      <w:r w:rsidR="00701BCD" w:rsidRPr="00701BCD">
        <w:rPr>
          <w:lang w:bidi="en-US"/>
        </w:rPr>
        <w:fldChar w:fldCharType="begin"/>
      </w:r>
      <w:r w:rsidR="00332C11">
        <w:rPr>
          <w:lang w:bidi="en-US"/>
        </w:rPr>
        <w:instrText xml:space="preserve"> ADDIN EN.CITE &lt;EndNote&gt;&lt;Cite&gt;&lt;Author&gt;Deans&lt;/Author&gt;&lt;Year&gt;1988&lt;/Year&gt;&lt;RecNum&gt;89&lt;/RecNum&gt;&lt;DisplayText&gt;&lt;style face="superscript"&gt;62, 67&lt;/style&gt;&lt;/DisplayText&gt;&lt;record&gt;&lt;rec-number&gt;89&lt;/rec-number&gt;&lt;foreign-keys&gt;&lt;key app="EN" db-id="a5zz9zdsp2tzdiedrdov0ztx9zwzps0patvs" timestamp="1432068441"&gt;89&lt;/key&gt;&lt;/foreign-keys&gt;&lt;ref-type name="Book"&gt;6&lt;/ref-type&gt;&lt;contributors&gt;&lt;authors&gt;&lt;author&gt;Deans, HA&lt;/author&gt;&lt;author&gt;Carlisle, CT&lt;/author&gt;&lt;/authors&gt;&lt;/contributors&gt;&lt;titles&gt;&lt;title&gt;Single Well Chemical Tracer Test Handbook&lt;/title&gt;&lt;secondary-title&gt;Chemical Tracers Inc., Houston, TX&lt;/secondary-title&gt;&lt;/titles&gt;&lt;periodical&gt;&lt;full-title&gt;Chemical Tracers Inc., Houston, TX&lt;/full-title&gt;&lt;/periodical&gt;&lt;dates&gt;&lt;year&gt;1988&lt;/year&gt;&lt;/dates&gt;&lt;urls&gt;&lt;/urls&gt;&lt;/record&gt;&lt;/Cite&gt;&lt;Cite&gt;&lt;Author&gt;Jerauld&lt;/Author&gt;&lt;Year&gt;2010&lt;/Year&gt;&lt;RecNum&gt;93&lt;/RecNum&gt;&lt;record&gt;&lt;rec-number&gt;93&lt;/rec-number&gt;&lt;foreign-keys&gt;&lt;key app="EN" db-id="a5zz9zdsp2tzdiedrdov0ztx9zwzps0patvs" timestamp="1432070341"&gt;93&lt;/key&gt;&lt;/foreign-keys&gt;&lt;ref-type name="Conference Proceedings"&gt;10&lt;/ref-type&gt;&lt;contributors&gt;&lt;authors&gt;&lt;author&gt;Jerauld, Gary&lt;/author&gt;&lt;author&gt;Mohammadi, Hourshad&lt;/author&gt;&lt;author&gt;Webb, Kevin John&lt;/author&gt;&lt;/authors&gt;&lt;/contributors&gt;&lt;titles&gt;&lt;title&gt;Interpreting single well chemical tracer tests&lt;/title&gt;&lt;secondary-title&gt;SPE Improved Oil Recovery Symposium&lt;/secondary-title&gt;&lt;/titles&gt;&lt;dates&gt;&lt;year&gt;2010&lt;/year&gt;&lt;/dates&gt;&lt;publisher&gt;Society of Petroleum Engineers&lt;/publisher&gt;&lt;isbn&gt;1555632890&lt;/isbn&gt;&lt;urls&gt;&lt;/urls&gt;&lt;/record&gt;&lt;/Cite&gt;&lt;/EndNote&gt;</w:instrText>
      </w:r>
      <w:r w:rsidR="00701BCD" w:rsidRPr="00701BCD">
        <w:rPr>
          <w:lang w:bidi="en-US"/>
        </w:rPr>
        <w:fldChar w:fldCharType="separate"/>
      </w:r>
      <w:r w:rsidR="00332C11" w:rsidRPr="00332C11">
        <w:rPr>
          <w:noProof/>
          <w:vertAlign w:val="superscript"/>
          <w:lang w:bidi="en-US"/>
        </w:rPr>
        <w:t>62, 67</w:t>
      </w:r>
      <w:r w:rsidR="00701BCD" w:rsidRPr="00701BCD">
        <w:rPr>
          <w:lang w:bidi="en-US"/>
        </w:rPr>
        <w:fldChar w:fldCharType="end"/>
      </w:r>
      <w:r w:rsidR="00701BCD" w:rsidRPr="00701BCD">
        <w:rPr>
          <w:lang w:bidi="en-US"/>
        </w:rPr>
        <w:t xml:space="preserve">. </w:t>
      </w:r>
    </w:p>
    <w:p w:rsidR="009E7742" w:rsidRPr="00701BCD" w:rsidRDefault="009E7742" w:rsidP="00701BCD">
      <w:pPr>
        <w:jc w:val="both"/>
        <w:rPr>
          <w:b/>
          <w:lang w:bidi="en-US"/>
        </w:rPr>
      </w:pPr>
      <w:r>
        <w:rPr>
          <w:noProof/>
        </w:rPr>
        <mc:AlternateContent>
          <mc:Choice Requires="wps">
            <w:drawing>
              <wp:anchor distT="0" distB="0" distL="114300" distR="114300" simplePos="0" relativeHeight="251697152" behindDoc="0" locked="0" layoutInCell="1" allowOverlap="1" wp14:anchorId="3FF3606D" wp14:editId="76C6FC1A">
                <wp:simplePos x="0" y="0"/>
                <wp:positionH relativeFrom="column">
                  <wp:posOffset>3810</wp:posOffset>
                </wp:positionH>
                <wp:positionV relativeFrom="paragraph">
                  <wp:posOffset>2798445</wp:posOffset>
                </wp:positionV>
                <wp:extent cx="4572000" cy="635"/>
                <wp:effectExtent l="0" t="0" r="0" b="0"/>
                <wp:wrapTopAndBottom/>
                <wp:docPr id="15" name="Text Box 15"/>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a:effectLst/>
                      </wps:spPr>
                      <wps:txbx>
                        <w:txbxContent>
                          <w:p w:rsidR="005C410D" w:rsidRPr="009E7742" w:rsidRDefault="005C410D" w:rsidP="009E7742">
                            <w:pPr>
                              <w:pStyle w:val="Caption"/>
                              <w:rPr>
                                <w:b w:val="0"/>
                                <w:szCs w:val="24"/>
                                <w:lang w:bidi="en-US"/>
                              </w:rPr>
                            </w:pPr>
                            <w:bookmarkStart w:id="93" w:name="_Toc426967303"/>
                            <w:r>
                              <w:t xml:space="preserve">Figure </w:t>
                            </w:r>
                            <w:r w:rsidR="001C58A2">
                              <w:fldChar w:fldCharType="begin"/>
                            </w:r>
                            <w:r w:rsidR="001C58A2">
                              <w:instrText xml:space="preserve"> SEQ Figure \* ARABIC </w:instrText>
                            </w:r>
                            <w:r w:rsidR="001C58A2">
                              <w:fldChar w:fldCharType="separate"/>
                            </w:r>
                            <w:r w:rsidR="003F7947">
                              <w:rPr>
                                <w:noProof/>
                              </w:rPr>
                              <w:t>11</w:t>
                            </w:r>
                            <w:r w:rsidR="001C58A2">
                              <w:rPr>
                                <w:noProof/>
                              </w:rPr>
                              <w:fldChar w:fldCharType="end"/>
                            </w:r>
                            <w:r>
                              <w:t xml:space="preserve">. </w:t>
                            </w:r>
                            <w:r w:rsidRPr="009E7742">
                              <w:rPr>
                                <w:rFonts w:eastAsia="+mn-ea"/>
                                <w:b w:val="0"/>
                                <w:color w:val="000000"/>
                                <w:kern w:val="24"/>
                              </w:rPr>
                              <w:t>Ethylformate hydrolysis rate constant study</w:t>
                            </w:r>
                            <w:r>
                              <w:rPr>
                                <w:rFonts w:eastAsia="+mn-ea"/>
                                <w:b w:val="0"/>
                                <w:color w:val="000000"/>
                                <w:kern w:val="24"/>
                              </w:rPr>
                              <w:t xml:space="preserve"> conducted at 52</w:t>
                            </w:r>
                            <w:r>
                              <w:rPr>
                                <w:rFonts w:eastAsia="+mn-ea" w:cstheme="minorHAnsi"/>
                                <w:b w:val="0"/>
                                <w:color w:val="000000"/>
                                <w:kern w:val="24"/>
                              </w:rPr>
                              <w:t>°</w:t>
                            </w:r>
                            <w:r>
                              <w:rPr>
                                <w:rFonts w:eastAsia="+mn-ea"/>
                                <w:b w:val="0"/>
                                <w:color w:val="000000"/>
                                <w:kern w:val="24"/>
                              </w:rPr>
                              <w:t>C</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F3606D" id="Text Box 15" o:spid="_x0000_s1036" type="#_x0000_t202" style="position:absolute;left:0;text-align:left;margin-left:.3pt;margin-top:220.35pt;width:5in;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" stroked="f">
                <v:textbox style="mso-fit-shape-to-text:t" inset="0,0,0,0">
                  <w:txbxContent>
                    <w:p w:rsidR="005C410D" w:rsidRPr="009E7742" w:rsidRDefault="005C410D" w:rsidP="009E7742">
                      <w:pPr>
                        <w:pStyle w:val="Caption"/>
                        <w:rPr>
                          <w:b w:val="0"/>
                          <w:szCs w:val="24"/>
                          <w:lang w:bidi="en-US"/>
                        </w:rPr>
                      </w:pPr>
                      <w:bookmarkStart w:id="105" w:name="_Toc426967303"/>
                      <w:r>
                        <w:t xml:space="preserve">Figure </w:t>
                      </w:r>
                      <w:fldSimple w:instr=" SEQ Figure \* ARABIC ">
                        <w:r w:rsidR="003F7947">
                          <w:rPr>
                            <w:noProof/>
                          </w:rPr>
                          <w:t>11</w:t>
                        </w:r>
                      </w:fldSimple>
                      <w:r>
                        <w:t xml:space="preserve">. </w:t>
                      </w:r>
                      <w:r w:rsidRPr="009E7742">
                        <w:rPr>
                          <w:rFonts w:eastAsia="+mn-ea"/>
                          <w:b w:val="0"/>
                          <w:color w:val="000000"/>
                          <w:kern w:val="24"/>
                        </w:rPr>
                        <w:t>Ethylformate hydrolysis rate constant study</w:t>
                      </w:r>
                      <w:r>
                        <w:rPr>
                          <w:rFonts w:eastAsia="+mn-ea"/>
                          <w:b w:val="0"/>
                          <w:color w:val="000000"/>
                          <w:kern w:val="24"/>
                        </w:rPr>
                        <w:t xml:space="preserve"> conducted at 52</w:t>
                      </w:r>
                      <w:r>
                        <w:rPr>
                          <w:rFonts w:eastAsia="+mn-ea" w:cstheme="minorHAnsi"/>
                          <w:b w:val="0"/>
                          <w:color w:val="000000"/>
                          <w:kern w:val="24"/>
                        </w:rPr>
                        <w:t>°</w:t>
                      </w:r>
                      <w:r>
                        <w:rPr>
                          <w:rFonts w:eastAsia="+mn-ea"/>
                          <w:b w:val="0"/>
                          <w:color w:val="000000"/>
                          <w:kern w:val="24"/>
                        </w:rPr>
                        <w:t>C</w:t>
                      </w:r>
                      <w:bookmarkEnd w:id="105"/>
                    </w:p>
                  </w:txbxContent>
                </v:textbox>
                <w10:wrap type="topAndBottom"/>
              </v:shape>
            </w:pict>
          </mc:Fallback>
        </mc:AlternateContent>
      </w:r>
    </w:p>
    <w:p w:rsidR="00701BCD" w:rsidRDefault="009E7742" w:rsidP="00701BCD">
      <w:pPr>
        <w:jc w:val="both"/>
        <w:rPr>
          <w:lang w:bidi="en-US"/>
        </w:rPr>
      </w:pPr>
      <w:r>
        <w:rPr>
          <w:lang w:bidi="en-US"/>
        </w:rPr>
        <w:t>Figure 11</w:t>
      </w:r>
      <w:r w:rsidR="00701BCD" w:rsidRPr="00701BCD">
        <w:rPr>
          <w:lang w:bidi="en-US"/>
        </w:rPr>
        <w:t xml:space="preserve"> shows the plot of ethylformate concentration versus time under the reservoir temperature. According to the Equation 1, the slope of such plot, -0.284 ± 0.03 hr</w:t>
      </w:r>
      <w:r w:rsidR="00701BCD" w:rsidRPr="00701BCD">
        <w:rPr>
          <w:vertAlign w:val="superscript"/>
          <w:lang w:bidi="en-US"/>
        </w:rPr>
        <w:t xml:space="preserve">-1 </w:t>
      </w:r>
      <w:r w:rsidR="00701BCD" w:rsidRPr="00701BCD">
        <w:rPr>
          <w:lang w:bidi="en-US"/>
        </w:rPr>
        <w:t>(-7.88E-5 ± 8E-6 s</w:t>
      </w:r>
      <w:r w:rsidR="00701BCD" w:rsidRPr="00701BCD">
        <w:rPr>
          <w:vertAlign w:val="superscript"/>
          <w:lang w:bidi="en-US"/>
        </w:rPr>
        <w:t>-1</w:t>
      </w:r>
      <w:r w:rsidR="00701BCD" w:rsidRPr="00701BCD">
        <w:rPr>
          <w:lang w:bidi="en-US"/>
        </w:rPr>
        <w:t>), is the hydrolysis rate constant of the ethylformate. This value is similar to the rate constant, 7E-5 s</w:t>
      </w:r>
      <w:r w:rsidR="00701BCD" w:rsidRPr="00701BCD">
        <w:rPr>
          <w:vertAlign w:val="superscript"/>
          <w:lang w:bidi="en-US"/>
        </w:rPr>
        <w:t>-1</w:t>
      </w:r>
      <w:r w:rsidR="00701BCD" w:rsidRPr="00701BCD">
        <w:rPr>
          <w:lang w:bidi="en-US"/>
        </w:rPr>
        <w:t>, reported in literature</w:t>
      </w:r>
      <w:r w:rsidR="00701BCD" w:rsidRPr="00701BCD">
        <w:rPr>
          <w:lang w:bidi="en-US"/>
        </w:rPr>
        <w:fldChar w:fldCharType="begin"/>
      </w:r>
      <w:r w:rsidR="00332C11">
        <w:rPr>
          <w:lang w:bidi="en-US"/>
        </w:rPr>
        <w:instrText xml:space="preserve"> ADDIN EN.CITE &lt;EndNote&gt;&lt;Cite&gt;&lt;Author&gt;Jin&lt;/Author&gt;&lt;Year&gt;2015&lt;/Year&gt;&lt;RecNum&gt;86&lt;/RecNum&gt;&lt;DisplayText&gt;&lt;style face="superscript"&gt;60&lt;/style&gt;&lt;/DisplayText&gt;&lt;record&gt;&lt;rec-number&gt;86&lt;/rec-number&gt;&lt;foreign-keys&gt;&lt;key app="EN" db-id="a5zz9zdsp2tzdiedrdov0ztx9zwzps0patvs" timestamp="1432067088"&gt;86&lt;/key&gt;&lt;/foreign-keys&gt;&lt;ref-type name="Conference Proceedings"&gt;10&lt;/ref-type&gt;&lt;contributors&gt;&lt;authors&gt;&lt;author&gt;Jin, Luchao&lt;/author&gt;&lt;author&gt;Jamili, Ahmad&lt;/author&gt;&lt;author&gt;Harwell, Jeffrey H&lt;/author&gt;&lt;author&gt;Shiau, BJ&lt;/author&gt;&lt;author&gt;Roller, Chad&lt;/author&gt;&lt;/authors&gt;&lt;/contributors&gt;&lt;titles&gt;&lt;title&gt;Modeling and Interpretation of Single Well Chemical Tracer Tests (SWCTT) for pre and post Chemical EOR in two High Salinity Reservoirs&lt;/title&gt;&lt;secondary-title&gt;SPE Production and Operations Symposium&lt;/secondary-title&gt;&lt;/titles&gt;&lt;dates&gt;&lt;year&gt;2015&lt;/year&gt;&lt;/dates&gt;&lt;publisher&gt;Society of Petroleum Engineers&lt;/publisher&gt;&lt;isbn&gt;1613993757&lt;/isbn&gt;&lt;urls&gt;&lt;/urls&gt;&lt;/record&gt;&lt;/Cite&gt;&lt;/EndNote&gt;</w:instrText>
      </w:r>
      <w:r w:rsidR="00701BCD" w:rsidRPr="00701BCD">
        <w:rPr>
          <w:lang w:bidi="en-US"/>
        </w:rPr>
        <w:fldChar w:fldCharType="separate"/>
      </w:r>
      <w:r w:rsidR="00332C11" w:rsidRPr="00332C11">
        <w:rPr>
          <w:noProof/>
          <w:vertAlign w:val="superscript"/>
          <w:lang w:bidi="en-US"/>
        </w:rPr>
        <w:t>60</w:t>
      </w:r>
      <w:r w:rsidR="00701BCD" w:rsidRPr="00701BCD">
        <w:rPr>
          <w:lang w:bidi="en-US"/>
        </w:rPr>
        <w:fldChar w:fldCharType="end"/>
      </w:r>
      <w:r w:rsidR="00701BCD" w:rsidRPr="00701BCD">
        <w:rPr>
          <w:lang w:bidi="en-US"/>
        </w:rPr>
        <w:t xml:space="preserve"> for ethylformate hydrolysis at the reservoir temperature of 123 °F.  </w:t>
      </w:r>
    </w:p>
    <w:p w:rsidR="009E7742" w:rsidRDefault="00CF5567" w:rsidP="00BF7BCE">
      <w:pPr>
        <w:pStyle w:val="Heading3"/>
      </w:pPr>
      <w:bookmarkStart w:id="94" w:name="_Toc426374039"/>
      <w:r>
        <w:lastRenderedPageBreak/>
        <w:t>Field Test Results I</w:t>
      </w:r>
      <w:r w:rsidR="009E7742" w:rsidRPr="009E7742">
        <w:t>nterpretation</w:t>
      </w:r>
      <w:bookmarkEnd w:id="94"/>
    </w:p>
    <w:p w:rsidR="009E7742" w:rsidRDefault="0002352A" w:rsidP="009E7742">
      <w:pPr>
        <w:jc w:val="both"/>
        <w:rPr>
          <w:lang w:bidi="en-US"/>
        </w:rPr>
      </w:pPr>
      <w:r>
        <w:rPr>
          <w:noProof/>
        </w:rPr>
        <mc:AlternateContent>
          <mc:Choice Requires="wps">
            <w:drawing>
              <wp:anchor distT="0" distB="0" distL="114300" distR="114300" simplePos="0" relativeHeight="251700224" behindDoc="0" locked="0" layoutInCell="1" allowOverlap="1" wp14:anchorId="68679822" wp14:editId="69444889">
                <wp:simplePos x="0" y="0"/>
                <wp:positionH relativeFrom="column">
                  <wp:posOffset>3810</wp:posOffset>
                </wp:positionH>
                <wp:positionV relativeFrom="paragraph">
                  <wp:posOffset>6202680</wp:posOffset>
                </wp:positionV>
                <wp:extent cx="5394960" cy="476250"/>
                <wp:effectExtent l="0" t="0" r="0" b="0"/>
                <wp:wrapTopAndBottom/>
                <wp:docPr id="26" name="Text Box 26"/>
                <wp:cNvGraphicFramePr/>
                <a:graphic xmlns:a="http://schemas.openxmlformats.org/drawingml/2006/main">
                  <a:graphicData uri="http://schemas.microsoft.com/office/word/2010/wordprocessingShape">
                    <wps:wsp>
                      <wps:cNvSpPr txBox="1"/>
                      <wps:spPr>
                        <a:xfrm>
                          <a:off x="0" y="0"/>
                          <a:ext cx="5394960" cy="476250"/>
                        </a:xfrm>
                        <a:prstGeom prst="rect">
                          <a:avLst/>
                        </a:prstGeom>
                        <a:solidFill>
                          <a:prstClr val="white"/>
                        </a:solidFill>
                        <a:ln>
                          <a:noFill/>
                        </a:ln>
                        <a:effectLst/>
                      </wps:spPr>
                      <wps:txbx>
                        <w:txbxContent>
                          <w:p w:rsidR="005C410D" w:rsidRPr="0088401B" w:rsidRDefault="005C410D" w:rsidP="009E7742">
                            <w:pPr>
                              <w:pStyle w:val="Caption"/>
                              <w:rPr>
                                <w:szCs w:val="24"/>
                                <w:lang w:bidi="en-US"/>
                              </w:rPr>
                            </w:pPr>
                            <w:bookmarkStart w:id="95" w:name="_Toc426967304"/>
                            <w:r>
                              <w:t xml:space="preserve">Figure </w:t>
                            </w:r>
                            <w:r w:rsidR="001C58A2">
                              <w:fldChar w:fldCharType="begin"/>
                            </w:r>
                            <w:r w:rsidR="001C58A2">
                              <w:instrText xml:space="preserve"> SEQ Figure \* ARABIC </w:instrText>
                            </w:r>
                            <w:r w:rsidR="001C58A2">
                              <w:fldChar w:fldCharType="separate"/>
                            </w:r>
                            <w:r w:rsidR="003F7947">
                              <w:rPr>
                                <w:noProof/>
                              </w:rPr>
                              <w:t>12</w:t>
                            </w:r>
                            <w:r w:rsidR="001C58A2">
                              <w:rPr>
                                <w:noProof/>
                              </w:rPr>
                              <w:fldChar w:fldCharType="end"/>
                            </w:r>
                            <w:r>
                              <w:t xml:space="preserve">. </w:t>
                            </w:r>
                            <w:r w:rsidRPr="009E7742">
                              <w:rPr>
                                <w:b w:val="0"/>
                              </w:rPr>
                              <w:t>Pre Surfactant SWCTT tracer concentration profile; single layer fitting</w:t>
                            </w:r>
                            <w:r>
                              <w:rPr>
                                <w:b w:val="0"/>
                              </w:rPr>
                              <w:t>. Software: CMG-STARS</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679822" id="Text Box 26" o:spid="_x0000_s1037" type="#_x0000_t202" style="position:absolute;left:0;text-align:left;margin-left:.3pt;margin-top:488.4pt;width:424.8pt;height:37.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" stroked="f">
                <v:textbox inset="0,0,0,0">
                  <w:txbxContent>
                    <w:p w:rsidR="005C410D" w:rsidRPr="0088401B" w:rsidRDefault="005C410D" w:rsidP="009E7742">
                      <w:pPr>
                        <w:pStyle w:val="Caption"/>
                        <w:rPr>
                          <w:szCs w:val="24"/>
                          <w:lang w:bidi="en-US"/>
                        </w:rPr>
                      </w:pPr>
                      <w:bookmarkStart w:id="108" w:name="_Toc426967304"/>
                      <w:r>
                        <w:t xml:space="preserve">Figure </w:t>
                      </w:r>
                      <w:fldSimple w:instr=" SEQ Figure \* ARABIC ">
                        <w:r w:rsidR="003F7947">
                          <w:rPr>
                            <w:noProof/>
                          </w:rPr>
                          <w:t>12</w:t>
                        </w:r>
                      </w:fldSimple>
                      <w:r>
                        <w:t xml:space="preserve">. </w:t>
                      </w:r>
                      <w:r w:rsidRPr="009E7742">
                        <w:rPr>
                          <w:b w:val="0"/>
                        </w:rPr>
                        <w:t>Pre Surfactant SWCTT tracer concentration profile; single layer fitting</w:t>
                      </w:r>
                      <w:r>
                        <w:rPr>
                          <w:b w:val="0"/>
                        </w:rPr>
                        <w:t>. Software: CMG-STARS</w:t>
                      </w:r>
                      <w:bookmarkEnd w:id="108"/>
                    </w:p>
                  </w:txbxContent>
                </v:textbox>
                <w10:wrap type="topAndBottom"/>
              </v:shape>
            </w:pict>
          </mc:Fallback>
        </mc:AlternateContent>
      </w:r>
      <w:r w:rsidR="009E7742" w:rsidRPr="009E7742">
        <w:rPr>
          <w:lang w:bidi="en-US"/>
        </w:rPr>
        <w:t xml:space="preserve">The matched SWCTT results are </w:t>
      </w:r>
      <w:r w:rsidR="009E7742">
        <w:rPr>
          <w:lang w:bidi="en-US"/>
        </w:rPr>
        <w:t xml:space="preserve">shown in Figures 12 </w:t>
      </w:r>
      <w:r w:rsidR="009E7742" w:rsidRPr="009E7742">
        <w:rPr>
          <w:lang w:bidi="en-US"/>
        </w:rPr>
        <w:t xml:space="preserve">and </w:t>
      </w:r>
      <w:r w:rsidR="009E7742">
        <w:rPr>
          <w:lang w:bidi="en-US"/>
        </w:rPr>
        <w:t>13</w:t>
      </w:r>
      <w:r w:rsidR="009E7742" w:rsidRPr="009E7742">
        <w:rPr>
          <w:lang w:bidi="en-US"/>
        </w:rPr>
        <w:t xml:space="preserve"> for pre- and post-surfactant injection respectively. The profiles of reactive tracer ethylformate and product alcohol ethanol are well fitted by a single layer model indicating homogen</w:t>
      </w:r>
      <w:r w:rsidR="009D27EA">
        <w:rPr>
          <w:lang w:bidi="en-US"/>
        </w:rPr>
        <w:t>e</w:t>
      </w:r>
      <w:r w:rsidR="009E7742" w:rsidRPr="009E7742">
        <w:rPr>
          <w:lang w:bidi="en-US"/>
        </w:rPr>
        <w:t xml:space="preserve">ous geological formation near the test well. </w:t>
      </w:r>
      <w:r w:rsidR="009E7742">
        <w:rPr>
          <w:lang w:bidi="en-US"/>
        </w:rPr>
        <w:t>Table 13</w:t>
      </w:r>
      <w:r w:rsidR="009E7742" w:rsidRPr="009E7742">
        <w:rPr>
          <w:lang w:bidi="en-US"/>
        </w:rPr>
        <w:t xml:space="preserve"> summarizes the fitting parameters. As observed in the table, the reaction rate of ethylformate decreases from 9.5E-5 s</w:t>
      </w:r>
      <w:r w:rsidR="009E7742" w:rsidRPr="009E7742">
        <w:rPr>
          <w:vertAlign w:val="superscript"/>
          <w:lang w:bidi="en-US"/>
        </w:rPr>
        <w:t>-1</w:t>
      </w:r>
      <w:r w:rsidR="009E7742" w:rsidRPr="009E7742">
        <w:rPr>
          <w:lang w:bidi="en-US"/>
        </w:rPr>
        <w:t xml:space="preserve"> in pre surfactant SWCTT to 6.6E-5 s</w:t>
      </w:r>
      <w:r w:rsidR="009E7742" w:rsidRPr="009E7742">
        <w:rPr>
          <w:vertAlign w:val="superscript"/>
          <w:lang w:bidi="en-US"/>
        </w:rPr>
        <w:t>-1</w:t>
      </w:r>
      <w:r w:rsidR="009E7742" w:rsidRPr="009E7742">
        <w:rPr>
          <w:lang w:bidi="en-US"/>
        </w:rPr>
        <w:t xml:space="preserve"> in post surfactant SWCTT. The decrease in rate constant is most likely the result of temperature drop from injecting high volume of cold fluid during the tests</w:t>
      </w:r>
      <w:r w:rsidR="009E7742" w:rsidRPr="009E7742">
        <w:rPr>
          <w:lang w:bidi="en-US"/>
        </w:rPr>
        <w:fldChar w:fldCharType="begin"/>
      </w:r>
      <w:r w:rsidR="00332C11">
        <w:rPr>
          <w:lang w:bidi="en-US"/>
        </w:rPr>
        <w:instrText xml:space="preserve"> ADDIN EN.CITE &lt;EndNote&gt;&lt;Cite&gt;&lt;Author&gt;Park&lt;/Author&gt;&lt;Year&gt;1991&lt;/Year&gt;&lt;RecNum&gt;97&lt;/RecNum&gt;&lt;DisplayText&gt;&lt;style face="superscript"&gt;70&lt;/style&gt;&lt;/DisplayText&gt;&lt;record&gt;&lt;rec-number&gt;97&lt;/rec-number&gt;&lt;foreign-keys&gt;&lt;key app="EN" db-id="a5zz9zdsp2tzdiedrdov0ztx9zwzps0patvs" timestamp="1432137483"&gt;97&lt;/key&gt;&lt;/foreign-keys&gt;&lt;ref-type name="Journal Article"&gt;17&lt;/ref-type&gt;&lt;contributors&gt;&lt;authors&gt;&lt;author&gt;Park, YJ&lt;/author&gt;&lt;author&gt;Deans, HA&lt;/author&gt;&lt;author&gt;Tezduyar, TE&lt;/author&gt;&lt;/authors&gt;&lt;/contributors&gt;&lt;titles&gt;&lt;title&gt;Thermal Effects on Single-Well Chemical-Tracer Tests for Measuring Residual Oil Saturation&lt;/title&gt;&lt;secondary-title&gt;SPE Formation Evaluation&lt;/secondary-title&gt;&lt;/titles&gt;&lt;periodical&gt;&lt;full-title&gt;SPE Formation Evaluation&lt;/full-title&gt;&lt;/periodical&gt;&lt;pages&gt;401-408&lt;/pages&gt;&lt;volume&gt;6&lt;/volume&gt;&lt;number&gt;03&lt;/number&gt;&lt;dates&gt;&lt;year&gt;1991&lt;/year&gt;&lt;/dates&gt;&lt;isbn&gt;0885-923X&lt;/isbn&gt;&lt;urls&gt;&lt;/urls&gt;&lt;/record&gt;&lt;/Cite&gt;&lt;/EndNote&gt;</w:instrText>
      </w:r>
      <w:r w:rsidR="009E7742" w:rsidRPr="009E7742">
        <w:rPr>
          <w:lang w:bidi="en-US"/>
        </w:rPr>
        <w:fldChar w:fldCharType="separate"/>
      </w:r>
      <w:r w:rsidR="00332C11" w:rsidRPr="00332C11">
        <w:rPr>
          <w:noProof/>
          <w:vertAlign w:val="superscript"/>
          <w:lang w:bidi="en-US"/>
        </w:rPr>
        <w:t>70</w:t>
      </w:r>
      <w:r w:rsidR="009E7742" w:rsidRPr="009E7742">
        <w:rPr>
          <w:lang w:bidi="en-US"/>
        </w:rPr>
        <w:fldChar w:fldCharType="end"/>
      </w:r>
      <w:r w:rsidR="009E7742" w:rsidRPr="009E7742">
        <w:rPr>
          <w:lang w:bidi="en-US"/>
        </w:rPr>
        <w:t>. Similar phenomenon is also reported in literature</w:t>
      </w:r>
      <w:r w:rsidR="009E7742" w:rsidRPr="009E7742">
        <w:rPr>
          <w:lang w:bidi="en-US"/>
        </w:rPr>
        <w:fldChar w:fldCharType="begin"/>
      </w:r>
      <w:r w:rsidR="00332C11">
        <w:rPr>
          <w:lang w:bidi="en-US"/>
        </w:rPr>
        <w:instrText xml:space="preserve"> ADDIN EN.CITE &lt;EndNote&gt;&lt;Cite&gt;&lt;Author&gt;Jin&lt;/Author&gt;&lt;Year&gt;2015&lt;/Year&gt;&lt;RecNum&gt;86&lt;/RecNum&gt;&lt;DisplayText&gt;&lt;style face="superscript"&gt;60&lt;/style&gt;&lt;/DisplayText&gt;&lt;record&gt;&lt;rec-number&gt;86&lt;/rec-number&gt;&lt;foreign-keys&gt;&lt;key app="EN" db-id="a5zz9zdsp2tzdiedrdov0ztx9zwzps0patvs" timestamp="1432067088"&gt;86&lt;/key&gt;&lt;/foreign-keys&gt;&lt;ref-type name="Conference Proceedings"&gt;10&lt;/ref-type&gt;&lt;contributors&gt;&lt;authors&gt;&lt;author&gt;Jin, Luchao&lt;/author&gt;&lt;author&gt;Jamili, Ahmad&lt;/author&gt;&lt;author&gt;Harwell, Jeffrey H&lt;/author&gt;&lt;author&gt;Shiau, BJ&lt;/author&gt;&lt;author&gt;Roller, Chad&lt;/author&gt;&lt;/authors&gt;&lt;/contributors&gt;&lt;titles&gt;&lt;title&gt;Modeling and Interpretation of Single Well Chemical Tracer Tests (SWCTT) for pre and post Chemical EOR in two High Salinity Reservoirs&lt;/title&gt;&lt;secondary-title&gt;SPE Production and Operations Symposium&lt;/secondary-title&gt;&lt;/titles&gt;&lt;dates&gt;&lt;year&gt;2015&lt;/year&gt;&lt;/dates&gt;&lt;publisher&gt;Society of Petroleum Engineers&lt;/publisher&gt;&lt;isbn&gt;1613993757&lt;/isbn&gt;&lt;urls&gt;&lt;/urls&gt;&lt;/record&gt;&lt;/Cite&gt;&lt;/EndNote&gt;</w:instrText>
      </w:r>
      <w:r w:rsidR="009E7742" w:rsidRPr="009E7742">
        <w:rPr>
          <w:lang w:bidi="en-US"/>
        </w:rPr>
        <w:fldChar w:fldCharType="separate"/>
      </w:r>
      <w:r w:rsidR="00332C11" w:rsidRPr="00332C11">
        <w:rPr>
          <w:noProof/>
          <w:vertAlign w:val="superscript"/>
          <w:lang w:bidi="en-US"/>
        </w:rPr>
        <w:t>60</w:t>
      </w:r>
      <w:r w:rsidR="009E7742" w:rsidRPr="009E7742">
        <w:rPr>
          <w:lang w:bidi="en-US"/>
        </w:rPr>
        <w:fldChar w:fldCharType="end"/>
      </w:r>
      <w:r w:rsidR="009E7742" w:rsidRPr="009E7742">
        <w:rPr>
          <w:lang w:bidi="en-US"/>
        </w:rPr>
        <w:t xml:space="preserve">. </w:t>
      </w:r>
    </w:p>
    <w:p w:rsidR="009E7742" w:rsidRDefault="009E7742" w:rsidP="009E7742">
      <w:pPr>
        <w:jc w:val="both"/>
        <w:rPr>
          <w:lang w:bidi="en-US"/>
        </w:rPr>
      </w:pPr>
      <w:r w:rsidRPr="009E7742">
        <w:rPr>
          <w:noProof/>
        </w:rPr>
        <w:drawing>
          <wp:anchor distT="0" distB="0" distL="114300" distR="114300" simplePos="0" relativeHeight="251698176" behindDoc="0" locked="0" layoutInCell="1" allowOverlap="1" wp14:anchorId="52873479" wp14:editId="27F4EBF0">
            <wp:simplePos x="0" y="0"/>
            <wp:positionH relativeFrom="column">
              <wp:posOffset>3810</wp:posOffset>
            </wp:positionH>
            <wp:positionV relativeFrom="page">
              <wp:posOffset>4067175</wp:posOffset>
            </wp:positionV>
            <wp:extent cx="5394960" cy="3338830"/>
            <wp:effectExtent l="0" t="0" r="15240" b="13970"/>
            <wp:wrapTopAndBottom/>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anchor>
        </w:drawing>
      </w:r>
      <w:r w:rsidRPr="009E7742">
        <w:rPr>
          <w:lang w:bidi="en-US"/>
        </w:rPr>
        <w:t xml:space="preserve">The tracer concentration profile of pre-surfactant SWCTT depicted in Figure </w:t>
      </w:r>
      <w:r>
        <w:rPr>
          <w:lang w:bidi="en-US"/>
        </w:rPr>
        <w:t>12</w:t>
      </w:r>
      <w:r w:rsidRPr="009E7742">
        <w:rPr>
          <w:lang w:bidi="en-US"/>
        </w:rPr>
        <w:t xml:space="preserve"> shows a narrow separation between the peaks of ethylformate and ethanol. This observation indicates that the Sor after water flooding is low</w:t>
      </w:r>
      <w:r w:rsidRPr="009E7742">
        <w:rPr>
          <w:lang w:bidi="en-US"/>
        </w:rPr>
        <w:fldChar w:fldCharType="begin"/>
      </w:r>
      <w:r w:rsidR="00332C11">
        <w:rPr>
          <w:lang w:bidi="en-US"/>
        </w:rPr>
        <w:instrText xml:space="preserve"> ADDIN EN.CITE &lt;EndNote&gt;&lt;Cite&gt;&lt;Author&gt;Deans&lt;/Author&gt;&lt;Year&gt;1988&lt;/Year&gt;&lt;RecNum&gt;89&lt;/RecNum&gt;&lt;DisplayText&gt;&lt;style face="superscript"&gt;62&lt;/style&gt;&lt;/DisplayText&gt;&lt;record&gt;&lt;rec-number&gt;89&lt;/rec-number&gt;&lt;foreign-keys&gt;&lt;key app="EN" db-id="a5zz9zdsp2tzdiedrdov0ztx9zwzps0patvs" timestamp="1432068441"&gt;89&lt;/key&gt;&lt;/foreign-keys&gt;&lt;ref-type name="Book"&gt;6&lt;/ref-type&gt;&lt;contributors&gt;&lt;authors&gt;&lt;author&gt;Deans, HA&lt;/author&gt;&lt;author&gt;Carlisle, CT&lt;/author&gt;&lt;/authors&gt;&lt;/contributors&gt;&lt;titles&gt;&lt;title&gt;Single Well Chemical Tracer Test Handbook&lt;/title&gt;&lt;secondary-title&gt;Chemical Tracers Inc., Houston, TX&lt;/secondary-title&gt;&lt;/titles&gt;&lt;periodical&gt;&lt;full-title&gt;Chemical Tracers Inc., Houston, TX&lt;/full-title&gt;&lt;/periodical&gt;&lt;dates&gt;&lt;year&gt;1988&lt;/year&gt;&lt;/dates&gt;&lt;urls&gt;&lt;/urls&gt;&lt;/record&gt;&lt;/Cite&gt;&lt;/EndNote&gt;</w:instrText>
      </w:r>
      <w:r w:rsidRPr="009E7742">
        <w:rPr>
          <w:lang w:bidi="en-US"/>
        </w:rPr>
        <w:fldChar w:fldCharType="separate"/>
      </w:r>
      <w:r w:rsidR="00332C11" w:rsidRPr="00332C11">
        <w:rPr>
          <w:noProof/>
          <w:vertAlign w:val="superscript"/>
          <w:lang w:bidi="en-US"/>
        </w:rPr>
        <w:t>62</w:t>
      </w:r>
      <w:r w:rsidRPr="009E7742">
        <w:rPr>
          <w:lang w:bidi="en-US"/>
        </w:rPr>
        <w:fldChar w:fldCharType="end"/>
      </w:r>
      <w:r w:rsidRPr="009E7742">
        <w:rPr>
          <w:lang w:bidi="en-US"/>
        </w:rPr>
        <w:t xml:space="preserve"> and is further confirmed from </w:t>
      </w:r>
      <w:r w:rsidRPr="009E7742">
        <w:rPr>
          <w:lang w:bidi="en-US"/>
        </w:rPr>
        <w:lastRenderedPageBreak/>
        <w:t>simulation results that shows water flooding Sor of 0.11. It is reported that based on reservoir formation, oil and brine properties, and other unknown variables, the Sor of mature reservoirs could vary from less than 0.1 to more than 0.45</w:t>
      </w:r>
      <w:r w:rsidRPr="009E7742">
        <w:rPr>
          <w:lang w:bidi="en-US"/>
        </w:rPr>
        <w:fldChar w:fldCharType="begin"/>
      </w:r>
      <w:r w:rsidR="00332C11">
        <w:rPr>
          <w:lang w:bidi="en-US"/>
        </w:rPr>
        <w:instrText xml:space="preserve"> ADDIN EN.CITE &lt;EndNote&gt;&lt;Cite&gt;&lt;Author&gt;Deans&lt;/Author&gt;&lt;Year&gt;1988&lt;/Year&gt;&lt;RecNum&gt;89&lt;/RecNum&gt;&lt;DisplayText&gt;&lt;style face="superscript"&gt;62&lt;/style&gt;&lt;/DisplayText&gt;&lt;record&gt;&lt;rec-number&gt;89&lt;/rec-number&gt;&lt;foreign-keys&gt;&lt;key app="EN" db-id="a5zz9zdsp2tzdiedrdov0ztx9zwzps0patvs" timestamp="1432068441"&gt;89&lt;/key&gt;&lt;/foreign-keys&gt;&lt;ref-type name="Book"&gt;6&lt;/ref-type&gt;&lt;contributors&gt;&lt;authors&gt;&lt;author&gt;Deans, HA&lt;/author&gt;&lt;author&gt;Carlisle, CT&lt;/author&gt;&lt;/authors&gt;&lt;/contributors&gt;&lt;titles&gt;&lt;title&gt;Single Well Chemical Tracer Test Handbook&lt;/title&gt;&lt;secondary-title&gt;Chemical Tracers Inc., Houston, TX&lt;/secondary-title&gt;&lt;/titles&gt;&lt;periodical&gt;&lt;full-title&gt;Chemical Tracers Inc., Houston, TX&lt;/full-title&gt;&lt;/periodical&gt;&lt;dates&gt;&lt;year&gt;1988&lt;/year&gt;&lt;/dates&gt;&lt;urls&gt;&lt;/urls&gt;&lt;/record&gt;&lt;/Cite&gt;&lt;/EndNote&gt;</w:instrText>
      </w:r>
      <w:r w:rsidRPr="009E7742">
        <w:rPr>
          <w:lang w:bidi="en-US"/>
        </w:rPr>
        <w:fldChar w:fldCharType="separate"/>
      </w:r>
      <w:r w:rsidR="00332C11" w:rsidRPr="00332C11">
        <w:rPr>
          <w:noProof/>
          <w:vertAlign w:val="superscript"/>
          <w:lang w:bidi="en-US"/>
        </w:rPr>
        <w:t>62</w:t>
      </w:r>
      <w:r w:rsidRPr="009E7742">
        <w:rPr>
          <w:lang w:bidi="en-US"/>
        </w:rPr>
        <w:fldChar w:fldCharType="end"/>
      </w:r>
      <w:r w:rsidRPr="009E7742">
        <w:rPr>
          <w:lang w:bidi="en-US"/>
        </w:rPr>
        <w:t>. Given the fact that the formation at W site is highly permeable, 500 mD to 1000 mD, it is possible for this specific reservoir to have Sor of 0.11, especially after being water flooded with 6 PVs of reservoir brine at three times higher injection rate than its equilibrium production rate of 55 bbls/day. Increasing the velocity of injection fluid increases the capillary number and thereby decreases the Sor</w:t>
      </w:r>
      <w:r w:rsidRPr="009E7742">
        <w:rPr>
          <w:lang w:bidi="en-US"/>
        </w:rPr>
        <w:fldChar w:fldCharType="begin"/>
      </w:r>
      <w:r w:rsidR="00332C11">
        <w:rPr>
          <w:lang w:bidi="en-US"/>
        </w:rPr>
        <w:instrText xml:space="preserve"> ADDIN EN.CITE &lt;EndNote&gt;&lt;Cite&gt;&lt;Author&gt;Stegemeier&lt;/Author&gt;&lt;Year&gt;1974&lt;/Year&gt;&lt;RecNum&gt;99&lt;/RecNum&gt;&lt;DisplayText&gt;&lt;style face="superscript"&gt;58&lt;/style&gt;&lt;/DisplayText&gt;&lt;record&gt;&lt;rec-number&gt;99&lt;/rec-number&gt;&lt;foreign-keys&gt;&lt;key app="EN" db-id="a5zz9zdsp2tzdiedrdov0ztx9zwzps0patvs" timestamp="1432138281"&gt;99&lt;/key&gt;&lt;/foreign-keys&gt;&lt;ref-type name="Conference Proceedings"&gt;10&lt;/ref-type&gt;&lt;contributors&gt;&lt;authors&gt;&lt;author&gt;Stegemeier, George L&lt;/author&gt;&lt;/authors&gt;&lt;/contributors&gt;&lt;titles&gt;&lt;title&gt;Relationship of Trapped Oil Saturation to Petrophysical Properties of Porous Media&lt;/title&gt;&lt;secondary-title&gt;SPE Improved Oil Recovery Symposium&lt;/secondary-title&gt;&lt;/titles&gt;&lt;dates&gt;&lt;year&gt;1974&lt;/year&gt;&lt;/dates&gt;&lt;publisher&gt;Society of Petroleum Engineers&lt;/publisher&gt;&lt;isbn&gt;155563771X&lt;/isbn&gt;&lt;urls&gt;&lt;/urls&gt;&lt;/record&gt;&lt;/Cite&gt;&lt;/EndNote&gt;</w:instrText>
      </w:r>
      <w:r w:rsidRPr="009E7742">
        <w:rPr>
          <w:lang w:bidi="en-US"/>
        </w:rPr>
        <w:fldChar w:fldCharType="separate"/>
      </w:r>
      <w:r w:rsidR="00332C11" w:rsidRPr="00332C11">
        <w:rPr>
          <w:noProof/>
          <w:vertAlign w:val="superscript"/>
          <w:lang w:bidi="en-US"/>
        </w:rPr>
        <w:t>58</w:t>
      </w:r>
      <w:r w:rsidRPr="009E7742">
        <w:rPr>
          <w:lang w:bidi="en-US"/>
        </w:rPr>
        <w:fldChar w:fldCharType="end"/>
      </w:r>
      <w:r w:rsidRPr="009E7742">
        <w:rPr>
          <w:lang w:bidi="en-US"/>
        </w:rPr>
        <w:t xml:space="preserve">. Furthermore, as observed in Figure </w:t>
      </w:r>
      <w:r>
        <w:rPr>
          <w:lang w:bidi="en-US"/>
        </w:rPr>
        <w:t>13</w:t>
      </w:r>
      <w:r w:rsidRPr="009E7742">
        <w:rPr>
          <w:lang w:bidi="en-US"/>
        </w:rPr>
        <w:t xml:space="preserve">, there is no distinct separation between the peaks of ethylformate and ethanol in post-surfactant SWCTT indicating that the Sor is very low. The simulation results verify this observation and show the post surfactant Sor of 0.03. </w:t>
      </w:r>
    </w:p>
    <w:p w:rsidR="009E7742" w:rsidRDefault="009E7742" w:rsidP="009E7742">
      <w:pPr>
        <w:keepNext/>
        <w:jc w:val="both"/>
      </w:pPr>
      <w:r w:rsidRPr="009E7742">
        <w:rPr>
          <w:noProof/>
        </w:rPr>
        <w:drawing>
          <wp:inline distT="0" distB="0" distL="0" distR="0" wp14:anchorId="7A0C11D4" wp14:editId="3C14E255">
            <wp:extent cx="5394960" cy="3019425"/>
            <wp:effectExtent l="0" t="0" r="15240" b="9525"/>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9E7742" w:rsidRPr="0002352A" w:rsidRDefault="009E7742" w:rsidP="0002352A">
      <w:pPr>
        <w:pStyle w:val="Caption"/>
        <w:jc w:val="both"/>
        <w:rPr>
          <w:lang w:bidi="en-US"/>
        </w:rPr>
      </w:pPr>
      <w:bookmarkStart w:id="96" w:name="_Toc426967305"/>
      <w:r>
        <w:t xml:space="preserve">Figure </w:t>
      </w:r>
      <w:r w:rsidR="001C58A2">
        <w:fldChar w:fldCharType="begin"/>
      </w:r>
      <w:r w:rsidR="001C58A2">
        <w:instrText xml:space="preserve"> SEQ Figure \* ARABIC </w:instrText>
      </w:r>
      <w:r w:rsidR="001C58A2">
        <w:fldChar w:fldCharType="separate"/>
      </w:r>
      <w:r w:rsidR="003F7947">
        <w:rPr>
          <w:noProof/>
        </w:rPr>
        <w:t>13</w:t>
      </w:r>
      <w:r w:rsidR="001C58A2">
        <w:rPr>
          <w:noProof/>
        </w:rPr>
        <w:fldChar w:fldCharType="end"/>
      </w:r>
      <w:r>
        <w:t xml:space="preserve">. </w:t>
      </w:r>
      <w:r w:rsidRPr="009E7742">
        <w:rPr>
          <w:b w:val="0"/>
        </w:rPr>
        <w:t>Post Surfactant SWCTT tracer concentration profile; single layer fitting</w:t>
      </w:r>
      <w:r w:rsidR="0002352A">
        <w:rPr>
          <w:b w:val="0"/>
        </w:rPr>
        <w:t xml:space="preserve">. </w:t>
      </w:r>
      <w:r w:rsidR="0002352A" w:rsidRPr="0002352A">
        <w:rPr>
          <w:b w:val="0"/>
        </w:rPr>
        <w:t>Software: CMG-S</w:t>
      </w:r>
      <w:r w:rsidR="0002352A">
        <w:rPr>
          <w:b w:val="0"/>
        </w:rPr>
        <w:t>TARS</w:t>
      </w:r>
      <w:bookmarkEnd w:id="96"/>
    </w:p>
    <w:p w:rsidR="009E7742" w:rsidRDefault="009E7742" w:rsidP="009E7742">
      <w:pPr>
        <w:pStyle w:val="Caption"/>
        <w:keepNext/>
      </w:pPr>
    </w:p>
    <w:p w:rsidR="0002352A" w:rsidRPr="0002352A" w:rsidRDefault="0002352A" w:rsidP="0002352A">
      <w:pPr>
        <w:pStyle w:val="Caption"/>
        <w:keepNext/>
        <w:jc w:val="center"/>
        <w:rPr>
          <w:lang w:bidi="en-US"/>
        </w:rPr>
      </w:pPr>
      <w:bookmarkStart w:id="97" w:name="_Toc426967291"/>
      <w:r>
        <w:t xml:space="preserve">Table </w:t>
      </w:r>
      <w:r w:rsidR="001C58A2">
        <w:fldChar w:fldCharType="begin"/>
      </w:r>
      <w:r w:rsidR="001C58A2">
        <w:instrText xml:space="preserve"> SEQ Table \* ARABIC </w:instrText>
      </w:r>
      <w:r w:rsidR="001C58A2">
        <w:fldChar w:fldCharType="separate"/>
      </w:r>
      <w:r w:rsidR="003F7947">
        <w:rPr>
          <w:noProof/>
        </w:rPr>
        <w:t>13</w:t>
      </w:r>
      <w:r w:rsidR="001C58A2">
        <w:rPr>
          <w:noProof/>
        </w:rPr>
        <w:fldChar w:fldCharType="end"/>
      </w:r>
      <w:r>
        <w:t xml:space="preserve">. </w:t>
      </w:r>
      <w:r w:rsidRPr="0002352A">
        <w:rPr>
          <w:b w:val="0"/>
        </w:rPr>
        <w:t>Simulation Matching Parameters. Software: CMG-STARS</w:t>
      </w:r>
      <w:bookmarkEnd w:id="97"/>
    </w:p>
    <w:p w:rsidR="0002352A" w:rsidRDefault="0002352A" w:rsidP="0002352A">
      <w:pPr>
        <w:pStyle w:val="Caption"/>
        <w:keepNext/>
      </w:pPr>
    </w:p>
    <w:tbl>
      <w:tblPr>
        <w:tblW w:w="7380" w:type="dxa"/>
        <w:tblInd w:w="536" w:type="dxa"/>
        <w:tblCellMar>
          <w:left w:w="0" w:type="dxa"/>
          <w:right w:w="0" w:type="dxa"/>
        </w:tblCellMar>
        <w:tblLook w:val="04A0" w:firstRow="1" w:lastRow="0" w:firstColumn="1" w:lastColumn="0" w:noHBand="0" w:noVBand="1"/>
      </w:tblPr>
      <w:tblGrid>
        <w:gridCol w:w="3500"/>
        <w:gridCol w:w="1720"/>
        <w:gridCol w:w="2160"/>
      </w:tblGrid>
      <w:tr w:rsidR="009E7742" w:rsidRPr="009E7742" w:rsidTr="009E7742">
        <w:trPr>
          <w:trHeight w:val="645"/>
        </w:trPr>
        <w:tc>
          <w:tcPr>
            <w:tcW w:w="3500" w:type="dxa"/>
            <w:tcBorders>
              <w:top w:val="single" w:sz="8" w:space="0" w:color="000000"/>
              <w:left w:val="single" w:sz="8" w:space="0" w:color="000000"/>
              <w:bottom w:val="single" w:sz="8" w:space="0" w:color="000000"/>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b/>
                <w:bCs/>
                <w:color w:val="000000"/>
                <w:kern w:val="24"/>
              </w:rPr>
              <w:t>Matching Parameter</w:t>
            </w:r>
          </w:p>
        </w:tc>
        <w:tc>
          <w:tcPr>
            <w:tcW w:w="172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b/>
                <w:bCs/>
                <w:color w:val="000000"/>
                <w:kern w:val="24"/>
              </w:rPr>
              <w:t>Pre Surfactant SWCTT</w:t>
            </w:r>
          </w:p>
        </w:tc>
        <w:tc>
          <w:tcPr>
            <w:tcW w:w="2160" w:type="dxa"/>
            <w:tcBorders>
              <w:top w:val="single" w:sz="8" w:space="0" w:color="000000"/>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b/>
                <w:bCs/>
                <w:color w:val="000000"/>
                <w:kern w:val="24"/>
              </w:rPr>
              <w:t>Post Surfactant SWCTT</w:t>
            </w:r>
          </w:p>
        </w:tc>
      </w:tr>
      <w:tr w:rsidR="009E7742" w:rsidRPr="009E7742" w:rsidTr="009E7742">
        <w:trPr>
          <w:trHeight w:val="315"/>
        </w:trPr>
        <w:tc>
          <w:tcPr>
            <w:tcW w:w="3500" w:type="dxa"/>
            <w:tcBorders>
              <w:top w:val="single" w:sz="8" w:space="0" w:color="000000"/>
              <w:left w:val="single" w:sz="8" w:space="0" w:color="000000"/>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Thickness (m)</w:t>
            </w:r>
          </w:p>
        </w:tc>
        <w:tc>
          <w:tcPr>
            <w:tcW w:w="172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3.66</w:t>
            </w:r>
          </w:p>
        </w:tc>
        <w:tc>
          <w:tcPr>
            <w:tcW w:w="2160" w:type="dxa"/>
            <w:tcBorders>
              <w:top w:val="single" w:sz="8" w:space="0" w:color="000000"/>
              <w:left w:val="nil"/>
              <w:bottom w:val="nil"/>
              <w:right w:val="single" w:sz="8" w:space="0" w:color="000000"/>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3.66</w:t>
            </w:r>
          </w:p>
        </w:tc>
      </w:tr>
      <w:tr w:rsidR="009E7742" w:rsidRPr="009E7742" w:rsidTr="009E7742">
        <w:trPr>
          <w:trHeight w:val="396"/>
        </w:trPr>
        <w:tc>
          <w:tcPr>
            <w:tcW w:w="350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Porosity</w:t>
            </w:r>
          </w:p>
        </w:tc>
        <w:tc>
          <w:tcPr>
            <w:tcW w:w="1720" w:type="dxa"/>
            <w:tcBorders>
              <w:top w:val="nil"/>
              <w:left w:val="nil"/>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0.25</w:t>
            </w:r>
          </w:p>
        </w:tc>
        <w:tc>
          <w:tcPr>
            <w:tcW w:w="216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0.27</w:t>
            </w:r>
          </w:p>
        </w:tc>
      </w:tr>
      <w:tr w:rsidR="009E7742" w:rsidRPr="009E7742" w:rsidTr="009E7742">
        <w:trPr>
          <w:trHeight w:val="456"/>
        </w:trPr>
        <w:tc>
          <w:tcPr>
            <w:tcW w:w="350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Partition Coef. K</w:t>
            </w:r>
          </w:p>
        </w:tc>
        <w:tc>
          <w:tcPr>
            <w:tcW w:w="1720" w:type="dxa"/>
            <w:tcBorders>
              <w:top w:val="nil"/>
              <w:left w:val="nil"/>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2.91</w:t>
            </w:r>
          </w:p>
        </w:tc>
        <w:tc>
          <w:tcPr>
            <w:tcW w:w="216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2.91</w:t>
            </w:r>
          </w:p>
        </w:tc>
      </w:tr>
      <w:tr w:rsidR="009E7742" w:rsidRPr="009E7742" w:rsidTr="009E7742">
        <w:trPr>
          <w:trHeight w:val="399"/>
        </w:trPr>
        <w:tc>
          <w:tcPr>
            <w:tcW w:w="350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Reaction Rate (s-1)</w:t>
            </w:r>
          </w:p>
        </w:tc>
        <w:tc>
          <w:tcPr>
            <w:tcW w:w="1720" w:type="dxa"/>
            <w:tcBorders>
              <w:top w:val="nil"/>
              <w:left w:val="nil"/>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9.50E-05</w:t>
            </w:r>
          </w:p>
        </w:tc>
        <w:tc>
          <w:tcPr>
            <w:tcW w:w="216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6.60E-05</w:t>
            </w:r>
          </w:p>
        </w:tc>
      </w:tr>
      <w:tr w:rsidR="009E7742" w:rsidRPr="009E7742" w:rsidTr="009E7742">
        <w:trPr>
          <w:trHeight w:val="396"/>
        </w:trPr>
        <w:tc>
          <w:tcPr>
            <w:tcW w:w="350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Sor = 1 - Sw</w:t>
            </w:r>
          </w:p>
        </w:tc>
        <w:tc>
          <w:tcPr>
            <w:tcW w:w="1720" w:type="dxa"/>
            <w:tcBorders>
              <w:top w:val="nil"/>
              <w:left w:val="nil"/>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0.11</w:t>
            </w:r>
          </w:p>
        </w:tc>
        <w:tc>
          <w:tcPr>
            <w:tcW w:w="216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0.03</w:t>
            </w:r>
          </w:p>
        </w:tc>
      </w:tr>
      <w:tr w:rsidR="009E7742" w:rsidRPr="009E7742" w:rsidTr="009E7742">
        <w:trPr>
          <w:trHeight w:val="495"/>
        </w:trPr>
        <w:tc>
          <w:tcPr>
            <w:tcW w:w="350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Dispersion Coef. Ethyl Formate</w:t>
            </w:r>
          </w:p>
        </w:tc>
        <w:tc>
          <w:tcPr>
            <w:tcW w:w="1720" w:type="dxa"/>
            <w:tcBorders>
              <w:top w:val="nil"/>
              <w:left w:val="nil"/>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0.009</w:t>
            </w:r>
          </w:p>
        </w:tc>
        <w:tc>
          <w:tcPr>
            <w:tcW w:w="216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0.013</w:t>
            </w:r>
          </w:p>
        </w:tc>
      </w:tr>
      <w:tr w:rsidR="009E7742" w:rsidRPr="009E7742" w:rsidTr="009E7742">
        <w:trPr>
          <w:trHeight w:val="377"/>
        </w:trPr>
        <w:tc>
          <w:tcPr>
            <w:tcW w:w="350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Dispersion Coef. Ethanol</w:t>
            </w:r>
          </w:p>
        </w:tc>
        <w:tc>
          <w:tcPr>
            <w:tcW w:w="1720" w:type="dxa"/>
            <w:tcBorders>
              <w:top w:val="nil"/>
              <w:left w:val="nil"/>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0.009</w:t>
            </w:r>
          </w:p>
        </w:tc>
        <w:tc>
          <w:tcPr>
            <w:tcW w:w="216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0.03</w:t>
            </w:r>
          </w:p>
        </w:tc>
      </w:tr>
      <w:tr w:rsidR="009E7742" w:rsidRPr="009E7742" w:rsidTr="009E7742">
        <w:trPr>
          <w:trHeight w:val="585"/>
        </w:trPr>
        <w:tc>
          <w:tcPr>
            <w:tcW w:w="350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Tracer Injection Rate (m3/day)</w:t>
            </w:r>
          </w:p>
        </w:tc>
        <w:tc>
          <w:tcPr>
            <w:tcW w:w="1720" w:type="dxa"/>
            <w:tcBorders>
              <w:top w:val="nil"/>
              <w:left w:val="nil"/>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12.5</w:t>
            </w:r>
          </w:p>
        </w:tc>
        <w:tc>
          <w:tcPr>
            <w:tcW w:w="216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13.0</w:t>
            </w:r>
          </w:p>
        </w:tc>
      </w:tr>
      <w:tr w:rsidR="009E7742" w:rsidRPr="009E7742" w:rsidTr="009E7742">
        <w:trPr>
          <w:trHeight w:val="345"/>
        </w:trPr>
        <w:tc>
          <w:tcPr>
            <w:tcW w:w="350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Pusher Injection Rate (m3/day)</w:t>
            </w:r>
          </w:p>
        </w:tc>
        <w:tc>
          <w:tcPr>
            <w:tcW w:w="1720" w:type="dxa"/>
            <w:tcBorders>
              <w:top w:val="nil"/>
              <w:left w:val="nil"/>
              <w:bottom w:val="nil"/>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27.5</w:t>
            </w:r>
          </w:p>
        </w:tc>
        <w:tc>
          <w:tcPr>
            <w:tcW w:w="216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19.0</w:t>
            </w:r>
          </w:p>
        </w:tc>
      </w:tr>
      <w:tr w:rsidR="009E7742" w:rsidRPr="009E7742" w:rsidTr="009E7742">
        <w:trPr>
          <w:trHeight w:val="525"/>
        </w:trPr>
        <w:tc>
          <w:tcPr>
            <w:tcW w:w="350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Production Rate (m3/day)</w:t>
            </w:r>
          </w:p>
        </w:tc>
        <w:tc>
          <w:tcPr>
            <w:tcW w:w="172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24.65</w:t>
            </w:r>
          </w:p>
        </w:tc>
        <w:tc>
          <w:tcPr>
            <w:tcW w:w="216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9E7742" w:rsidRPr="009E7742" w:rsidRDefault="009E7742" w:rsidP="009E7742">
            <w:pPr>
              <w:spacing w:line="240" w:lineRule="auto"/>
              <w:jc w:val="center"/>
              <w:textAlignment w:val="center"/>
              <w:rPr>
                <w:rFonts w:ascii="Arial" w:hAnsi="Arial" w:cs="Arial"/>
                <w:sz w:val="36"/>
                <w:szCs w:val="36"/>
              </w:rPr>
            </w:pPr>
            <w:r w:rsidRPr="009E7742">
              <w:rPr>
                <w:rFonts w:ascii="Times New Roman" w:hAnsi="Times New Roman"/>
                <w:color w:val="000000"/>
                <w:kern w:val="24"/>
              </w:rPr>
              <w:t>22.0</w:t>
            </w:r>
          </w:p>
        </w:tc>
      </w:tr>
    </w:tbl>
    <w:p w:rsidR="009E7742" w:rsidRDefault="009E7742" w:rsidP="009E7742">
      <w:pPr>
        <w:jc w:val="both"/>
        <w:rPr>
          <w:lang w:bidi="en-US"/>
        </w:rPr>
      </w:pPr>
    </w:p>
    <w:p w:rsidR="009E7742" w:rsidRDefault="009E7742" w:rsidP="009E7742">
      <w:pPr>
        <w:jc w:val="both"/>
        <w:rPr>
          <w:lang w:bidi="en-US"/>
        </w:rPr>
      </w:pPr>
      <w:r w:rsidRPr="009E7742">
        <w:rPr>
          <w:lang w:bidi="en-US"/>
        </w:rPr>
        <w:t xml:space="preserve">An overall Sor reduction of about 73 % is observed after cEOR in field test, which is slightly higher, compared to the sand pack studies conducted with similar surfactant only injection protocol. However, sand pack studies are only used as a fast pre-screening tool for laboratory designed formulation and its resemblance to the actual reservoir is almost impossible. Jin </w:t>
      </w:r>
      <w:r w:rsidRPr="00DA4B96">
        <w:rPr>
          <w:i/>
          <w:lang w:bidi="en-US"/>
        </w:rPr>
        <w:t>et al.</w:t>
      </w:r>
      <w:r w:rsidRPr="009E7742">
        <w:rPr>
          <w:lang w:bidi="en-US"/>
        </w:rPr>
        <w:fldChar w:fldCharType="begin"/>
      </w:r>
      <w:r w:rsidR="00332C11">
        <w:rPr>
          <w:lang w:bidi="en-US"/>
        </w:rPr>
        <w:instrText xml:space="preserve"> ADDIN EN.CITE &lt;EndNote&gt;&lt;Cite&gt;&lt;Author&gt;Jin&lt;/Author&gt;&lt;Year&gt;2015&lt;/Year&gt;&lt;RecNum&gt;86&lt;/RecNum&gt;&lt;DisplayText&gt;&lt;style face="superscript"&gt;60&lt;/style&gt;&lt;/DisplayText&gt;&lt;record&gt;&lt;rec-number&gt;86&lt;/rec-number&gt;&lt;foreign-keys&gt;&lt;key app="EN" db-id="a5zz9zdsp2tzdiedrdov0ztx9zwzps0patvs" timestamp="1432067088"&gt;86&lt;/key&gt;&lt;/foreign-keys&gt;&lt;ref-type name="Conference Proceedings"&gt;10&lt;/ref-type&gt;&lt;contributors&gt;&lt;authors&gt;&lt;author&gt;Jin, Luchao&lt;/author&gt;&lt;author&gt;Jamili, Ahmad&lt;/author&gt;&lt;author&gt;Harwell, Jeffrey H&lt;/author&gt;&lt;author&gt;Shiau, BJ&lt;/author&gt;&lt;author&gt;Roller, Chad&lt;/author&gt;&lt;/authors&gt;&lt;/contributors&gt;&lt;titles&gt;&lt;title&gt;Modeling and Interpretation of Single Well Chemical Tracer Tests (SWCTT) for pre and post Chemical EOR in two High Salinity Reservoirs&lt;/title&gt;&lt;secondary-title&gt;SPE Production and Operations Symposium&lt;/secondary-title&gt;&lt;/titles&gt;&lt;dates&gt;&lt;year&gt;2015&lt;/year&gt;&lt;/dates&gt;&lt;publisher&gt;Society of Petroleum Engineers&lt;/publisher&gt;&lt;isbn&gt;1613993757&lt;/isbn&gt;&lt;urls&gt;&lt;/urls&gt;&lt;/record&gt;&lt;/Cite&gt;&lt;/EndNote&gt;</w:instrText>
      </w:r>
      <w:r w:rsidRPr="009E7742">
        <w:rPr>
          <w:lang w:bidi="en-US"/>
        </w:rPr>
        <w:fldChar w:fldCharType="separate"/>
      </w:r>
      <w:r w:rsidR="00332C11" w:rsidRPr="00332C11">
        <w:rPr>
          <w:noProof/>
          <w:vertAlign w:val="superscript"/>
          <w:lang w:bidi="en-US"/>
        </w:rPr>
        <w:t>60</w:t>
      </w:r>
      <w:r w:rsidRPr="009E7742">
        <w:rPr>
          <w:lang w:bidi="en-US"/>
        </w:rPr>
        <w:fldChar w:fldCharType="end"/>
      </w:r>
      <w:r w:rsidRPr="009E7742">
        <w:rPr>
          <w:lang w:bidi="en-US"/>
        </w:rPr>
        <w:t xml:space="preserve"> have also reported higher Sor reduction in field test compared to sand pack tests using t</w:t>
      </w:r>
      <w:r w:rsidR="004511BE">
        <w:rPr>
          <w:lang w:bidi="en-US"/>
        </w:rPr>
        <w:t>he surfactant only cEOR system.</w:t>
      </w:r>
    </w:p>
    <w:p w:rsidR="009E7742" w:rsidRDefault="009E7742" w:rsidP="00C47C5C">
      <w:pPr>
        <w:pStyle w:val="Heading2"/>
      </w:pPr>
      <w:bookmarkStart w:id="98" w:name="_Toc426374040"/>
      <w:r w:rsidRPr="009E7742">
        <w:t>Conclusion</w:t>
      </w:r>
      <w:bookmarkEnd w:id="98"/>
    </w:p>
    <w:p w:rsidR="009E7742" w:rsidRPr="009E7742" w:rsidRDefault="009E7742" w:rsidP="009E7742">
      <w:pPr>
        <w:jc w:val="both"/>
        <w:rPr>
          <w:lang w:bidi="en-US"/>
        </w:rPr>
      </w:pPr>
      <w:r w:rsidRPr="009E7742">
        <w:rPr>
          <w:lang w:bidi="en-US"/>
        </w:rPr>
        <w:t>Surfactant formulation developed for the ultra-high saline reservoir is optimized in laboratory through sand pack tests and is implemented in field test. Efficiency of the designed formulation in field is verified through SWCTTs and the numerical simulation is applied to interpret field data. Based on the results obtained, following conclusions can be made:</w:t>
      </w:r>
    </w:p>
    <w:p w:rsidR="009E7742" w:rsidRPr="009E7742" w:rsidRDefault="009E7742" w:rsidP="009E7742">
      <w:pPr>
        <w:numPr>
          <w:ilvl w:val="0"/>
          <w:numId w:val="12"/>
        </w:numPr>
        <w:jc w:val="both"/>
        <w:rPr>
          <w:lang w:bidi="en-US"/>
        </w:rPr>
      </w:pPr>
      <w:r w:rsidRPr="009E7742">
        <w:rPr>
          <w:lang w:bidi="en-US"/>
        </w:rPr>
        <w:lastRenderedPageBreak/>
        <w:t>Surfactant formulation incorporating a blend of extended surfactant, C</w:t>
      </w:r>
      <w:r w:rsidRPr="009E7742">
        <w:rPr>
          <w:vertAlign w:val="subscript"/>
          <w:lang w:bidi="en-US"/>
        </w:rPr>
        <w:t>8</w:t>
      </w:r>
      <w:r w:rsidRPr="009E7742">
        <w:rPr>
          <w:lang w:bidi="en-US"/>
        </w:rPr>
        <w:t>-(EO)</w:t>
      </w:r>
      <w:r w:rsidRPr="009E7742">
        <w:rPr>
          <w:vertAlign w:val="subscript"/>
          <w:lang w:bidi="en-US"/>
        </w:rPr>
        <w:t>1</w:t>
      </w:r>
      <w:r w:rsidRPr="009E7742">
        <w:rPr>
          <w:lang w:bidi="en-US"/>
        </w:rPr>
        <w:t>-(PO)</w:t>
      </w:r>
      <w:r w:rsidRPr="009E7742">
        <w:rPr>
          <w:vertAlign w:val="subscript"/>
          <w:lang w:bidi="en-US"/>
        </w:rPr>
        <w:t>4</w:t>
      </w:r>
      <w:r w:rsidRPr="009E7742">
        <w:rPr>
          <w:lang w:bidi="en-US"/>
        </w:rPr>
        <w:t>-SO</w:t>
      </w:r>
      <w:r w:rsidRPr="009E7742">
        <w:rPr>
          <w:vertAlign w:val="subscript"/>
          <w:lang w:bidi="en-US"/>
        </w:rPr>
        <w:t>4</w:t>
      </w:r>
      <w:r w:rsidRPr="009E7742">
        <w:rPr>
          <w:lang w:bidi="en-US"/>
        </w:rPr>
        <w:t>Na, and SAES, C</w:t>
      </w:r>
      <w:r w:rsidRPr="009E7742">
        <w:rPr>
          <w:vertAlign w:val="subscript"/>
          <w:lang w:bidi="en-US"/>
        </w:rPr>
        <w:t>12</w:t>
      </w:r>
      <w:r w:rsidRPr="009E7742">
        <w:rPr>
          <w:lang w:bidi="en-US"/>
        </w:rPr>
        <w:t>-(EO)</w:t>
      </w:r>
      <w:r w:rsidRPr="009E7742">
        <w:rPr>
          <w:vertAlign w:val="subscript"/>
          <w:lang w:bidi="en-US"/>
        </w:rPr>
        <w:t>3</w:t>
      </w:r>
      <w:r w:rsidRPr="009E7742">
        <w:rPr>
          <w:lang w:bidi="en-US"/>
        </w:rPr>
        <w:t>-SO</w:t>
      </w:r>
      <w:r w:rsidRPr="009E7742">
        <w:rPr>
          <w:vertAlign w:val="subscript"/>
          <w:lang w:bidi="en-US"/>
        </w:rPr>
        <w:t>4</w:t>
      </w:r>
      <w:r w:rsidRPr="009E7742">
        <w:rPr>
          <w:lang w:bidi="en-US"/>
        </w:rPr>
        <w:t xml:space="preserve">Na shows excellent aqueous phase stability and generates ultra-low IFT of 8e-3 mN/m with crude oil at the reservoir conditions. </w:t>
      </w:r>
    </w:p>
    <w:p w:rsidR="009E7742" w:rsidRPr="009E7742" w:rsidRDefault="009E7742" w:rsidP="009E7742">
      <w:pPr>
        <w:numPr>
          <w:ilvl w:val="0"/>
          <w:numId w:val="12"/>
        </w:numPr>
        <w:jc w:val="both"/>
        <w:rPr>
          <w:lang w:bidi="en-US"/>
        </w:rPr>
      </w:pPr>
      <w:r w:rsidRPr="009E7742">
        <w:rPr>
          <w:lang w:bidi="en-US"/>
        </w:rPr>
        <w:t>Sand pack studies show improved cumulative oil recovery and early oil breakthrough with increasing surfactant concentration. More surfactants available after reaching surfactant adsorption level to participate in oil recovery mechanism in the case of concentrated surfactant slug could be the potential explanation. Further study is recommended to understand surfactant only flooding systems in sand packs.</w:t>
      </w:r>
    </w:p>
    <w:p w:rsidR="009E7742" w:rsidRPr="009E7742" w:rsidRDefault="009E7742" w:rsidP="009E7742">
      <w:pPr>
        <w:numPr>
          <w:ilvl w:val="0"/>
          <w:numId w:val="12"/>
        </w:numPr>
        <w:jc w:val="both"/>
        <w:rPr>
          <w:lang w:bidi="en-US"/>
        </w:rPr>
      </w:pPr>
      <w:r w:rsidRPr="009E7742">
        <w:rPr>
          <w:lang w:bidi="en-US"/>
        </w:rPr>
        <w:t>The oil-water partitioning coefficient and hydrolysis rate constant of ethylformate are determined in laboratory and are found to be 2.91±0.30 and 7.88E-5 ± 8E-6 s</w:t>
      </w:r>
      <w:r w:rsidRPr="009E7742">
        <w:rPr>
          <w:vertAlign w:val="superscript"/>
          <w:lang w:bidi="en-US"/>
        </w:rPr>
        <w:t>-1</w:t>
      </w:r>
      <w:r w:rsidRPr="009E7742">
        <w:rPr>
          <w:lang w:bidi="en-US"/>
        </w:rPr>
        <w:t xml:space="preserve"> respectively. </w:t>
      </w:r>
    </w:p>
    <w:p w:rsidR="009E7742" w:rsidRPr="009E7742" w:rsidRDefault="009E7742" w:rsidP="009E7742">
      <w:pPr>
        <w:numPr>
          <w:ilvl w:val="0"/>
          <w:numId w:val="12"/>
        </w:numPr>
        <w:jc w:val="both"/>
        <w:rPr>
          <w:lang w:bidi="en-US"/>
        </w:rPr>
      </w:pPr>
      <w:r w:rsidRPr="009E7742">
        <w:rPr>
          <w:lang w:bidi="en-US"/>
        </w:rPr>
        <w:t>The reaction rate constant of ethylformate is found to decrease from 9.5e-5 s</w:t>
      </w:r>
      <w:r w:rsidRPr="009E7742">
        <w:rPr>
          <w:vertAlign w:val="superscript"/>
          <w:lang w:bidi="en-US"/>
        </w:rPr>
        <w:t>-1</w:t>
      </w:r>
      <w:r w:rsidRPr="009E7742">
        <w:rPr>
          <w:lang w:bidi="en-US"/>
        </w:rPr>
        <w:t xml:space="preserve"> in pre surfactant SWCTT to 6.6e-5 s</w:t>
      </w:r>
      <w:r w:rsidRPr="009E7742">
        <w:rPr>
          <w:vertAlign w:val="superscript"/>
          <w:lang w:bidi="en-US"/>
        </w:rPr>
        <w:t>-1</w:t>
      </w:r>
      <w:r w:rsidRPr="009E7742">
        <w:rPr>
          <w:lang w:bidi="en-US"/>
        </w:rPr>
        <w:t xml:space="preserve"> in post surfactant SWCTT. Temperature drop due to high volume cold fluid injection along with pH drop due to product acid of ester reaction could have resulted in such decrease in rate constant.  </w:t>
      </w:r>
    </w:p>
    <w:p w:rsidR="009E7742" w:rsidRPr="009E7742" w:rsidRDefault="009E7742" w:rsidP="009E7742">
      <w:pPr>
        <w:numPr>
          <w:ilvl w:val="0"/>
          <w:numId w:val="12"/>
        </w:numPr>
        <w:jc w:val="both"/>
        <w:rPr>
          <w:lang w:bidi="en-US"/>
        </w:rPr>
      </w:pPr>
      <w:r w:rsidRPr="009E7742">
        <w:rPr>
          <w:lang w:bidi="en-US"/>
        </w:rPr>
        <w:t>High permeable reservoir formation and high injection rate of water flooding could have resulted low Sor of 0.11 in pre surfactant SWCTT.</w:t>
      </w:r>
    </w:p>
    <w:p w:rsidR="00D57D72" w:rsidRDefault="009E7742" w:rsidP="009E7742">
      <w:pPr>
        <w:numPr>
          <w:ilvl w:val="0"/>
          <w:numId w:val="12"/>
        </w:numPr>
        <w:jc w:val="both"/>
        <w:rPr>
          <w:lang w:bidi="en-US"/>
        </w:rPr>
      </w:pPr>
      <w:r w:rsidRPr="009E7742">
        <w:rPr>
          <w:lang w:bidi="en-US"/>
        </w:rPr>
        <w:t>The Sor of 0.03 in post surfactant SWCTT and 73% overall Sor reduction demonstrate that the laboratory optimized surfactant formulation is very promising and effective in mobilizing residual oil in ultra -high TDS reservoir</w:t>
      </w:r>
      <w:r w:rsidR="0002352A">
        <w:rPr>
          <w:lang w:bidi="en-US"/>
        </w:rPr>
        <w:t xml:space="preserve">. </w:t>
      </w:r>
    </w:p>
    <w:p w:rsidR="00D57D72" w:rsidRDefault="00D57D72" w:rsidP="00D57D72">
      <w:pPr>
        <w:ind w:left="720"/>
        <w:jc w:val="both"/>
        <w:rPr>
          <w:lang w:bidi="en-US"/>
        </w:rPr>
      </w:pPr>
    </w:p>
    <w:p w:rsidR="00D57D72" w:rsidRDefault="00D57D72" w:rsidP="00D57D72">
      <w:pPr>
        <w:ind w:left="720"/>
        <w:jc w:val="both"/>
        <w:rPr>
          <w:lang w:bidi="en-US"/>
        </w:rPr>
        <w:sectPr w:rsidR="00D57D72" w:rsidSect="005109C3">
          <w:pgSz w:w="12240" w:h="15840" w:code="1"/>
          <w:pgMar w:top="1440" w:right="1440" w:bottom="1440" w:left="2304" w:header="720" w:footer="720" w:gutter="0"/>
          <w:cols w:space="720"/>
          <w:docGrid w:linePitch="360"/>
        </w:sectPr>
      </w:pPr>
    </w:p>
    <w:p w:rsidR="00C47C5C" w:rsidRPr="004511BE" w:rsidRDefault="00BF7BCE" w:rsidP="004511BE">
      <w:pPr>
        <w:pStyle w:val="Heading1"/>
      </w:pPr>
      <w:bookmarkStart w:id="99" w:name="_Toc426374041"/>
      <w:r w:rsidRPr="004511BE">
        <w:lastRenderedPageBreak/>
        <w:t>CHAPTER 4</w:t>
      </w:r>
      <w:r w:rsidR="00C47C5C" w:rsidRPr="004511BE">
        <w:t>: Improved Oil Recovery by Reducing Surfactant Adsorption with Polyelectrolyte in High Saline Brine</w:t>
      </w:r>
      <w:bookmarkEnd w:id="99"/>
    </w:p>
    <w:p w:rsidR="00420B2E" w:rsidRDefault="00420B2E" w:rsidP="00420B2E">
      <w:pPr>
        <w:pStyle w:val="Heading2"/>
      </w:pPr>
      <w:bookmarkStart w:id="100" w:name="_Toc426374042"/>
      <w:r>
        <w:t>Introduction</w:t>
      </w:r>
      <w:bookmarkEnd w:id="100"/>
    </w:p>
    <w:p w:rsidR="00C47C5C" w:rsidRPr="00C47C5C" w:rsidRDefault="00C47C5C" w:rsidP="00C47C5C">
      <w:pPr>
        <w:jc w:val="both"/>
        <w:rPr>
          <w:lang w:bidi="en-US"/>
        </w:rPr>
      </w:pPr>
      <w:r>
        <w:rPr>
          <w:noProof/>
        </w:rPr>
        <mc:AlternateContent>
          <mc:Choice Requires="wps">
            <w:drawing>
              <wp:anchor distT="0" distB="0" distL="114300" distR="114300" simplePos="0" relativeHeight="251729920" behindDoc="0" locked="0" layoutInCell="1" allowOverlap="1" wp14:anchorId="18D70D26" wp14:editId="0D2025ED">
                <wp:simplePos x="0" y="0"/>
                <wp:positionH relativeFrom="column">
                  <wp:posOffset>1489710</wp:posOffset>
                </wp:positionH>
                <wp:positionV relativeFrom="paragraph">
                  <wp:posOffset>5962650</wp:posOffset>
                </wp:positionV>
                <wp:extent cx="3029585" cy="285750"/>
                <wp:effectExtent l="0" t="0" r="0" b="0"/>
                <wp:wrapTopAndBottom/>
                <wp:docPr id="50" name="Text Box 50"/>
                <wp:cNvGraphicFramePr/>
                <a:graphic xmlns:a="http://schemas.openxmlformats.org/drawingml/2006/main">
                  <a:graphicData uri="http://schemas.microsoft.com/office/word/2010/wordprocessingShape">
                    <wps:wsp>
                      <wps:cNvSpPr txBox="1"/>
                      <wps:spPr>
                        <a:xfrm>
                          <a:off x="0" y="0"/>
                          <a:ext cx="3029585" cy="285750"/>
                        </a:xfrm>
                        <a:prstGeom prst="rect">
                          <a:avLst/>
                        </a:prstGeom>
                        <a:solidFill>
                          <a:prstClr val="white"/>
                        </a:solidFill>
                        <a:ln>
                          <a:noFill/>
                        </a:ln>
                        <a:effectLst/>
                      </wps:spPr>
                      <wps:txbx>
                        <w:txbxContent>
                          <w:p w:rsidR="005C410D" w:rsidRPr="002A37A0" w:rsidRDefault="005C410D" w:rsidP="00C47C5C">
                            <w:pPr>
                              <w:pStyle w:val="Caption"/>
                              <w:rPr>
                                <w:szCs w:val="24"/>
                                <w:lang w:bidi="en-US"/>
                              </w:rPr>
                            </w:pPr>
                            <w:bookmarkStart w:id="101" w:name="_Toc426967306"/>
                            <w:r>
                              <w:t xml:space="preserve">Figure </w:t>
                            </w:r>
                            <w:r w:rsidR="001C58A2">
                              <w:fldChar w:fldCharType="begin"/>
                            </w:r>
                            <w:r w:rsidR="001C58A2">
                              <w:instrText xml:space="preserve"> SEQ Figure \* ARABIC </w:instrText>
                            </w:r>
                            <w:r w:rsidR="001C58A2">
                              <w:fldChar w:fldCharType="separate"/>
                            </w:r>
                            <w:r w:rsidR="003F7947">
                              <w:rPr>
                                <w:noProof/>
                              </w:rPr>
                              <w:t>14</w:t>
                            </w:r>
                            <w:r w:rsidR="001C58A2">
                              <w:rPr>
                                <w:noProof/>
                              </w:rPr>
                              <w:fldChar w:fldCharType="end"/>
                            </w:r>
                            <w:r>
                              <w:t xml:space="preserve">. </w:t>
                            </w:r>
                            <w:r w:rsidRPr="00C47C5C">
                              <w:rPr>
                                <w:b w:val="0"/>
                              </w:rPr>
                              <w:t>Surfactant Adsorption Isotherm</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D70D26" id="Text Box 50" o:spid="_x0000_s1038" type="#_x0000_t202" style="position:absolute;left:0;text-align:left;margin-left:117.3pt;margin-top:469.5pt;width:238.55pt;height:22.5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" stroked="f">
                <v:textbox inset="0,0,0,0">
                  <w:txbxContent>
                    <w:p w:rsidR="005C410D" w:rsidRPr="002A37A0" w:rsidRDefault="005C410D" w:rsidP="00C47C5C">
                      <w:pPr>
                        <w:pStyle w:val="Caption"/>
                        <w:rPr>
                          <w:szCs w:val="24"/>
                          <w:lang w:bidi="en-US"/>
                        </w:rPr>
                      </w:pPr>
                      <w:bookmarkStart w:id="115" w:name="_Toc426967306"/>
                      <w:r>
                        <w:t xml:space="preserve">Figure </w:t>
                      </w:r>
                      <w:fldSimple w:instr=" SEQ Figure \* ARABIC ">
                        <w:r w:rsidR="003F7947">
                          <w:rPr>
                            <w:noProof/>
                          </w:rPr>
                          <w:t>14</w:t>
                        </w:r>
                      </w:fldSimple>
                      <w:r>
                        <w:t xml:space="preserve">. </w:t>
                      </w:r>
                      <w:r w:rsidRPr="00C47C5C">
                        <w:rPr>
                          <w:b w:val="0"/>
                        </w:rPr>
                        <w:t>Surfactant Adsorption Isotherm</w:t>
                      </w:r>
                      <w:bookmarkEnd w:id="115"/>
                    </w:p>
                  </w:txbxContent>
                </v:textbox>
                <w10:wrap type="topAndBottom"/>
              </v:shape>
            </w:pict>
          </mc:Fallback>
        </mc:AlternateContent>
      </w:r>
      <w:r w:rsidRPr="00C47C5C">
        <w:rPr>
          <w:noProof/>
        </w:rPr>
        <w:drawing>
          <wp:anchor distT="0" distB="0" distL="114300" distR="114300" simplePos="0" relativeHeight="251702272" behindDoc="0" locked="0" layoutInCell="1" allowOverlap="1" wp14:anchorId="255BB4A4" wp14:editId="4A2DAC41">
            <wp:simplePos x="0" y="0"/>
            <wp:positionH relativeFrom="column">
              <wp:posOffset>1485900</wp:posOffset>
            </wp:positionH>
            <wp:positionV relativeFrom="paragraph">
              <wp:posOffset>3061335</wp:posOffset>
            </wp:positionV>
            <wp:extent cx="3029975" cy="2840982"/>
            <wp:effectExtent l="0" t="0" r="0" b="0"/>
            <wp:wrapTopAndBottom/>
            <wp:docPr id="4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39"/>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3029975" cy="2840982"/>
                    </a:xfrm>
                    <a:prstGeom prst="rect">
                      <a:avLst/>
                    </a:prstGeom>
                  </pic:spPr>
                </pic:pic>
              </a:graphicData>
            </a:graphic>
          </wp:anchor>
        </w:drawing>
      </w:r>
      <w:r w:rsidRPr="00C47C5C">
        <w:rPr>
          <w:lang w:bidi="en-US"/>
        </w:rPr>
        <w:t xml:space="preserve">In surfactant aided chemical enhanced oil recovery (cEOR) techniques, an injected surfactant solution mobilizes trapped oil by lowering the interfacial tension (IFT) of the oil-water interface </w:t>
      </w:r>
      <w:r w:rsidRPr="00C47C5C">
        <w:rPr>
          <w:lang w:bidi="en-US"/>
        </w:rPr>
        <w:fldChar w:fldCharType="begin">
          <w:fldData xml:space="preserve">PEVuZE5vdGU+PENpdGU+PEF1dGhvcj5SZWVkPC9BdXRob3I+PFllYXI+MTk3NzwvWWVhcj48UmVj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</w:fldData>
        </w:fldChar>
      </w:r>
      <w:r w:rsidR="00332C11">
        <w:rPr>
          <w:lang w:bidi="en-US"/>
        </w:rPr>
        <w:instrText xml:space="preserve"> ADDIN EN.CITE </w:instrText>
      </w:r>
      <w:r w:rsidR="00332C11">
        <w:rPr>
          <w:lang w:bidi="en-US"/>
        </w:rPr>
        <w:fldChar w:fldCharType="begin">
          <w:fldData xml:space="preserve">PEVuZE5vdGU+PENpdGU+PEF1dGhvcj5SZWVkPC9BdXRob3I+PFllYXI+MTk3NzwvWWVhcj48UmVj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</w:fldData>
        </w:fldChar>
      </w:r>
      <w:r w:rsidR="00332C11">
        <w:rPr>
          <w:lang w:bidi="en-US"/>
        </w:rPr>
        <w:instrText xml:space="preserve"> ADDIN EN.CITE.DATA </w:instrText>
      </w:r>
      <w:r w:rsidR="00332C11">
        <w:rPr>
          <w:lang w:bidi="en-US"/>
        </w:rPr>
      </w:r>
      <w:r w:rsidR="00332C11">
        <w:rPr>
          <w:lang w:bidi="en-US"/>
        </w:rPr>
        <w:fldChar w:fldCharType="end"/>
      </w:r>
      <w:r w:rsidRPr="00C47C5C">
        <w:rPr>
          <w:lang w:bidi="en-US"/>
        </w:rPr>
      </w:r>
      <w:r w:rsidRPr="00C47C5C">
        <w:rPr>
          <w:lang w:bidi="en-US"/>
        </w:rPr>
        <w:fldChar w:fldCharType="separate"/>
      </w:r>
      <w:r w:rsidR="00332C11" w:rsidRPr="00332C11">
        <w:rPr>
          <w:noProof/>
          <w:vertAlign w:val="superscript"/>
          <w:lang w:bidi="en-US"/>
        </w:rPr>
        <w:t>28, 56-57</w:t>
      </w:r>
      <w:r w:rsidRPr="00C47C5C">
        <w:rPr>
          <w:lang w:bidi="en-US"/>
        </w:rPr>
        <w:fldChar w:fldCharType="end"/>
      </w:r>
      <w:r w:rsidRPr="00C47C5C">
        <w:rPr>
          <w:lang w:bidi="en-US"/>
        </w:rPr>
        <w:t xml:space="preserve">. This technique is proven to recover trapped oil that cannot be extracted using the traditional water flooding method </w:t>
      </w:r>
      <w:r w:rsidRPr="00C47C5C">
        <w:rPr>
          <w:lang w:bidi="en-US"/>
        </w:rPr>
        <w:fldChar w:fldCharType="begin"/>
      </w:r>
      <w:r w:rsidR="00332C11">
        <w:rPr>
          <w:lang w:bidi="en-US"/>
        </w:rPr>
        <w:instrText xml:space="preserve"> ADDIN EN.CITE &lt;EndNote&gt;&lt;Cite&gt;&lt;Author&gt;Hsu&lt;/Author&gt;&lt;Year&gt;2012&lt;/Year&gt;&lt;RecNum&gt;41&lt;/RecNum&gt;&lt;DisplayText&gt;&lt;style face="superscript"&gt;41&lt;/style&gt;&lt;/DisplayText&gt;&lt;record&gt;&lt;rec-number&gt;41&lt;/rec-number&gt;&lt;foreign-keys&gt;&lt;key app="EN" db-id="a5zz9zdsp2tzdiedrdov0ztx9zwzps0patvs" timestamp="1424741473"&gt;41&lt;/key&gt;&lt;/foreign-keys&gt;&lt;ref-type name="Conference Paper"&gt;47&lt;/ref-type&gt;&lt;contributors&gt;&lt;authors&gt;&lt;author&gt;Tzu-Ping Hsu&lt;/author&gt;&lt;author&gt;Prapas, Lohateeraparp&lt;/author&gt;&lt;author&gt;Xiaoguang Wang&lt;/author&gt;&lt;author&gt;Budhathoki, Mahesh&lt;/author&gt;&lt;author&gt;Shiau, BJ Ben&lt;/author&gt;&lt;/authors&gt;&lt;/contributors&gt;&lt;titles&gt;&lt;title&gt;Improved oil recovery by chemical flood from high salinity reservoirs-single-well surfactant injection test&lt;/title&gt;&lt;secondary-title&gt;In SPE EOR Conference at Oil and Gas West Asia&lt;/secondary-title&gt;&lt;/titles&gt;&lt;dates&gt;&lt;year&gt;2012&lt;/year&gt;&lt;/dates&gt;&lt;publisher&gt;Society of Petroleum Engineers&lt;/publisher&gt;&lt;urls&gt;&lt;/urls&gt;&lt;/record&gt;&lt;/Cite&gt;&lt;/EndNote&gt;</w:instrText>
      </w:r>
      <w:r w:rsidRPr="00C47C5C">
        <w:rPr>
          <w:lang w:bidi="en-US"/>
        </w:rPr>
        <w:fldChar w:fldCharType="separate"/>
      </w:r>
      <w:r w:rsidR="00332C11" w:rsidRPr="00332C11">
        <w:rPr>
          <w:noProof/>
          <w:vertAlign w:val="superscript"/>
          <w:lang w:bidi="en-US"/>
        </w:rPr>
        <w:t>41</w:t>
      </w:r>
      <w:r w:rsidRPr="00C47C5C">
        <w:rPr>
          <w:lang w:bidi="en-US"/>
        </w:rPr>
        <w:fldChar w:fldCharType="end"/>
      </w:r>
      <w:r w:rsidRPr="00C47C5C">
        <w:rPr>
          <w:lang w:bidi="en-US"/>
        </w:rPr>
        <w:t xml:space="preserve">. Despite the potential of surfactant based hydrocarbon extraction, there are still challenges that need to be addressed to make this process economically feasible. Included in those challenges is the issue of surfactant loss due to adsorption on reservoir rock </w:t>
      </w:r>
      <w:r w:rsidRPr="00C47C5C">
        <w:rPr>
          <w:lang w:bidi="en-US"/>
        </w:rPr>
        <w:fldChar w:fldCharType="begin"/>
      </w:r>
      <w:r w:rsidR="00332C11">
        <w:rPr>
          <w:lang w:bidi="en-US"/>
        </w:rPr>
        <w:instrText xml:space="preserve"> ADDIN EN.CITE &lt;EndNote&gt;&lt;Cite&gt;&lt;Author&gt;Curbelo&lt;/Author&gt;&lt;Year&gt;2013&lt;/Year&gt;&lt;RecNum&gt;108&lt;/RecNum&gt;&lt;DisplayText&gt;&lt;style face="superscript"&gt;71-72&lt;/style&gt;&lt;/DisplayText&gt;&lt;record&gt;&lt;rec-number&gt;108&lt;/rec-number&gt;&lt;foreign-keys&gt;&lt;key app="EN" db-id="a5zz9zdsp2tzdiedrdov0ztx9zwzps0patvs" timestamp="1436121271"&gt;108&lt;/key&gt;&lt;/foreign-keys&gt;&lt;ref-type name="Journal Article"&gt;17&lt;/ref-type&gt;&lt;contributors&gt;&lt;authors&gt;&lt;author&gt;Curbelo, FDS&lt;/author&gt;&lt;author&gt;Garnica, AIC&lt;/author&gt;&lt;author&gt;Neto, EL Barros&lt;/author&gt;&lt;/authors&gt;&lt;/contributors&gt;&lt;titles&gt;&lt;title&gt;Enhanced oil recovery and adsorption of ionic surfactant&lt;/title&gt;&lt;secondary-title&gt;Petroleum Science and Technology&lt;/secondary-title&gt;&lt;/titles&gt;&lt;periodical&gt;&lt;full-title&gt;Petroleum Science and Technology&lt;/full-title&gt;&lt;/periodical&gt;&lt;pages&gt;663-671&lt;/pages&gt;&lt;volume&gt;31&lt;/volume&gt;&lt;number&gt;7&lt;/number&gt;&lt;dates&gt;&lt;year&gt;2013&lt;/year&gt;&lt;/dates&gt;&lt;isbn&gt;1091-6466&lt;/isbn&gt;&lt;urls&gt;&lt;/urls&gt;&lt;/record&gt;&lt;/Cite&gt;&lt;Cite&gt;&lt;Author&gt;Somasundaran&lt;/Author&gt;&lt;Year&gt;1979&lt;/Year&gt;&lt;RecNum&gt;109&lt;/RecNum&gt;&lt;record&gt;&lt;rec-number&gt;109&lt;/rec-number&gt;&lt;foreign-keys&gt;&lt;key app="EN" db-id="a5zz9zdsp2tzdiedrdov0ztx9zwzps0patvs" timestamp="1436121569"&gt;109&lt;/key&gt;&lt;/foreign-keys&gt;&lt;ref-type name="Journal Article"&gt;17&lt;/ref-type&gt;&lt;contributors&gt;&lt;authors&gt;&lt;author&gt;Somasundaran, P&lt;/author&gt;&lt;author&gt;Hanna, HS&lt;/author&gt;&lt;/authors&gt;&lt;/contributors&gt;&lt;titles&gt;&lt;title&gt;Adsorption of sulfonates on reservoir rocks&lt;/title&gt;&lt;secondary-title&gt;Society of Petroleum Engineers Journal&lt;/secondary-title&gt;&lt;/titles&gt;&lt;periodical&gt;&lt;full-title&gt;Society of Petroleum Engineers Journal&lt;/full-title&gt;&lt;/periodical&gt;&lt;pages&gt;221-232&lt;/pages&gt;&lt;volume&gt;19&lt;/volume&gt;&lt;number&gt;04&lt;/number&gt;&lt;dates&gt;&lt;year&gt;1979&lt;/year&gt;&lt;/dates&gt;&lt;isbn&gt;0197-7520&lt;/isbn&gt;&lt;urls&gt;&lt;/urls&gt;&lt;/record&gt;&lt;/Cite&gt;&lt;/EndNote&gt;</w:instrText>
      </w:r>
      <w:r w:rsidRPr="00C47C5C">
        <w:rPr>
          <w:lang w:bidi="en-US"/>
        </w:rPr>
        <w:fldChar w:fldCharType="separate"/>
      </w:r>
      <w:r w:rsidR="00332C11" w:rsidRPr="00332C11">
        <w:rPr>
          <w:noProof/>
          <w:vertAlign w:val="superscript"/>
          <w:lang w:bidi="en-US"/>
        </w:rPr>
        <w:t>71-72</w:t>
      </w:r>
      <w:r w:rsidRPr="00C47C5C">
        <w:rPr>
          <w:lang w:bidi="en-US"/>
        </w:rPr>
        <w:fldChar w:fldCharType="end"/>
      </w:r>
      <w:r w:rsidRPr="00C47C5C">
        <w:rPr>
          <w:lang w:bidi="en-US"/>
        </w:rPr>
        <w:t xml:space="preserve">. Surfactants that are adsorbed on an oppositely charged rock surface do not lower the IFT of the oil-water interface, and therefore are not available to participate in oil mobilization. This phenomenon lowers the overall efficiency of surfactant based cEOR techniques and increases the cost of projects. Therefore, it is necessary to mitigate surfactant loss on mineral rocks to make cEOR processes economically viable. </w:t>
      </w:r>
    </w:p>
    <w:p w:rsidR="00C47C5C" w:rsidRPr="00C47C5C" w:rsidRDefault="00C47C5C" w:rsidP="00C47C5C">
      <w:pPr>
        <w:jc w:val="both"/>
        <w:rPr>
          <w:lang w:bidi="en-US"/>
        </w:rPr>
      </w:pPr>
      <w:r w:rsidRPr="00C47C5C">
        <w:rPr>
          <w:lang w:bidi="en-US"/>
        </w:rPr>
        <w:lastRenderedPageBreak/>
        <w:t>The physical adsorption of ionic surfactant on oppositely charged mineral oxide exhibits a low surface coverage region (Region “1” in Figure 1</w:t>
      </w:r>
      <w:r>
        <w:rPr>
          <w:lang w:bidi="en-US"/>
        </w:rPr>
        <w:t>4</w:t>
      </w:r>
      <w:r w:rsidRPr="00C47C5C">
        <w:rPr>
          <w:lang w:bidi="en-US"/>
        </w:rPr>
        <w:t xml:space="preserve">) at low surfactant concentration </w:t>
      </w:r>
      <w:r w:rsidRPr="00C47C5C">
        <w:rPr>
          <w:lang w:bidi="en-US"/>
        </w:rPr>
        <w:fldChar w:fldCharType="begin"/>
      </w:r>
      <w:r w:rsidR="00332C11">
        <w:rPr>
          <w:lang w:bidi="en-US"/>
        </w:rPr>
        <w:instrText xml:space="preserve"> ADDIN EN.CITE &lt;EndNote&gt;&lt;Cite&gt;&lt;Author&gt;OHaver&lt;/Author&gt;&lt;Year&gt;1995&lt;/Year&gt;&lt;RecNum&gt;135&lt;/RecNum&gt;&lt;DisplayText&gt;&lt;style face="superscript"&gt;73-74&lt;/style&gt;&lt;/DisplayText&gt;&lt;record&gt;&lt;rec-number&gt;135&lt;/rec-number&gt;&lt;foreign-keys&gt;&lt;key app="EN" db-id="a5zz9zdsp2tzdiedrdov0ztx9zwzps0patvs" timestamp="1437144701"&gt;135&lt;/key&gt;&lt;/foreign-keys&gt;&lt;ref-type name="Journal Article"&gt;17&lt;/ref-type&gt;&lt;contributors&gt;&lt;authors&gt;&lt;author&gt;OHaver, John H&lt;/author&gt;&lt;author&gt;Jeffrey, H&lt;/author&gt;&lt;/authors&gt;&lt;/contributors&gt;&lt;titles&gt;&lt;title&gt;Adsolubilization: some expected and unexpected results&lt;/title&gt;&lt;secondary-title&gt;Surfactant adsorption and surface solubilization&lt;/secondary-title&gt;&lt;/titles&gt;&lt;periodical&gt;&lt;full-title&gt;Surfactant adsorption and surface solubilization&lt;/full-title&gt;&lt;/periodical&gt;&lt;pages&gt;49-66&lt;/pages&gt;&lt;volume&gt;615&lt;/volume&gt;&lt;dates&gt;&lt;year&gt;1995&lt;/year&gt;&lt;/dates&gt;&lt;isbn&gt;0097-6156&lt;/isbn&gt;&lt;urls&gt;&lt;/urls&gt;&lt;/record&gt;&lt;/Cite&gt;&lt;Cite&gt;&lt;Author&gt;Harwell&lt;/Author&gt;&lt;Year&gt;1988&lt;/Year&gt;&lt;RecNum&gt;136&lt;/RecNum&gt;&lt;record&gt;&lt;rec-number&gt;136&lt;/rec-number&gt;&lt;foreign-keys&gt;&lt;key app="EN" db-id="a5zz9zdsp2tzdiedrdov0ztx9zwzps0patvs" timestamp="1437282300"&gt;136&lt;/key&gt;&lt;/foreign-keys&gt;&lt;ref-type name="Journal Article"&gt;17&lt;/ref-type&gt;&lt;contributors&gt;&lt;authors&gt;&lt;author&gt;Harwell, Jeffrey H&lt;/author&gt;&lt;author&gt;Roberts, Bruce L&lt;/author&gt;&lt;author&gt;Scamehorn, John F&lt;/author&gt;&lt;/authors&gt;&lt;/contributors&gt;&lt;titles&gt;&lt;title&gt;Thermodynamics of adsorption of surfactant mixtures on minerals&lt;/title&gt;&lt;secondary-title&gt;Colloids and surfaces&lt;/secondary-title&gt;&lt;/titles&gt;&lt;periodical&gt;&lt;full-title&gt;Colloids and surfaces&lt;/full-title&gt;&lt;/periodical&gt;&lt;pages&gt;1-17&lt;/pages&gt;&lt;volume&gt;32&lt;/volume&gt;&lt;dates&gt;&lt;year&gt;1988&lt;/year&gt;&lt;/dates&gt;&lt;isbn&gt;0166-6622&lt;/isbn&gt;&lt;urls&gt;&lt;/urls&gt;&lt;/record&gt;&lt;/Cite&gt;&lt;/EndNote&gt;</w:instrText>
      </w:r>
      <w:r w:rsidRPr="00C47C5C">
        <w:rPr>
          <w:lang w:bidi="en-US"/>
        </w:rPr>
        <w:fldChar w:fldCharType="separate"/>
      </w:r>
      <w:r w:rsidR="00332C11" w:rsidRPr="00332C11">
        <w:rPr>
          <w:noProof/>
          <w:vertAlign w:val="superscript"/>
          <w:lang w:bidi="en-US"/>
        </w:rPr>
        <w:t>73-74</w:t>
      </w:r>
      <w:r w:rsidRPr="00C47C5C">
        <w:rPr>
          <w:lang w:bidi="en-US"/>
        </w:rPr>
        <w:fldChar w:fldCharType="end"/>
      </w:r>
      <w:r w:rsidRPr="00C47C5C">
        <w:rPr>
          <w:lang w:bidi="en-US"/>
        </w:rPr>
        <w:t xml:space="preserve"> which is described by Henry’s law </w:t>
      </w:r>
      <w:r w:rsidRPr="00C47C5C">
        <w:rPr>
          <w:lang w:bidi="en-US"/>
        </w:rPr>
        <w:fldChar w:fldCharType="begin"/>
      </w:r>
      <w:r w:rsidR="00332C11">
        <w:rPr>
          <w:lang w:bidi="en-US"/>
        </w:rPr>
        <w:instrText xml:space="preserve"> ADDIN EN.CITE &lt;EndNote&gt;&lt;Cite&gt;&lt;Author&gt;Scamehorn&lt;/Author&gt;&lt;Year&gt;1982&lt;/Year&gt;&lt;RecNum&gt;137&lt;/RecNum&gt;&lt;DisplayText&gt;&lt;style face="superscript"&gt;75&lt;/style&gt;&lt;/DisplayText&gt;&lt;record&gt;&lt;rec-number&gt;137&lt;/rec-number&gt;&lt;foreign-keys&gt;&lt;key app="EN" db-id="a5zz9zdsp2tzdiedrdov0ztx9zwzps0patvs" timestamp="1437282406"&gt;137&lt;/key&gt;&lt;/foreign-keys&gt;&lt;ref-type name="Journal Article"&gt;17&lt;/ref-type&gt;&lt;contributors&gt;&lt;authors&gt;&lt;author&gt;Scamehorn, JF&lt;/author&gt;&lt;author&gt;Schechter, RS&lt;/author&gt;&lt;author&gt;Wade, WH&lt;/author&gt;&lt;/authors&gt;&lt;/contributors&gt;&lt;titles&gt;&lt;title&gt;Adsorption of surfactants on mineral oxide surfaces from aqueous solutions: I: Isomerically pure anionic surfactants&lt;/title&gt;&lt;secondary-title&gt;Journal of Colloid and Interface Science&lt;/secondary-title&gt;&lt;/titles&gt;&lt;periodical&gt;&lt;full-title&gt;Journal of colloid and interface science&lt;/full-title&gt;&lt;/periodical&gt;&lt;pages&gt;463-478&lt;/pages&gt;&lt;volume&gt;85&lt;/volume&gt;&lt;number&gt;2&lt;/number&gt;&lt;dates&gt;&lt;year&gt;1982&lt;/year&gt;&lt;/dates&gt;&lt;isbn&gt;0021-9797&lt;/isbn&gt;&lt;urls&gt;&lt;/urls&gt;&lt;/record&gt;&lt;/Cite&gt;&lt;/EndNote&gt;</w:instrText>
      </w:r>
      <w:r w:rsidRPr="00C47C5C">
        <w:rPr>
          <w:lang w:bidi="en-US"/>
        </w:rPr>
        <w:fldChar w:fldCharType="separate"/>
      </w:r>
      <w:r w:rsidR="00332C11" w:rsidRPr="00332C11">
        <w:rPr>
          <w:noProof/>
          <w:vertAlign w:val="superscript"/>
          <w:lang w:bidi="en-US"/>
        </w:rPr>
        <w:t>75</w:t>
      </w:r>
      <w:r w:rsidRPr="00C47C5C">
        <w:rPr>
          <w:lang w:bidi="en-US"/>
        </w:rPr>
        <w:fldChar w:fldCharType="end"/>
      </w:r>
      <w:r w:rsidRPr="00C47C5C">
        <w:rPr>
          <w:lang w:bidi="en-US"/>
        </w:rPr>
        <w:t>. At any surfactant concentration above the critical admicelle concentration (CAC), the low coverage region enters to the sharp positive slope region (Region “2” in Figure 1</w:t>
      </w:r>
      <w:r>
        <w:rPr>
          <w:lang w:bidi="en-US"/>
        </w:rPr>
        <w:t>4</w:t>
      </w:r>
      <w:r w:rsidRPr="00C47C5C">
        <w:rPr>
          <w:lang w:bidi="en-US"/>
        </w:rPr>
        <w:t xml:space="preserve">) where the formation of surfactant aggregates such as hemimicelle (monolayer), admicelle (bilayer), or mixture of both may take place </w:t>
      </w:r>
      <w:r w:rsidRPr="00C47C5C">
        <w:rPr>
          <w:lang w:bidi="en-US"/>
        </w:rPr>
        <w:fldChar w:fldCharType="begin"/>
      </w:r>
      <w:r w:rsidR="00332C11">
        <w:rPr>
          <w:lang w:bidi="en-US"/>
        </w:rPr>
        <w:instrText xml:space="preserve"> ADDIN EN.CITE &lt;EndNote&gt;&lt;Cite&gt;&lt;Author&gt;Hankins&lt;/Author&gt;&lt;Year&gt;1996&lt;/Year&gt;&lt;RecNum&gt;138&lt;/RecNum&gt;&lt;DisplayText&gt;&lt;style face="superscript"&gt;74, 76&lt;/style&gt;&lt;/DisplayText&gt;&lt;record&gt;&lt;rec-number&gt;138&lt;/rec-number&gt;&lt;foreign-keys&gt;&lt;key app="EN" db-id="a5zz9zdsp2tzdiedrdov0ztx9zwzps0patvs" timestamp="1437283580"&gt;138&lt;/key&gt;&lt;/foreign-keys&gt;&lt;ref-type name="Journal Article"&gt;17&lt;/ref-type&gt;&lt;contributors&gt;&lt;authors&gt;&lt;author&gt;Hankins, Nicholas P&lt;/author&gt;&lt;author&gt;O&amp;apos;Have, John H&lt;/author&gt;&lt;author&gt;Harwell, Jeffrey H&lt;/author&gt;&lt;/authors&gt;&lt;/contributors&gt;&lt;titles&gt;&lt;title&gt;Modeling effects of pH and counterions on surfactant adsorption at the oxide/water interface&lt;/title&gt;&lt;secondary-title&gt;Industrial &amp;amp; engineering chemistry research&lt;/secondary-title&gt;&lt;/titles&gt;&lt;periodical&gt;&lt;full-title&gt;Industrial &amp;amp; engineering chemistry research&lt;/full-title&gt;&lt;/periodical&gt;&lt;pages&gt;2844-2855&lt;/pages&gt;&lt;volume&gt;35&lt;/volume&gt;&lt;number&gt;9&lt;/number&gt;&lt;dates&gt;&lt;year&gt;1996&lt;/year&gt;&lt;/dates&gt;&lt;isbn&gt;0888-5885&lt;/isbn&gt;&lt;urls&gt;&lt;/urls&gt;&lt;/record&gt;&lt;/Cite&gt;&lt;Cite&gt;&lt;Author&gt;Harwell&lt;/Author&gt;&lt;Year&gt;1988&lt;/Year&gt;&lt;RecNum&gt;136&lt;/RecNum&gt;&lt;record&gt;&lt;rec-number&gt;136&lt;/rec-number&gt;&lt;foreign-keys&gt;&lt;key app="EN" db-id="a5zz9zdsp2tzdiedrdov0ztx9zwzps0patvs" timestamp="1437282300"&gt;136&lt;/key&gt;&lt;/foreign-keys&gt;&lt;ref-type name="Journal Article"&gt;17&lt;/ref-type&gt;&lt;contributors&gt;&lt;authors&gt;&lt;author&gt;Harwell, Jeffrey H&lt;/author&gt;&lt;author&gt;Roberts, Bruce L&lt;/author&gt;&lt;author&gt;Scamehorn, John F&lt;/author&gt;&lt;/authors&gt;&lt;/contributors&gt;&lt;titles&gt;&lt;title&gt;Thermodynamics of adsorption of surfactant mixtures on minerals&lt;/title&gt;&lt;secondary-title&gt;Colloids and surfaces&lt;/secondary-title&gt;&lt;/titles&gt;&lt;periodical&gt;&lt;full-title&gt;Colloids and surfaces&lt;/full-title&gt;&lt;/periodical&gt;&lt;pages&gt;1-17&lt;/pages&gt;&lt;volume&gt;32&lt;/volume&gt;&lt;dates&gt;&lt;year&gt;1988&lt;/year&gt;&lt;/dates&gt;&lt;isbn&gt;0166-6622&lt;/isbn&gt;&lt;urls&gt;&lt;/urls&gt;&lt;/record&gt;&lt;/Cite&gt;&lt;/EndNote&gt;</w:instrText>
      </w:r>
      <w:r w:rsidRPr="00C47C5C">
        <w:rPr>
          <w:lang w:bidi="en-US"/>
        </w:rPr>
        <w:fldChar w:fldCharType="separate"/>
      </w:r>
      <w:r w:rsidR="00332C11" w:rsidRPr="00332C11">
        <w:rPr>
          <w:noProof/>
          <w:vertAlign w:val="superscript"/>
          <w:lang w:bidi="en-US"/>
        </w:rPr>
        <w:t>74, 76</w:t>
      </w:r>
      <w:r w:rsidRPr="00C47C5C">
        <w:rPr>
          <w:lang w:bidi="en-US"/>
        </w:rPr>
        <w:fldChar w:fldCharType="end"/>
      </w:r>
      <w:r w:rsidRPr="00C47C5C">
        <w:rPr>
          <w:lang w:bidi="en-US"/>
        </w:rPr>
        <w:t>. The formation of a bilayer/admicelle, which is the result of surfactant hydrophobic tail-tail interaction, then starts to slow down surfactant adsorption due to saturation of high energy patches on the surface, and enters to the region (Region “3” in Figure 1</w:t>
      </w:r>
      <w:r>
        <w:rPr>
          <w:lang w:bidi="en-US"/>
        </w:rPr>
        <w:t>4</w:t>
      </w:r>
      <w:r w:rsidRPr="00C47C5C">
        <w:rPr>
          <w:lang w:bidi="en-US"/>
        </w:rPr>
        <w:t xml:space="preserve">) where bilayer patches are slowly filled until a complete bilayer is formed </w:t>
      </w:r>
      <w:r w:rsidRPr="00C47C5C">
        <w:rPr>
          <w:lang w:bidi="en-US"/>
        </w:rPr>
        <w:fldChar w:fldCharType="begin"/>
      </w:r>
      <w:r w:rsidR="00332C11">
        <w:rPr>
          <w:lang w:bidi="en-US"/>
        </w:rPr>
        <w:instrText xml:space="preserve"> ADDIN EN.CITE &lt;EndNote&gt;&lt;Cite&gt;&lt;Author&gt;Chandar&lt;/Author&gt;&lt;Year&gt;1987&lt;/Year&gt;&lt;RecNum&gt;139&lt;/RecNum&gt;&lt;DisplayText&gt;&lt;style face="superscript"&gt;77&lt;/style&gt;&lt;/DisplayText&gt;&lt;record&gt;&lt;rec-number&gt;139&lt;/rec-number&gt;&lt;foreign-keys&gt;&lt;key app="EN" db-id="a5zz9zdsp2tzdiedrdov0ztx9zwzps0patvs" timestamp="1437283787"&gt;139&lt;/key&gt;&lt;/foreign-keys&gt;&lt;ref-type name="Journal Article"&gt;17&lt;/ref-type&gt;&lt;contributors&gt;&lt;authors&gt;&lt;author&gt;Chandar, Prem&lt;/author&gt;&lt;author&gt;Somasundaran, P&lt;/author&gt;&lt;author&gt;Turro, Nicholas J&lt;/author&gt;&lt;/authors&gt;&lt;/contributors&gt;&lt;titles&gt;&lt;title&gt;Fluorescence probe studies on the structure of the adsorbed layer of dodecyl sulfate at the alumina—water interface&lt;/title&gt;&lt;secondary-title&gt;Journal of colloid and interface science&lt;/secondary-title&gt;&lt;/titles&gt;&lt;periodical&gt;&lt;full-title&gt;Journal of colloid and interface science&lt;/full-title&gt;&lt;/periodical&gt;&lt;pages&gt;31-46&lt;/pages&gt;&lt;volume&gt;117&lt;/volume&gt;&lt;number&gt;1&lt;/number&gt;&lt;dates&gt;&lt;year&gt;1987&lt;/year&gt;&lt;/dates&gt;&lt;isbn&gt;0021-9797&lt;/isbn&gt;&lt;urls&gt;&lt;/urls&gt;&lt;/record&gt;&lt;/Cite&gt;&lt;/EndNote&gt;</w:instrText>
      </w:r>
      <w:r w:rsidRPr="00C47C5C">
        <w:rPr>
          <w:lang w:bidi="en-US"/>
        </w:rPr>
        <w:fldChar w:fldCharType="separate"/>
      </w:r>
      <w:r w:rsidR="00332C11" w:rsidRPr="00332C11">
        <w:rPr>
          <w:noProof/>
          <w:vertAlign w:val="superscript"/>
          <w:lang w:bidi="en-US"/>
        </w:rPr>
        <w:t>77</w:t>
      </w:r>
      <w:r w:rsidRPr="00C47C5C">
        <w:rPr>
          <w:lang w:bidi="en-US"/>
        </w:rPr>
        <w:fldChar w:fldCharType="end"/>
      </w:r>
      <w:r w:rsidRPr="00C47C5C">
        <w:rPr>
          <w:lang w:bidi="en-US"/>
        </w:rPr>
        <w:t xml:space="preserve"> or the CMC is reached. This then leads to the plateau region </w:t>
      </w:r>
      <w:r w:rsidRPr="00C47C5C">
        <w:rPr>
          <w:lang w:bidi="en-US"/>
        </w:rPr>
        <w:fldChar w:fldCharType="begin"/>
      </w:r>
      <w:r w:rsidR="00332C11">
        <w:rPr>
          <w:lang w:bidi="en-US"/>
        </w:rPr>
        <w:instrText xml:space="preserve"> ADDIN EN.CITE &lt;EndNote&gt;&lt;Cite&gt;&lt;Author&gt;Trogus&lt;/Author&gt;&lt;Year&gt;1979&lt;/Year&gt;&lt;RecNum&gt;140&lt;/RecNum&gt;&lt;DisplayText&gt;&lt;style face="superscript"&gt;78&lt;/style&gt;&lt;/DisplayText&gt;&lt;record&gt;&lt;rec-number&gt;140&lt;/rec-number&gt;&lt;foreign-keys&gt;&lt;key app="EN" db-id="a5zz9zdsp2tzdiedrdov0ztx9zwzps0patvs" timestamp="1437283937"&gt;140&lt;/key&gt;&lt;/foreign-keys&gt;&lt;ref-type name="Journal Article"&gt;17&lt;/ref-type&gt;&lt;contributors&gt;&lt;authors&gt;&lt;author&gt;Trogus, FJ&lt;/author&gt;&lt;author&gt;Schechter, RS&lt;/author&gt;&lt;author&gt;Wade, WH&lt;/author&gt;&lt;/authors&gt;&lt;/contributors&gt;&lt;titles&gt;&lt;title&gt;A new interpretation of adsorption maxima and minima&lt;/title&gt;&lt;secondary-title&gt;Journal of Colloid and Interface Science&lt;/secondary-title&gt;&lt;/titles&gt;&lt;periodical&gt;&lt;full-title&gt;Journal of colloid and interface science&lt;/full-title&gt;&lt;/periodical&gt;&lt;pages&gt;293-305&lt;/pages&gt;&lt;volume&gt;70&lt;/volume&gt;&lt;number&gt;2&lt;/number&gt;&lt;dates&gt;&lt;year&gt;1979&lt;/year&gt;&lt;/dates&gt;&lt;isbn&gt;0021-9797&lt;/isbn&gt;&lt;urls&gt;&lt;/urls&gt;&lt;/record&gt;&lt;/Cite&gt;&lt;/EndNote&gt;</w:instrText>
      </w:r>
      <w:r w:rsidRPr="00C47C5C">
        <w:rPr>
          <w:lang w:bidi="en-US"/>
        </w:rPr>
        <w:fldChar w:fldCharType="separate"/>
      </w:r>
      <w:r w:rsidR="00332C11" w:rsidRPr="00332C11">
        <w:rPr>
          <w:noProof/>
          <w:vertAlign w:val="superscript"/>
          <w:lang w:bidi="en-US"/>
        </w:rPr>
        <w:t>78</w:t>
      </w:r>
      <w:r w:rsidRPr="00C47C5C">
        <w:rPr>
          <w:lang w:bidi="en-US"/>
        </w:rPr>
        <w:fldChar w:fldCharType="end"/>
      </w:r>
      <w:r w:rsidRPr="00C47C5C">
        <w:rPr>
          <w:lang w:bidi="en-US"/>
        </w:rPr>
        <w:t xml:space="preserve"> (Region “4” in Figure 1</w:t>
      </w:r>
      <w:r>
        <w:rPr>
          <w:lang w:bidi="en-US"/>
        </w:rPr>
        <w:t>4</w:t>
      </w:r>
      <w:r w:rsidRPr="00C47C5C">
        <w:rPr>
          <w:lang w:bidi="en-US"/>
        </w:rPr>
        <w:t xml:space="preserve">) where surfactant adsorption is constant for any concentration of surfactant above the critical micelle concentration (CMC). Although the formation of the surfactant bilayer prevents additional surfactant adsorption, this is not desirable for a cEOR process because the amount of surfactant that is required to form such a bilayer might be above the economical limit. Therefore, surfactants having the same charge as the reservoir rocks are generally used to minimize surfactant bilayer/admicelle formation. For example, anionic surfactants are typically used for the negatively charged surfaces of sandstone reservoirs and cationic surfactants are typically used for positively charged carbonate reservoirs. However, due to complexities of the reservoirs including rock composition, the presence of clays, brine salinity, multivalent ions, and pH, there is still a possibility of surfactant loss due to adsorption.   </w:t>
      </w:r>
    </w:p>
    <w:p w:rsidR="00C47C5C" w:rsidRPr="00C47C5C" w:rsidRDefault="00C47C5C" w:rsidP="00C47C5C">
      <w:pPr>
        <w:jc w:val="both"/>
        <w:rPr>
          <w:lang w:bidi="en-US"/>
        </w:rPr>
      </w:pPr>
      <w:r w:rsidRPr="00C47C5C">
        <w:rPr>
          <w:lang w:bidi="en-US"/>
        </w:rPr>
        <w:lastRenderedPageBreak/>
        <w:t xml:space="preserve">Efforts have been made to minimize the surfactant adsorption on rock or soil surfaces. Alkalis such as sodium hydroxide or sodium carbonate are typically used as a chemical  agent to lower the adsorption of anionic surfactants </w:t>
      </w:r>
      <w:r w:rsidRPr="00C47C5C">
        <w:rPr>
          <w:lang w:bidi="en-US"/>
        </w:rPr>
        <w:fldChar w:fldCharType="begin"/>
      </w:r>
      <w:r w:rsidR="00332C11">
        <w:rPr>
          <w:lang w:bidi="en-US"/>
        </w:rPr>
        <w:instrText xml:space="preserve"> ADDIN EN.CITE &lt;EndNote&gt;&lt;Cite&gt;&lt;Author&gt;Krumrine&lt;/Author&gt;&lt;Year&gt;1982&lt;/Year&gt;&lt;RecNum&gt;111&lt;/RecNum&gt;&lt;DisplayText&gt;&lt;style face="superscript"&gt;7, 18&lt;/style&gt;&lt;/DisplayText&gt;&lt;record&gt;&lt;rec-number&gt;111&lt;/rec-number&gt;&lt;foreign-keys&gt;&lt;key app="EN" db-id="a5zz9zdsp2tzdiedrdov0ztx9zwzps0patvs" timestamp="1436122730"&gt;111&lt;/key&gt;&lt;/foreign-keys&gt;&lt;ref-type name="Journal Article"&gt;17&lt;/ref-type&gt;&lt;contributors&gt;&lt;authors&gt;&lt;author&gt;Krumrine, Paul H&lt;/author&gt;&lt;author&gt;Falcone Jr, James S&lt;/author&gt;&lt;author&gt;Campbell, Thomas C&lt;/author&gt;&lt;/authors&gt;&lt;/contributors&gt;&lt;titles&gt;&lt;title&gt;Surfactant flooding 1: the effect of alkaline additives on IFT, surfactant adsorption, and recovery efficiency&lt;/title&gt;&lt;secondary-title&gt;Society of Petroleum Engineers Journal&lt;/secondary-title&gt;&lt;/titles&gt;&lt;periodical&gt;&lt;full-title&gt;Society of Petroleum Engineers Journal&lt;/full-title&gt;&lt;/periodical&gt;&lt;pages&gt;503-513&lt;/pages&gt;&lt;volume&gt;22&lt;/volume&gt;&lt;number&gt;04&lt;/number&gt;&lt;dates&gt;&lt;year&gt;1982&lt;/year&gt;&lt;/dates&gt;&lt;isbn&gt;0197-7520&lt;/isbn&gt;&lt;urls&gt;&lt;/urls&gt;&lt;/record&gt;&lt;/Cite&gt;&lt;Cite&gt;&lt;Author&gt;Hirasaki&lt;/Author&gt;&lt;Year&gt;2011&lt;/Year&gt;&lt;RecNum&gt;24&lt;/RecNum&gt;&lt;record&gt;&lt;rec-number&gt;24&lt;/rec-number&gt;&lt;foreign-keys&gt;&lt;key app="EN" db-id="a5zz9zdsp2tzdiedrdov0ztx9zwzps0patvs" timestamp="1424741470"&gt;24&lt;/key&gt;&lt;/foreign-keys&gt;&lt;ref-type name="Journal Article"&gt;17&lt;/ref-type&gt;&lt;contributors&gt;&lt;authors&gt;&lt;author&gt;Hirasaki, George&lt;/author&gt;&lt;author&gt;Miller, Clarence A&lt;/author&gt;&lt;author&gt;Puerto, Maura&lt;/author&gt;&lt;/authors&gt;&lt;/contributors&gt;&lt;titles&gt;&lt;title&gt;Recent advances in surfactant EOR&lt;/title&gt;&lt;secondary-title&gt;SPE Journal&lt;/secondary-title&gt;&lt;/titles&gt;&lt;periodical&gt;&lt;full-title&gt;SPE Journal&lt;/full-title&gt;&lt;/periodical&gt;&lt;pages&gt;889-907&lt;/pages&gt;&lt;volume&gt;16&lt;/volume&gt;&lt;number&gt;04&lt;/number&gt;&lt;dates&gt;&lt;year&gt;2011&lt;/year&gt;&lt;/dates&gt;&lt;isbn&gt;1086-055X&lt;/isbn&gt;&lt;urls&gt;&lt;/urls&gt;&lt;/record&gt;&lt;/Cite&gt;&lt;/EndNote&gt;</w:instrText>
      </w:r>
      <w:r w:rsidRPr="00C47C5C">
        <w:rPr>
          <w:lang w:bidi="en-US"/>
        </w:rPr>
        <w:fldChar w:fldCharType="separate"/>
      </w:r>
      <w:r w:rsidR="00332C11" w:rsidRPr="00332C11">
        <w:rPr>
          <w:noProof/>
          <w:vertAlign w:val="superscript"/>
          <w:lang w:bidi="en-US"/>
        </w:rPr>
        <w:t>7, 18</w:t>
      </w:r>
      <w:r w:rsidRPr="00C47C5C">
        <w:rPr>
          <w:lang w:bidi="en-US"/>
        </w:rPr>
        <w:fldChar w:fldCharType="end"/>
      </w:r>
      <w:r w:rsidRPr="00C47C5C">
        <w:rPr>
          <w:lang w:bidi="en-US"/>
        </w:rPr>
        <w:t>. Addition of alkali increases the pH, resulting in an increased net negative surface charge, and thereby reduces the adsorption of anionic surfactants due to electrostatic repulsion. In spite of a positive influence of alkali in lowering adsorption of anionic surfactants, it is limited to reservoirs with low  TDS brines; this is mainly because alkalis are sensitive to divalent cations, Ca</w:t>
      </w:r>
      <w:r w:rsidRPr="00C47C5C">
        <w:rPr>
          <w:vertAlign w:val="superscript"/>
          <w:lang w:bidi="en-US"/>
        </w:rPr>
        <w:t>2+</w:t>
      </w:r>
      <w:r w:rsidRPr="00C47C5C">
        <w:rPr>
          <w:lang w:bidi="en-US"/>
        </w:rPr>
        <w:t xml:space="preserve"> and Mg</w:t>
      </w:r>
      <w:r w:rsidRPr="00C47C5C">
        <w:rPr>
          <w:vertAlign w:val="superscript"/>
          <w:lang w:bidi="en-US"/>
        </w:rPr>
        <w:t>2+</w:t>
      </w:r>
      <w:r w:rsidRPr="00C47C5C">
        <w:rPr>
          <w:lang w:bidi="en-US"/>
        </w:rPr>
        <w:t xml:space="preserve">, and the elevated level of such ions present in high TDS brine causes alkali to precipitate and thus make it ineffective </w:t>
      </w:r>
      <w:r w:rsidRPr="00C47C5C">
        <w:rPr>
          <w:lang w:bidi="en-US"/>
        </w:rPr>
        <w:fldChar w:fldCharType="begin"/>
      </w:r>
      <w:r w:rsidR="00332C11">
        <w:rPr>
          <w:lang w:bidi="en-US"/>
        </w:rPr>
        <w:instrText xml:space="preserve"> ADDIN EN.CITE &lt;EndNote&gt;&lt;Cite&gt;&lt;Author&gt;ShamsiJazeyi&lt;/Author&gt;&lt;Year&gt;2014&lt;/Year&gt;&lt;RecNum&gt;107&lt;/RecNum&gt;&lt;DisplayText&gt;&lt;style face="superscript"&gt;79&lt;/style&gt;&lt;/DisplayText&gt;&lt;record&gt;&lt;rec-number&gt;107&lt;/rec-number&gt;&lt;foreign-keys&gt;&lt;key app="EN" db-id="a5zz9zdsp2tzdiedrdov0ztx9zwzps0patvs" timestamp="1434378290"&gt;107&lt;/key&gt;&lt;/foreign-keys&gt;&lt;ref-type name="Journal Article"&gt;17&lt;/ref-type&gt;&lt;contributors&gt;&lt;authors&gt;&lt;author&gt;ShamsiJazeyi, Hadi&lt;/author&gt;&lt;author&gt;Verduzco, Rafael&lt;/author&gt;&lt;author&gt;Hirasaki, George J&lt;/author&gt;&lt;/authors&gt;&lt;/contributors&gt;&lt;titles&gt;&lt;title&gt;Reducing adsorption of anionic surfactant for enhanced oil recovery: Part II. Applied aspects&lt;/title&gt;&lt;secondary-title&gt;Colloids and Surfaces A: Physicochemical and Engineering Aspects&lt;/secondary-title&gt;&lt;/titles&gt;&lt;periodical&gt;&lt;full-title&gt;Colloids and Surfaces A: Physicochemical and Engineering Aspects&lt;/full-title&gt;&lt;/periodical&gt;&lt;pages&gt;168-175&lt;/pages&gt;&lt;volume&gt;453&lt;/volume&gt;&lt;dates&gt;&lt;year&gt;2014&lt;/year&gt;&lt;/dates&gt;&lt;isbn&gt;0927-7757&lt;/isbn&gt;&lt;urls&gt;&lt;/urls&gt;&lt;/record&gt;&lt;/Cite&gt;&lt;/EndNote&gt;</w:instrText>
      </w:r>
      <w:r w:rsidRPr="00C47C5C">
        <w:rPr>
          <w:lang w:bidi="en-US"/>
        </w:rPr>
        <w:fldChar w:fldCharType="separate"/>
      </w:r>
      <w:r w:rsidR="00332C11" w:rsidRPr="00332C11">
        <w:rPr>
          <w:noProof/>
          <w:vertAlign w:val="superscript"/>
          <w:lang w:bidi="en-US"/>
        </w:rPr>
        <w:t>79</w:t>
      </w:r>
      <w:r w:rsidRPr="00C47C5C">
        <w:rPr>
          <w:lang w:bidi="en-US"/>
        </w:rPr>
        <w:fldChar w:fldCharType="end"/>
      </w:r>
      <w:r w:rsidRPr="00C47C5C">
        <w:rPr>
          <w:lang w:bidi="en-US"/>
        </w:rPr>
        <w:t xml:space="preserve">. </w:t>
      </w:r>
    </w:p>
    <w:p w:rsidR="00C47C5C" w:rsidRPr="00C47C5C" w:rsidRDefault="00C47C5C" w:rsidP="00C47C5C">
      <w:pPr>
        <w:jc w:val="both"/>
        <w:rPr>
          <w:lang w:bidi="en-US"/>
        </w:rPr>
      </w:pPr>
      <w:r w:rsidRPr="00C47C5C">
        <w:rPr>
          <w:lang w:bidi="en-US"/>
        </w:rPr>
        <w:t xml:space="preserve">Several authors have reported the application of polyelectrolytes as sacrificial agents in reducing adsorption of ionic surfactants on oppositely charged surfaces </w:t>
      </w:r>
      <w:r w:rsidRPr="00C47C5C">
        <w:rPr>
          <w:lang w:bidi="en-US"/>
        </w:rPr>
        <w:fldChar w:fldCharType="begin"/>
      </w:r>
      <w:r w:rsidR="00332C11">
        <w:rPr>
          <w:lang w:bidi="en-US"/>
        </w:rPr>
        <w:instrText xml:space="preserve"> ADDIN EN.CITE &lt;EndNote&gt;&lt;Cite&gt;&lt;Author&gt;ShamsiJazeyi&lt;/Author&gt;&lt;Year&gt;2014&lt;/Year&gt;&lt;RecNum&gt;106&lt;/RecNum&gt;&lt;DisplayText&gt;&lt;style face="superscript"&gt;21, 27&lt;/style&gt;&lt;/DisplayText&gt;&lt;record&gt;&lt;rec-number&gt;106&lt;/rec-number&gt;&lt;foreign-keys&gt;&lt;key app="EN" db-id="a5zz9zdsp2tzdiedrdov0ztx9zwzps0patvs" timestamp="1434378285"&gt;106&lt;/key&gt;&lt;/foreign-keys&gt;&lt;ref-type name="Journal Article"&gt;17&lt;/ref-type&gt;&lt;contributors&gt;&lt;authors&gt;&lt;author&gt;ShamsiJazeyi, Hadi&lt;/author&gt;&lt;author&gt;Verduzco, Rafael&lt;/author&gt;&lt;author&gt;Hirasaki, George J&lt;/author&gt;&lt;/authors&gt;&lt;/contributors&gt;&lt;titles&gt;&lt;title&gt;Reducing adsorption of anionic surfactant for enhanced oil recovery: Part I. Competitive adsorption mechanism&lt;/title&gt;&lt;secondary-title&gt;Colloids and Surfaces A: Physicochemical and Engineering Aspects&lt;/secondary-title&gt;&lt;/titles&gt;&lt;periodical&gt;&lt;full-title&gt;Colloids and Surfaces A: Physicochemical and Engineering Aspects&lt;/full-title&gt;&lt;/periodical&gt;&lt;pages&gt;162-167&lt;/pages&gt;&lt;volume&gt;453&lt;/volume&gt;&lt;dates&gt;&lt;year&gt;2014&lt;/year&gt;&lt;/dates&gt;&lt;isbn&gt;0927-7757&lt;/isbn&gt;&lt;urls&gt;&lt;/urls&gt;&lt;/record&gt;&lt;/Cite&gt;&lt;Cite&gt;&lt;Author&gt;Weston&lt;/Author&gt;&lt;Year&gt;2014&lt;/Year&gt;&lt;RecNum&gt;104&lt;/RecNum&gt;&lt;record&gt;&lt;rec-number&gt;104&lt;/rec-number&gt;&lt;foreign-keys&gt;&lt;key app="EN" db-id="a5zz9zdsp2tzdiedrdov0ztx9zwzps0patvs" timestamp="1434377442"&gt;104&lt;/key&gt;&lt;/foreign-keys&gt;&lt;ref-type name="Journal Article"&gt;17&lt;/ref-type&gt;&lt;contributors&gt;&lt;authors&gt;&lt;author&gt;Weston, Javen S&lt;/author&gt;&lt;author&gt;Harwell, Jeffrey H&lt;/author&gt;&lt;author&gt;Shiau, Benjamin J&lt;/author&gt;&lt;author&gt;Kabir, Mahfuz&lt;/author&gt;&lt;/authors&gt;&lt;/contributors&gt;&lt;titles&gt;&lt;title&gt;Disrupting admicelle formation and preventing surfactant adsorption on metal oxide surfaces using sacrificial polyelectrolytes&lt;/title&gt;&lt;secondary-title&gt;Langmuir&lt;/secondary-title&gt;&lt;/titles&gt;&lt;periodical&gt;&lt;full-title&gt;Langmuir&lt;/full-title&gt;&lt;/periodical&gt;&lt;pages&gt;6384-6388&lt;/pages&gt;&lt;volume&gt;30&lt;/volume&gt;&lt;number&gt;22&lt;/number&gt;&lt;dates&gt;&lt;year&gt;2014&lt;/year&gt;&lt;/dates&gt;&lt;isbn&gt;0743-7463&lt;/isbn&gt;&lt;urls&gt;&lt;/urls&gt;&lt;/record&gt;&lt;/Cite&gt;&lt;/EndNote&gt;</w:instrText>
      </w:r>
      <w:r w:rsidRPr="00C47C5C">
        <w:rPr>
          <w:lang w:bidi="en-US"/>
        </w:rPr>
        <w:fldChar w:fldCharType="separate"/>
      </w:r>
      <w:r w:rsidR="00332C11" w:rsidRPr="00332C11">
        <w:rPr>
          <w:noProof/>
          <w:vertAlign w:val="superscript"/>
          <w:lang w:bidi="en-US"/>
        </w:rPr>
        <w:t>21, 27</w:t>
      </w:r>
      <w:r w:rsidRPr="00C47C5C">
        <w:rPr>
          <w:lang w:bidi="en-US"/>
        </w:rPr>
        <w:fldChar w:fldCharType="end"/>
      </w:r>
      <w:r w:rsidRPr="00C47C5C">
        <w:rPr>
          <w:lang w:bidi="en-US"/>
        </w:rPr>
        <w:t>. It is believed that polyelectrolytes, when adsorbed</w:t>
      </w:r>
      <w:r w:rsidR="00DA4B96">
        <w:rPr>
          <w:lang w:bidi="en-US"/>
        </w:rPr>
        <w:t xml:space="preserve"> on the surface, cover</w:t>
      </w:r>
      <w:r w:rsidRPr="00C47C5C">
        <w:rPr>
          <w:lang w:bidi="en-US"/>
        </w:rPr>
        <w:t xml:space="preserve"> positive sites and eliminates electrostatic-attraction driven surfactant adsorption. ShamsiJazeyi </w:t>
      </w:r>
      <w:r w:rsidRPr="00C47C5C">
        <w:rPr>
          <w:i/>
          <w:lang w:bidi="en-US"/>
        </w:rPr>
        <w:t xml:space="preserve">et al. </w:t>
      </w:r>
      <w:r w:rsidRPr="00C47C5C">
        <w:rPr>
          <w:lang w:bidi="en-US"/>
        </w:rPr>
        <w:fldChar w:fldCharType="begin"/>
      </w:r>
      <w:r w:rsidR="00332C11">
        <w:rPr>
          <w:lang w:bidi="en-US"/>
        </w:rPr>
        <w:instrText xml:space="preserve"> ADDIN EN.CITE &lt;EndNote&gt;&lt;Cite&gt;&lt;Author&gt;ShamsiJazeyi&lt;/Author&gt;&lt;Year&gt;2014&lt;/Year&gt;&lt;RecNum&gt;106&lt;/RecNum&gt;&lt;DisplayText&gt;&lt;style face="superscript"&gt;21&lt;/style&gt;&lt;/DisplayText&gt;&lt;record&gt;&lt;rec-number&gt;106&lt;/rec-number&gt;&lt;foreign-keys&gt;&lt;key app="EN" db-id="a5zz9zdsp2tzdiedrdov0ztx9zwzps0patvs" timestamp="1434378285"&gt;106&lt;/key&gt;&lt;/foreign-keys&gt;&lt;ref-type name="Journal Article"&gt;17&lt;/ref-type&gt;&lt;contributors&gt;&lt;authors&gt;&lt;author&gt;ShamsiJazeyi, Hadi&lt;/author&gt;&lt;author&gt;Verduzco, Rafael&lt;/author&gt;&lt;author&gt;Hirasaki, George J&lt;/author&gt;&lt;/authors&gt;&lt;/contributors&gt;&lt;titles&gt;&lt;title&gt;Reducing adsorption of anionic surfactant for enhanced oil recovery: Part I. Competitive adsorption mechanism&lt;/title&gt;&lt;secondary-title&gt;Colloids and Surfaces A: Physicochemical and Engineering Aspects&lt;/secondary-title&gt;&lt;/titles&gt;&lt;periodical&gt;&lt;full-title&gt;Colloids and Surfaces A: Physicochemical and Engineering Aspects&lt;/full-title&gt;&lt;/periodical&gt;&lt;pages&gt;162-167&lt;/pages&gt;&lt;volume&gt;453&lt;/volume&gt;&lt;dates&gt;&lt;year&gt;2014&lt;/year&gt;&lt;/dates&gt;&lt;isbn&gt;0927-7757&lt;/isbn&gt;&lt;urls&gt;&lt;/urls&gt;&lt;/record&gt;&lt;/Cite&gt;&lt;/EndNote&gt;</w:instrText>
      </w:r>
      <w:r w:rsidRPr="00C47C5C">
        <w:rPr>
          <w:lang w:bidi="en-US"/>
        </w:rPr>
        <w:fldChar w:fldCharType="separate"/>
      </w:r>
      <w:r w:rsidR="00332C11" w:rsidRPr="00332C11">
        <w:rPr>
          <w:noProof/>
          <w:vertAlign w:val="superscript"/>
          <w:lang w:bidi="en-US"/>
        </w:rPr>
        <w:t>21</w:t>
      </w:r>
      <w:r w:rsidRPr="00C47C5C">
        <w:rPr>
          <w:lang w:bidi="en-US"/>
        </w:rPr>
        <w:fldChar w:fldCharType="end"/>
      </w:r>
      <w:r w:rsidRPr="00C47C5C">
        <w:rPr>
          <w:lang w:bidi="en-US"/>
        </w:rPr>
        <w:t xml:space="preserve"> studied the effect of sodium polyacrylate on adsorption of anionic surfactant. They observed </w:t>
      </w:r>
      <w:r w:rsidR="00B34657">
        <w:rPr>
          <w:lang w:bidi="en-US"/>
        </w:rPr>
        <w:t>that higher molecular weight (&gt;</w:t>
      </w:r>
      <w:r w:rsidRPr="00C47C5C">
        <w:rPr>
          <w:lang w:bidi="en-US"/>
        </w:rPr>
        <w:t>4500 Da) sodium polyacrylates significantly reduce the adsorption of anionic surfactant on both Brea sandstone and Carlpool dolomite rock surfaces. ShamsiJazeyi also claimed that the presence of surfactant does not affect the adsorption of polyacrylate due to its low desorption and high surface coverage nature. Additionally, they observed that increasing salinity as well as Ca</w:t>
      </w:r>
      <w:r w:rsidRPr="00C47C5C">
        <w:rPr>
          <w:vertAlign w:val="superscript"/>
          <w:lang w:bidi="en-US"/>
        </w:rPr>
        <w:t>2+</w:t>
      </w:r>
      <w:r w:rsidRPr="00C47C5C">
        <w:rPr>
          <w:vertAlign w:val="subscript"/>
          <w:lang w:bidi="en-US"/>
        </w:rPr>
        <w:t xml:space="preserve"> </w:t>
      </w:r>
      <w:r w:rsidRPr="00C47C5C">
        <w:rPr>
          <w:lang w:bidi="en-US"/>
        </w:rPr>
        <w:t xml:space="preserve">ions elevates surfactant adsorption on Brea sandstone even in the presence of polyelectrolyte. Other experiments performed by Weston et al. </w:t>
      </w:r>
      <w:r w:rsidRPr="00C47C5C">
        <w:rPr>
          <w:lang w:bidi="en-US"/>
        </w:rPr>
        <w:fldChar w:fldCharType="begin"/>
      </w:r>
      <w:r w:rsidR="00332C11">
        <w:rPr>
          <w:lang w:bidi="en-US"/>
        </w:rPr>
        <w:instrText xml:space="preserve"> ADDIN EN.CITE &lt;EndNote&gt;&lt;Cite&gt;&lt;Author&gt;Weston&lt;/Author&gt;&lt;Year&gt;2014&lt;/Year&gt;&lt;RecNum&gt;104&lt;/RecNum&gt;&lt;DisplayText&gt;&lt;style face="superscript"&gt;27&lt;/style&gt;&lt;/DisplayText&gt;&lt;record&gt;&lt;rec-number&gt;104&lt;/rec-number&gt;&lt;foreign-keys&gt;&lt;key app="EN" db-id="a5zz9zdsp2tzdiedrdov0ztx9zwzps0patvs" timestamp="1434377442"&gt;104&lt;/key&gt;&lt;/foreign-keys&gt;&lt;ref-type name="Journal Article"&gt;17&lt;/ref-type&gt;&lt;contributors&gt;&lt;authors&gt;&lt;author&gt;Weston, Javen S&lt;/author&gt;&lt;author&gt;Harwell, Jeffrey H&lt;/author&gt;&lt;author&gt;Shiau, Benjamin J&lt;/author&gt;&lt;author&gt;Kabir, Mahfuz&lt;/author&gt;&lt;/authors&gt;&lt;/contributors&gt;&lt;titles&gt;&lt;title&gt;Disrupting admicelle formation and preventing surfactant adsorption on metal oxide surfaces using sacrificial polyelectrolytes&lt;/title&gt;&lt;secondary-title&gt;Langmuir&lt;/secondary-title&gt;&lt;/titles&gt;&lt;periodical&gt;&lt;full-title&gt;Langmuir&lt;/full-title&gt;&lt;/periodical&gt;&lt;pages&gt;6384-6388&lt;/pages&gt;&lt;volume&gt;30&lt;/volume&gt;&lt;number&gt;22&lt;/number&gt;&lt;dates&gt;&lt;year&gt;2014&lt;/year&gt;&lt;/dates&gt;&lt;isbn&gt;0743-7463&lt;/isbn&gt;&lt;urls&gt;&lt;/urls&gt;&lt;/record&gt;&lt;/Cite&gt;&lt;/EndNote&gt;</w:instrText>
      </w:r>
      <w:r w:rsidRPr="00C47C5C">
        <w:rPr>
          <w:lang w:bidi="en-US"/>
        </w:rPr>
        <w:fldChar w:fldCharType="separate"/>
      </w:r>
      <w:r w:rsidR="00332C11" w:rsidRPr="00332C11">
        <w:rPr>
          <w:noProof/>
          <w:vertAlign w:val="superscript"/>
          <w:lang w:bidi="en-US"/>
        </w:rPr>
        <w:t>27</w:t>
      </w:r>
      <w:r w:rsidRPr="00C47C5C">
        <w:rPr>
          <w:lang w:bidi="en-US"/>
        </w:rPr>
        <w:fldChar w:fldCharType="end"/>
      </w:r>
      <w:r w:rsidRPr="00C47C5C">
        <w:rPr>
          <w:lang w:bidi="en-US"/>
        </w:rPr>
        <w:t xml:space="preserve"> showed that addition of another anionic polyelectrolyte, polystyrene sulfonate (PSS), on positively charged metal oxide, alumina, and cationic polyelectrolyte, polydiallyl dimethyl ammonium, on negatively charged </w:t>
      </w:r>
      <w:r w:rsidRPr="00C47C5C">
        <w:rPr>
          <w:lang w:bidi="en-US"/>
        </w:rPr>
        <w:lastRenderedPageBreak/>
        <w:t xml:space="preserve">metal oxide, silica, reduced the adsorption of anionic and cationic surfactants, respectively. Weston also observed that a sequential addition methodology -- addition of polyelectrolyte followed by surfactant -- is more effective in reducing surfactant adsorption than simultaneous addition, where polyelectrolyte and surfactant are added together. The hypothesis proposed for this observation is that during sequential addition, the polyelectrolyte does not have to compete with surfactant to adsorb on the metal oxide surface. </w:t>
      </w:r>
    </w:p>
    <w:p w:rsidR="00C47C5C" w:rsidRPr="00C47C5C" w:rsidRDefault="00C47C5C" w:rsidP="00C47C5C">
      <w:pPr>
        <w:jc w:val="both"/>
        <w:rPr>
          <w:lang w:bidi="en-US"/>
        </w:rPr>
      </w:pPr>
      <w:r w:rsidRPr="00C47C5C">
        <w:rPr>
          <w:lang w:bidi="en-US"/>
        </w:rPr>
        <w:t xml:space="preserve">It is well known that an increase in electrolyte concentration of a solution increases the adsorption of anionic surfactants </w:t>
      </w:r>
      <w:r w:rsidRPr="00C47C5C">
        <w:rPr>
          <w:lang w:bidi="en-US"/>
        </w:rPr>
        <w:fldChar w:fldCharType="begin"/>
      </w:r>
      <w:r w:rsidR="00332C11">
        <w:rPr>
          <w:lang w:bidi="en-US"/>
        </w:rPr>
        <w:instrText xml:space="preserve"> ADDIN EN.CITE &lt;EndNote&gt;&lt;Cite&gt;&lt;Author&gt;Paria&lt;/Author&gt;&lt;Year&gt;2004&lt;/Year&gt;&lt;RecNum&gt;112&lt;/RecNum&gt;&lt;DisplayText&gt;&lt;style face="superscript"&gt;80&lt;/style&gt;&lt;/DisplayText&gt;&lt;record&gt;&lt;rec-number&gt;112&lt;/rec-number&gt;&lt;foreign-keys&gt;&lt;key app="EN" db-id="a5zz9zdsp2tzdiedrdov0ztx9zwzps0patvs" timestamp="1436123707"&gt;112&lt;/key&gt;&lt;/foreign-keys&gt;&lt;ref-type name="Journal Article"&gt;17&lt;/ref-type&gt;&lt;contributors&gt;&lt;authors&gt;&lt;author&gt;Paria, Santanu&lt;/author&gt;&lt;author&gt;Khilar, Kartic C&lt;/author&gt;&lt;/authors&gt;&lt;/contributors&gt;&lt;titles&gt;&lt;title&gt;A review on experimental studies of surfactant adsorption at the hydrophilic solid–water interface&lt;/title&gt;&lt;secondary-title&gt;Advances in colloid and interface science&lt;/secondary-title&gt;&lt;/titles&gt;&lt;periodical&gt;&lt;full-title&gt;Advances in colloid and interface science&lt;/full-title&gt;&lt;/periodical&gt;&lt;pages&gt;75-95&lt;/pages&gt;&lt;volume&gt;110&lt;/volume&gt;&lt;number&gt;3&lt;/number&gt;&lt;dates&gt;&lt;year&gt;2004&lt;/year&gt;&lt;/dates&gt;&lt;isbn&gt;0001-8686&lt;/isbn&gt;&lt;urls&gt;&lt;/urls&gt;&lt;/record&gt;&lt;/Cite&gt;&lt;/EndNote&gt;</w:instrText>
      </w:r>
      <w:r w:rsidRPr="00C47C5C">
        <w:rPr>
          <w:lang w:bidi="en-US"/>
        </w:rPr>
        <w:fldChar w:fldCharType="separate"/>
      </w:r>
      <w:r w:rsidR="00332C11" w:rsidRPr="00332C11">
        <w:rPr>
          <w:noProof/>
          <w:vertAlign w:val="superscript"/>
          <w:lang w:bidi="en-US"/>
        </w:rPr>
        <w:t>80</w:t>
      </w:r>
      <w:r w:rsidRPr="00C47C5C">
        <w:rPr>
          <w:lang w:bidi="en-US"/>
        </w:rPr>
        <w:fldChar w:fldCharType="end"/>
      </w:r>
      <w:r w:rsidRPr="00C47C5C">
        <w:rPr>
          <w:lang w:bidi="en-US"/>
        </w:rPr>
        <w:t>. Even though polyelectrolytes are proposed to significantly minimize surfactant adsorption on rocks or metal oxides, their effectiveness in high electrolyte/TDS (&gt; 200,000 mg/l) reservoir brine condition is yet to be studied. A possible explanation may be the difficulties in developing surfactant formulations that remains stable in a very high TDS solution. This work hopes to fill such a gap and demonstrate that polystyrene sulfonates (PSSs)  can be used as sacrificial agent in minimizing ad</w:t>
      </w:r>
      <w:r w:rsidR="00DA4B96">
        <w:rPr>
          <w:lang w:bidi="en-US"/>
        </w:rPr>
        <w:t xml:space="preserve">sorption of anionic surfactant </w:t>
      </w:r>
      <w:r w:rsidRPr="00C47C5C">
        <w:rPr>
          <w:lang w:bidi="en-US"/>
        </w:rPr>
        <w:t>in a sandstone reservoir that has brine with total TDS of 301,710 mg/l and total hardness (Ca</w:t>
      </w:r>
      <w:r w:rsidRPr="00C47C5C">
        <w:rPr>
          <w:vertAlign w:val="superscript"/>
          <w:lang w:bidi="en-US"/>
        </w:rPr>
        <w:t>2+</w:t>
      </w:r>
      <w:r w:rsidRPr="00C47C5C">
        <w:rPr>
          <w:lang w:bidi="en-US"/>
        </w:rPr>
        <w:t xml:space="preserve"> and Mg</w:t>
      </w:r>
      <w:r w:rsidRPr="00C47C5C">
        <w:rPr>
          <w:vertAlign w:val="superscript"/>
          <w:lang w:bidi="en-US"/>
        </w:rPr>
        <w:t>2+</w:t>
      </w:r>
      <w:r w:rsidRPr="00C47C5C">
        <w:rPr>
          <w:lang w:bidi="en-US"/>
        </w:rPr>
        <w:t xml:space="preserve">) of 12,973 mg/l.   </w:t>
      </w:r>
    </w:p>
    <w:p w:rsidR="00C47C5C" w:rsidRPr="00C47C5C" w:rsidRDefault="00C47C5C" w:rsidP="00C47C5C">
      <w:pPr>
        <w:pStyle w:val="Heading2"/>
      </w:pPr>
      <w:bookmarkStart w:id="102" w:name="_Toc426374043"/>
      <w:r w:rsidRPr="00C47C5C">
        <w:t>Experimental</w:t>
      </w:r>
      <w:bookmarkEnd w:id="102"/>
    </w:p>
    <w:p w:rsidR="00C47C5C" w:rsidRDefault="00C47C5C" w:rsidP="00BF7BCE">
      <w:pPr>
        <w:pStyle w:val="Heading3"/>
      </w:pPr>
      <w:bookmarkStart w:id="103" w:name="_Toc426374044"/>
      <w:r w:rsidRPr="00C47C5C">
        <w:t>Materials</w:t>
      </w:r>
      <w:bookmarkEnd w:id="103"/>
      <w:r w:rsidRPr="00C47C5C">
        <w:t xml:space="preserve"> </w:t>
      </w:r>
    </w:p>
    <w:p w:rsidR="00C47C5C" w:rsidRPr="00C47C5C" w:rsidRDefault="00C47C5C" w:rsidP="00C47C5C">
      <w:pPr>
        <w:jc w:val="both"/>
        <w:rPr>
          <w:lang w:bidi="en-US"/>
        </w:rPr>
      </w:pPr>
      <w:r w:rsidRPr="00C47C5C">
        <w:rPr>
          <w:lang w:bidi="en-US"/>
        </w:rPr>
        <w:t>Polystyrene sulfonates (PSS) with four different mol</w:t>
      </w:r>
      <w:r w:rsidR="00E418B9">
        <w:rPr>
          <w:lang w:bidi="en-US"/>
        </w:rPr>
        <w:t>ecular weights (MWs) i.e., 20 KDa (25% active), 70 KDa (30% active), 250 KDa (30% active), and 1 M</w:t>
      </w:r>
      <w:r w:rsidRPr="00C47C5C">
        <w:rPr>
          <w:lang w:bidi="en-US"/>
        </w:rPr>
        <w:t>Da (25% active) are the anionic polyelectrolytes used in this study. These polyelectrolytes are commercially available and were provided by Akzo Nob</w:t>
      </w:r>
      <w:r w:rsidR="00E418B9">
        <w:rPr>
          <w:lang w:bidi="en-US"/>
        </w:rPr>
        <w:t>le Inc. Nashville, TN. The 20 K</w:t>
      </w:r>
      <w:r w:rsidRPr="00C47C5C">
        <w:rPr>
          <w:lang w:bidi="en-US"/>
        </w:rPr>
        <w:t xml:space="preserve">Da (SSMA) polyelectrolyte is reported as the mixture of styrene sulfonates and maleic acid (MA) by the manufacturer. The surfactant system used in this study is the mixture of sodium alkyl </w:t>
      </w:r>
      <w:r w:rsidRPr="00C47C5C">
        <w:rPr>
          <w:lang w:bidi="en-US"/>
        </w:rPr>
        <w:lastRenderedPageBreak/>
        <w:t>ethoxylate propxylate sulfate (extended surfactant) and sodium alkyl ethoxy sulfates (SAES) surfactant system reported elsewhere [</w:t>
      </w:r>
      <w:r>
        <w:rPr>
          <w:lang w:bidi="en-US"/>
        </w:rPr>
        <w:t>Chapter 1</w:t>
      </w:r>
      <w:r w:rsidRPr="00C47C5C">
        <w:rPr>
          <w:lang w:bidi="en-US"/>
        </w:rPr>
        <w:t>]. The extended surfactant (32.2 % active), C</w:t>
      </w:r>
      <w:r w:rsidRPr="00C47C5C">
        <w:rPr>
          <w:vertAlign w:val="subscript"/>
          <w:lang w:bidi="en-US"/>
        </w:rPr>
        <w:t>10</w:t>
      </w:r>
      <w:r w:rsidRPr="00C47C5C">
        <w:rPr>
          <w:lang w:bidi="en-US"/>
        </w:rPr>
        <w:t>-(EO)</w:t>
      </w:r>
      <w:r w:rsidRPr="00C47C5C">
        <w:rPr>
          <w:vertAlign w:val="subscript"/>
          <w:lang w:bidi="en-US"/>
        </w:rPr>
        <w:t>1</w:t>
      </w:r>
      <w:r w:rsidRPr="00C47C5C">
        <w:rPr>
          <w:lang w:bidi="en-US"/>
        </w:rPr>
        <w:t>-(PO)</w:t>
      </w:r>
      <w:r w:rsidRPr="00C47C5C">
        <w:rPr>
          <w:vertAlign w:val="subscript"/>
          <w:lang w:bidi="en-US"/>
        </w:rPr>
        <w:t>4</w:t>
      </w:r>
      <w:r w:rsidRPr="00C47C5C">
        <w:rPr>
          <w:lang w:bidi="en-US"/>
        </w:rPr>
        <w:t>-SO</w:t>
      </w:r>
      <w:r w:rsidRPr="00C47C5C">
        <w:rPr>
          <w:vertAlign w:val="subscript"/>
          <w:lang w:bidi="en-US"/>
        </w:rPr>
        <w:t>4</w:t>
      </w:r>
      <w:r w:rsidRPr="00C47C5C">
        <w:rPr>
          <w:lang w:bidi="en-US"/>
        </w:rPr>
        <w:t xml:space="preserve">Na, was provided by Sasol North America Inc, Lake Charles, LA  and the SAES surfactant, trade name Steol Cs460 (60% active),  was purchased from Stephan Chemical Inc. All chemicals were used as received without further purification. </w:t>
      </w:r>
    </w:p>
    <w:p w:rsidR="00C47C5C" w:rsidRPr="00C47C5C" w:rsidRDefault="00C47C5C" w:rsidP="00C47C5C">
      <w:pPr>
        <w:pStyle w:val="Caption"/>
        <w:keepNext/>
        <w:rPr>
          <w:b w:val="0"/>
          <w:lang w:bidi="en-US"/>
        </w:rPr>
      </w:pPr>
      <w:bookmarkStart w:id="104" w:name="_Toc426967292"/>
      <w:r>
        <w:t xml:space="preserve">Table </w:t>
      </w:r>
      <w:r w:rsidR="001C58A2">
        <w:fldChar w:fldCharType="begin"/>
      </w:r>
      <w:r w:rsidR="001C58A2">
        <w:instrText xml:space="preserve"> SEQ Table \* ARABIC </w:instrText>
      </w:r>
      <w:r w:rsidR="001C58A2">
        <w:fldChar w:fldCharType="separate"/>
      </w:r>
      <w:r w:rsidR="003F7947">
        <w:rPr>
          <w:noProof/>
        </w:rPr>
        <w:t>14</w:t>
      </w:r>
      <w:r w:rsidR="001C58A2">
        <w:rPr>
          <w:noProof/>
        </w:rPr>
        <w:fldChar w:fldCharType="end"/>
      </w:r>
      <w:r>
        <w:t xml:space="preserve">. </w:t>
      </w:r>
      <w:r w:rsidRPr="00C47C5C">
        <w:rPr>
          <w:b w:val="0"/>
          <w:lang w:bidi="en-US"/>
        </w:rPr>
        <w:t>Composition of Brea Sandstone and Ottawa Sand. Information provided by supplier</w:t>
      </w:r>
      <w:bookmarkEnd w:id="104"/>
    </w:p>
    <w:p w:rsidR="00C47C5C" w:rsidRDefault="00C47C5C" w:rsidP="00C47C5C">
      <w:pPr>
        <w:pStyle w:val="Caption"/>
        <w:keepNext/>
      </w:pPr>
    </w:p>
    <w:tbl>
      <w:tblPr>
        <w:tblW w:w="5060" w:type="dxa"/>
        <w:tblInd w:w="1620" w:type="dxa"/>
        <w:tblCellMar>
          <w:left w:w="0" w:type="dxa"/>
          <w:right w:w="0" w:type="dxa"/>
        </w:tblCellMar>
        <w:tblLook w:val="0600" w:firstRow="0" w:lastRow="0" w:firstColumn="0" w:lastColumn="0" w:noHBand="1" w:noVBand="1"/>
      </w:tblPr>
      <w:tblGrid>
        <w:gridCol w:w="1540"/>
        <w:gridCol w:w="1960"/>
        <w:gridCol w:w="1560"/>
      </w:tblGrid>
      <w:tr w:rsidR="00C47C5C" w:rsidRPr="00C47C5C" w:rsidTr="00C47C5C">
        <w:trPr>
          <w:trHeight w:val="492"/>
        </w:trPr>
        <w:tc>
          <w:tcPr>
            <w:tcW w:w="154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rPr>
                <w:lang w:bidi="en-US"/>
              </w:rPr>
            </w:pPr>
            <w:r w:rsidRPr="00C47C5C">
              <w:rPr>
                <w:b/>
                <w:bCs/>
                <w:lang w:bidi="en-US"/>
              </w:rPr>
              <w:t>Components</w:t>
            </w:r>
          </w:p>
        </w:tc>
        <w:tc>
          <w:tcPr>
            <w:tcW w:w="196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rPr>
                <w:lang w:bidi="en-US"/>
              </w:rPr>
            </w:pPr>
            <w:r w:rsidRPr="00C47C5C">
              <w:rPr>
                <w:b/>
                <w:bCs/>
                <w:lang w:bidi="en-US"/>
              </w:rPr>
              <w:t>Brea Sandstone</w:t>
            </w:r>
          </w:p>
        </w:tc>
        <w:tc>
          <w:tcPr>
            <w:tcW w:w="1560" w:type="dxa"/>
            <w:tcBorders>
              <w:top w:val="single" w:sz="8" w:space="0" w:color="000000"/>
              <w:left w:val="nil"/>
              <w:bottom w:val="single" w:sz="8" w:space="0" w:color="000000"/>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rPr>
                <w:lang w:bidi="en-US"/>
              </w:rPr>
            </w:pPr>
            <w:r w:rsidRPr="00C47C5C">
              <w:rPr>
                <w:b/>
                <w:bCs/>
                <w:lang w:bidi="en-US"/>
              </w:rPr>
              <w:t>Ottawa Sand</w:t>
            </w:r>
          </w:p>
        </w:tc>
      </w:tr>
      <w:tr w:rsidR="00C47C5C" w:rsidRPr="00C47C5C" w:rsidTr="00C47C5C">
        <w:trPr>
          <w:trHeight w:val="373"/>
        </w:trPr>
        <w:tc>
          <w:tcPr>
            <w:tcW w:w="154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SiO</w:t>
            </w:r>
            <w:r w:rsidRPr="00C47C5C">
              <w:rPr>
                <w:vertAlign w:val="subscript"/>
                <w:lang w:bidi="en-US"/>
              </w:rPr>
              <w:t>2</w:t>
            </w:r>
          </w:p>
        </w:tc>
        <w:tc>
          <w:tcPr>
            <w:tcW w:w="196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93.13 %</w:t>
            </w:r>
          </w:p>
        </w:tc>
        <w:tc>
          <w:tcPr>
            <w:tcW w:w="1560" w:type="dxa"/>
            <w:tcBorders>
              <w:top w:val="single" w:sz="8" w:space="0" w:color="000000"/>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99.77 %</w:t>
            </w:r>
          </w:p>
        </w:tc>
      </w:tr>
      <w:tr w:rsidR="00C47C5C" w:rsidRPr="00C47C5C" w:rsidTr="00C47C5C">
        <w:trPr>
          <w:trHeight w:val="347"/>
        </w:trPr>
        <w:tc>
          <w:tcPr>
            <w:tcW w:w="1540" w:type="dxa"/>
            <w:tcBorders>
              <w:top w:val="nil"/>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Al</w:t>
            </w:r>
            <w:r w:rsidRPr="00C47C5C">
              <w:rPr>
                <w:vertAlign w:val="subscript"/>
                <w:lang w:bidi="en-US"/>
              </w:rPr>
              <w:t>2</w:t>
            </w:r>
            <w:r w:rsidRPr="00C47C5C">
              <w:rPr>
                <w:lang w:bidi="en-US"/>
              </w:rPr>
              <w:t>O</w:t>
            </w:r>
            <w:r w:rsidRPr="00C47C5C">
              <w:rPr>
                <w:vertAlign w:val="subscript"/>
                <w:lang w:bidi="en-US"/>
              </w:rPr>
              <w:t>3</w:t>
            </w:r>
          </w:p>
        </w:tc>
        <w:tc>
          <w:tcPr>
            <w:tcW w:w="1960" w:type="dxa"/>
            <w:tcBorders>
              <w:top w:val="nil"/>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3.86 %</w:t>
            </w:r>
          </w:p>
        </w:tc>
        <w:tc>
          <w:tcPr>
            <w:tcW w:w="1560" w:type="dxa"/>
            <w:tcBorders>
              <w:top w:val="nil"/>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0.051 %</w:t>
            </w:r>
          </w:p>
        </w:tc>
      </w:tr>
      <w:tr w:rsidR="00C47C5C" w:rsidRPr="00C47C5C" w:rsidTr="00C47C5C">
        <w:trPr>
          <w:trHeight w:val="387"/>
        </w:trPr>
        <w:tc>
          <w:tcPr>
            <w:tcW w:w="1540" w:type="dxa"/>
            <w:tcBorders>
              <w:top w:val="nil"/>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Fe</w:t>
            </w:r>
            <w:r w:rsidRPr="00C47C5C">
              <w:rPr>
                <w:vertAlign w:val="subscript"/>
                <w:lang w:bidi="en-US"/>
              </w:rPr>
              <w:t>2</w:t>
            </w:r>
            <w:r w:rsidRPr="00C47C5C">
              <w:rPr>
                <w:lang w:bidi="en-US"/>
              </w:rPr>
              <w:t>O</w:t>
            </w:r>
            <w:r w:rsidRPr="00C47C5C">
              <w:rPr>
                <w:vertAlign w:val="subscript"/>
                <w:lang w:bidi="en-US"/>
              </w:rPr>
              <w:t>3</w:t>
            </w:r>
          </w:p>
        </w:tc>
        <w:tc>
          <w:tcPr>
            <w:tcW w:w="1960" w:type="dxa"/>
            <w:tcBorders>
              <w:top w:val="nil"/>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0.11 %</w:t>
            </w:r>
          </w:p>
        </w:tc>
        <w:tc>
          <w:tcPr>
            <w:tcW w:w="1560" w:type="dxa"/>
            <w:tcBorders>
              <w:top w:val="nil"/>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0.026 %</w:t>
            </w:r>
          </w:p>
        </w:tc>
      </w:tr>
      <w:tr w:rsidR="00C47C5C" w:rsidRPr="00C47C5C" w:rsidTr="00C47C5C">
        <w:trPr>
          <w:trHeight w:val="373"/>
        </w:trPr>
        <w:tc>
          <w:tcPr>
            <w:tcW w:w="1540" w:type="dxa"/>
            <w:tcBorders>
              <w:top w:val="nil"/>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FeO</w:t>
            </w:r>
          </w:p>
        </w:tc>
        <w:tc>
          <w:tcPr>
            <w:tcW w:w="1960" w:type="dxa"/>
            <w:tcBorders>
              <w:top w:val="nil"/>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0.54 %</w:t>
            </w:r>
          </w:p>
        </w:tc>
        <w:tc>
          <w:tcPr>
            <w:tcW w:w="1560" w:type="dxa"/>
            <w:tcBorders>
              <w:top w:val="nil"/>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w:t>
            </w:r>
          </w:p>
        </w:tc>
      </w:tr>
      <w:tr w:rsidR="00C47C5C" w:rsidRPr="00C47C5C" w:rsidTr="00C47C5C">
        <w:trPr>
          <w:trHeight w:val="373"/>
        </w:trPr>
        <w:tc>
          <w:tcPr>
            <w:tcW w:w="1540" w:type="dxa"/>
            <w:tcBorders>
              <w:top w:val="nil"/>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MgO</w:t>
            </w:r>
          </w:p>
        </w:tc>
        <w:tc>
          <w:tcPr>
            <w:tcW w:w="1960" w:type="dxa"/>
            <w:tcBorders>
              <w:top w:val="nil"/>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0.25 %</w:t>
            </w:r>
          </w:p>
        </w:tc>
        <w:tc>
          <w:tcPr>
            <w:tcW w:w="1560" w:type="dxa"/>
            <w:tcBorders>
              <w:top w:val="nil"/>
              <w:left w:val="nil"/>
              <w:bottom w:val="nil"/>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w:t>
            </w:r>
          </w:p>
        </w:tc>
      </w:tr>
      <w:tr w:rsidR="00C47C5C" w:rsidRPr="00C47C5C" w:rsidTr="00C47C5C">
        <w:trPr>
          <w:trHeight w:val="320"/>
        </w:trPr>
        <w:tc>
          <w:tcPr>
            <w:tcW w:w="154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CaO</w:t>
            </w:r>
          </w:p>
        </w:tc>
        <w:tc>
          <w:tcPr>
            <w:tcW w:w="196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0.10 %</w:t>
            </w:r>
          </w:p>
        </w:tc>
        <w:tc>
          <w:tcPr>
            <w:tcW w:w="1560" w:type="dxa"/>
            <w:tcBorders>
              <w:top w:val="nil"/>
              <w:left w:val="nil"/>
              <w:bottom w:val="single" w:sz="8" w:space="0" w:color="000000"/>
              <w:right w:val="nil"/>
            </w:tcBorders>
            <w:shd w:val="clear" w:color="auto" w:fill="auto"/>
            <w:tcMar>
              <w:top w:w="15" w:type="dxa"/>
              <w:left w:w="15" w:type="dxa"/>
              <w:bottom w:w="0" w:type="dxa"/>
              <w:right w:w="15" w:type="dxa"/>
            </w:tcMar>
            <w:vAlign w:val="center"/>
            <w:hideMark/>
          </w:tcPr>
          <w:p w:rsidR="00C47C5C" w:rsidRPr="00C47C5C" w:rsidRDefault="00C47C5C" w:rsidP="00C47C5C">
            <w:pPr>
              <w:spacing w:line="240" w:lineRule="auto"/>
              <w:jc w:val="center"/>
              <w:rPr>
                <w:lang w:bidi="en-US"/>
              </w:rPr>
            </w:pPr>
            <w:r w:rsidRPr="00C47C5C">
              <w:rPr>
                <w:lang w:bidi="en-US"/>
              </w:rPr>
              <w:t>-</w:t>
            </w:r>
          </w:p>
        </w:tc>
      </w:tr>
    </w:tbl>
    <w:p w:rsidR="00C47C5C" w:rsidRPr="00C47C5C" w:rsidRDefault="00C47C5C" w:rsidP="00C47C5C">
      <w:pPr>
        <w:rPr>
          <w:lang w:bidi="en-US"/>
        </w:rPr>
      </w:pPr>
    </w:p>
    <w:p w:rsidR="00C47C5C" w:rsidRDefault="00C47C5C" w:rsidP="00C47C5C">
      <w:pPr>
        <w:jc w:val="both"/>
        <w:rPr>
          <w:lang w:bidi="en-US"/>
        </w:rPr>
      </w:pPr>
      <w:r w:rsidRPr="00C47C5C">
        <w:rPr>
          <w:lang w:bidi="en-US"/>
        </w:rPr>
        <w:t>Adsorbents that were used in this study are F-95 grade Ottawa sand and Brea sandstone. The F-95 grade Ottawa sand (50-200 mesh) was purchased from Axner Pottery Supply, Oviedo, FL and the Brea sandstone rocks were purchased from Cleveland Quarries, Vermilion, OH. Detail information about the composition of each adsorbent are presented in Table 1</w:t>
      </w:r>
      <w:r>
        <w:rPr>
          <w:lang w:bidi="en-US"/>
        </w:rPr>
        <w:t>4</w:t>
      </w:r>
      <w:r w:rsidRPr="00C47C5C">
        <w:rPr>
          <w:lang w:bidi="en-US"/>
        </w:rPr>
        <w:t>. The Brea sandstone rock was further crushed and 35-100 mesh size was selected for study after sieving. The reservoir fluids, brine and crude oil, were collected from a well site located near Guymon, Oklahoma. Complete analysis of both fluids are reported in our other work [</w:t>
      </w:r>
      <w:r w:rsidR="00CC15C3">
        <w:rPr>
          <w:lang w:bidi="en-US"/>
        </w:rPr>
        <w:t>Chapter 2</w:t>
      </w:r>
      <w:r w:rsidRPr="00C47C5C">
        <w:rPr>
          <w:lang w:bidi="en-US"/>
        </w:rPr>
        <w:t xml:space="preserve">]. </w:t>
      </w:r>
    </w:p>
    <w:p w:rsidR="009F3CB3" w:rsidRPr="009F3CB3" w:rsidRDefault="00CF5567" w:rsidP="009F3CB3">
      <w:pPr>
        <w:pStyle w:val="Heading3"/>
      </w:pPr>
      <w:bookmarkStart w:id="105" w:name="_Toc426374045"/>
      <w:r>
        <w:lastRenderedPageBreak/>
        <w:t>Equilibrium Adsorption S</w:t>
      </w:r>
      <w:r w:rsidR="009F3CB3" w:rsidRPr="009F3CB3">
        <w:t>tudy</w:t>
      </w:r>
      <w:bookmarkEnd w:id="105"/>
    </w:p>
    <w:p w:rsidR="00C47C5C" w:rsidRPr="00C47C5C" w:rsidRDefault="00C47C5C" w:rsidP="00C47C5C">
      <w:pPr>
        <w:jc w:val="both"/>
        <w:rPr>
          <w:lang w:bidi="en-US"/>
        </w:rPr>
      </w:pPr>
      <w:r w:rsidRPr="00C47C5C">
        <w:rPr>
          <w:lang w:bidi="en-US"/>
        </w:rPr>
        <w:t xml:space="preserve">Equilibrium adsorption studies were carried out by introducing 15 g of aqueous phase, brine or 1 wt % NaCl, containing surfactant and/ or PSS into the 5 g of adsorbent, Brea or Ottawa sand, filled vials. The initial surfactant concentration of the aqueous phase was set at 0.75 wt % while the PSS concentrations were varied from 0.1 to 0.8 wt % of sand used. All the samples were left to equilibrate for 24-30 h during which they were constantly shaken in a shaker at 300 rpm. After equilibration, each sample was centrifuged and the aqueous phase was analyzed using high performance liquid chromatography (HPLC). The surfactant and PSS concentration of aqueous phase were determined using conductivity and UV detectors respectively. Similar to Weston </w:t>
      </w:r>
      <w:r w:rsidRPr="00C47C5C">
        <w:rPr>
          <w:lang w:bidi="en-US"/>
        </w:rPr>
        <w:fldChar w:fldCharType="begin"/>
      </w:r>
      <w:r w:rsidR="00332C11">
        <w:rPr>
          <w:lang w:bidi="en-US"/>
        </w:rPr>
        <w:instrText xml:space="preserve"> ADDIN EN.CITE &lt;EndNote&gt;&lt;Cite&gt;&lt;Author&gt;Weston&lt;/Author&gt;&lt;Year&gt;2014&lt;/Year&gt;&lt;RecNum&gt;104&lt;/RecNum&gt;&lt;DisplayText&gt;&lt;style face="superscript"&gt;27&lt;/style&gt;&lt;/DisplayText&gt;&lt;record&gt;&lt;rec-number&gt;104&lt;/rec-number&gt;&lt;foreign-keys&gt;&lt;key app="EN" db-id="a5zz9zdsp2tzdiedrdov0ztx9zwzps0patvs" timestamp="1434377442"&gt;104&lt;/key&gt;&lt;/foreign-keys&gt;&lt;ref-type name="Journal Article"&gt;17&lt;/ref-type&gt;&lt;contributors&gt;&lt;authors&gt;&lt;author&gt;Weston, Javen S&lt;/author&gt;&lt;author&gt;Harwell, Jeffrey H&lt;/author&gt;&lt;author&gt;Shiau, Benjamin J&lt;/author&gt;&lt;author&gt;Kabir, Mahfuz&lt;/author&gt;&lt;/authors&gt;&lt;/contributors&gt;&lt;titles&gt;&lt;title&gt;Disrupting admicelle formation and preventing surfactant adsorption on metal oxide surfaces using sacrificial polyelectrolytes&lt;/title&gt;&lt;secondary-title&gt;Langmuir&lt;/secondary-title&gt;&lt;/titles&gt;&lt;periodical&gt;&lt;full-title&gt;Langmuir&lt;/full-title&gt;&lt;/periodical&gt;&lt;pages&gt;6384-6388&lt;/pages&gt;&lt;volume&gt;30&lt;/volume&gt;&lt;number&gt;22&lt;/number&gt;&lt;dates&gt;&lt;year&gt;2014&lt;/year&gt;&lt;/dates&gt;&lt;isbn&gt;0743-7463&lt;/isbn&gt;&lt;urls&gt;&lt;/urls&gt;&lt;/record&gt;&lt;/Cite&gt;&lt;/EndNote&gt;</w:instrText>
      </w:r>
      <w:r w:rsidRPr="00C47C5C">
        <w:rPr>
          <w:lang w:bidi="en-US"/>
        </w:rPr>
        <w:fldChar w:fldCharType="separate"/>
      </w:r>
      <w:r w:rsidR="00332C11" w:rsidRPr="00332C11">
        <w:rPr>
          <w:noProof/>
          <w:vertAlign w:val="superscript"/>
          <w:lang w:bidi="en-US"/>
        </w:rPr>
        <w:t>27</w:t>
      </w:r>
      <w:r w:rsidRPr="00C47C5C">
        <w:rPr>
          <w:lang w:bidi="en-US"/>
        </w:rPr>
        <w:fldChar w:fldCharType="end"/>
      </w:r>
      <w:r w:rsidRPr="00C47C5C">
        <w:rPr>
          <w:lang w:bidi="en-US"/>
        </w:rPr>
        <w:t xml:space="preserve">, two different sample preparation methodologies, sequential addition and simultaneous addition, were employed for samples that contained both PSS and surfactant. In the sequential addition method, PSS solution were added to the sand and allowed to equilibrate for over 24 h before adding surfactant, whereas the simultaneous addition method involved addition of both PSS and surfactant solution onto the sand at the same time. All experiments were performed at the room temperature and at pH 6.4 and 6.9 for systems with reservoir brine and 1 wt % NaCl water, respectively. </w:t>
      </w:r>
    </w:p>
    <w:p w:rsidR="00C47C5C" w:rsidRDefault="00CF5567" w:rsidP="00BF7BCE">
      <w:pPr>
        <w:pStyle w:val="Heading3"/>
      </w:pPr>
      <w:bookmarkStart w:id="106" w:name="_Toc426374046"/>
      <w:r>
        <w:t>Dynamic Adsorption S</w:t>
      </w:r>
      <w:r w:rsidR="00C47C5C">
        <w:t>tudy</w:t>
      </w:r>
      <w:bookmarkEnd w:id="106"/>
      <w:r w:rsidR="00C47C5C" w:rsidRPr="00C47C5C">
        <w:t xml:space="preserve"> </w:t>
      </w:r>
    </w:p>
    <w:p w:rsidR="00C47C5C" w:rsidRPr="00C47C5C" w:rsidRDefault="00C47C5C" w:rsidP="00C47C5C">
      <w:pPr>
        <w:jc w:val="both"/>
        <w:rPr>
          <w:lang w:bidi="en-US"/>
        </w:rPr>
      </w:pPr>
      <w:r w:rsidRPr="00C47C5C">
        <w:rPr>
          <w:lang w:bidi="en-US"/>
        </w:rPr>
        <w:t>Glass chromatography columns packed with sand (Brea sand or Ottawa sand) are used for dynamic adsorption studies. The dimensions of each sand pack bed are 3 inches long and 1 inches diameter. Salinity gradient tests similar to that described in our previous work were carried out to determine pore volumes (PVs) of sand packs [</w:t>
      </w:r>
      <w:r>
        <w:rPr>
          <w:lang w:bidi="en-US"/>
        </w:rPr>
        <w:t>Chapter 3</w:t>
      </w:r>
      <w:r w:rsidRPr="00C47C5C">
        <w:rPr>
          <w:lang w:bidi="en-US"/>
        </w:rPr>
        <w:t xml:space="preserve">]. Each sand pack was flushed with at least two pore volume of reservoir brine before injecting </w:t>
      </w:r>
      <w:r w:rsidRPr="00C47C5C">
        <w:rPr>
          <w:lang w:bidi="en-US"/>
        </w:rPr>
        <w:lastRenderedPageBreak/>
        <w:t xml:space="preserve">surfactant and/ or PSS. In addition, sequential addition and simultaneous addition methods were also employed in this study for cases that involved injection of both PSS and surfactant in to sand packs. The fluid injection rate was kept constant at 3 ml/min unless otherwise noted and the experiments were carried out at room temperature.  </w:t>
      </w:r>
    </w:p>
    <w:p w:rsidR="00C47C5C" w:rsidRDefault="00CF5567" w:rsidP="00BF7BCE">
      <w:pPr>
        <w:pStyle w:val="Heading3"/>
      </w:pPr>
      <w:bookmarkStart w:id="107" w:name="_Toc426374047"/>
      <w:r>
        <w:t>Sand Pack Experiments</w:t>
      </w:r>
      <w:bookmarkEnd w:id="107"/>
    </w:p>
    <w:p w:rsidR="00C47C5C" w:rsidRPr="00C47C5C" w:rsidRDefault="00C47C5C" w:rsidP="00C47C5C">
      <w:pPr>
        <w:jc w:val="both"/>
        <w:rPr>
          <w:lang w:bidi="en-US"/>
        </w:rPr>
      </w:pPr>
      <w:r w:rsidRPr="00C47C5C">
        <w:rPr>
          <w:lang w:bidi="en-US"/>
        </w:rPr>
        <w:t>Sand pack studies were conducted at the reservoir conditions to evaluate the impact of lowering surfactant adsorption due to PSS on oil mobilization from porous media. These studies were performed using sand (Brea sand or Ottawa sand) packed glass chromatography columns that are 6 inches long and have 1 inch diameter. Detail</w:t>
      </w:r>
      <w:r w:rsidR="00DA4B96">
        <w:rPr>
          <w:lang w:bidi="en-US"/>
        </w:rPr>
        <w:t>ed</w:t>
      </w:r>
      <w:r w:rsidRPr="00C47C5C">
        <w:rPr>
          <w:lang w:bidi="en-US"/>
        </w:rPr>
        <w:t xml:space="preserve"> explanation about the steps that were followed during sand packing and preparing oil saturated sand packs for water flooding and surfactant injection are reported elsewhere [</w:t>
      </w:r>
      <w:r>
        <w:rPr>
          <w:lang w:bidi="en-US"/>
        </w:rPr>
        <w:t>Chapter 1</w:t>
      </w:r>
      <w:r w:rsidRPr="00C47C5C">
        <w:rPr>
          <w:lang w:bidi="en-US"/>
        </w:rPr>
        <w:t xml:space="preserve">]. Oil saturated sand packs were first flooded with reservoir brine (pH = 6.4) until the effluent oil volume was less than one percent of each of the collected sample’s total volume. After brine/water flooding, one PV of PSS solution was introduced into each sand pack. The concentration of PSS was varied and was based on the amount of sand. After PSS injection, sand packs were flushed with one pore volume of brine before surfactant injection. Each fluid was injected at the rate of 0.3 ml/min. </w:t>
      </w:r>
    </w:p>
    <w:p w:rsidR="00C47C5C" w:rsidRDefault="00C47C5C" w:rsidP="00C47C5C">
      <w:pPr>
        <w:pStyle w:val="Heading2"/>
      </w:pPr>
      <w:bookmarkStart w:id="108" w:name="_Toc426374048"/>
      <w:r w:rsidRPr="00C47C5C">
        <w:t>Results and discussions</w:t>
      </w:r>
      <w:bookmarkEnd w:id="108"/>
    </w:p>
    <w:p w:rsidR="00C47C5C" w:rsidRDefault="00CF5567" w:rsidP="00C83028">
      <w:pPr>
        <w:pStyle w:val="Heading3"/>
      </w:pPr>
      <w:bookmarkStart w:id="109" w:name="_Toc426374049"/>
      <w:r>
        <w:t>Equilibrium A</w:t>
      </w:r>
      <w:r w:rsidR="00C83028" w:rsidRPr="00C83028">
        <w:t>d</w:t>
      </w:r>
      <w:r>
        <w:t>sorption of Surfactant without P</w:t>
      </w:r>
      <w:r w:rsidR="00C83028" w:rsidRPr="00C83028">
        <w:t>olyelectrolyte</w:t>
      </w:r>
      <w:bookmarkEnd w:id="109"/>
      <w:r w:rsidR="00C47C5C" w:rsidRPr="00C47C5C">
        <w:t xml:space="preserve"> </w:t>
      </w:r>
    </w:p>
    <w:p w:rsidR="00C47C5C" w:rsidRPr="00C47C5C" w:rsidRDefault="009064BD" w:rsidP="00C47C5C">
      <w:pPr>
        <w:jc w:val="both"/>
        <w:rPr>
          <w:lang w:bidi="en-US"/>
        </w:rPr>
      </w:pPr>
      <w:r>
        <w:rPr>
          <w:lang w:bidi="en-US"/>
        </w:rPr>
        <w:t>Figure 15</w:t>
      </w:r>
      <w:r w:rsidR="00C47C5C" w:rsidRPr="00C47C5C">
        <w:rPr>
          <w:lang w:bidi="en-US"/>
        </w:rPr>
        <w:t xml:space="preserve"> shows the result of equilibrium adsorption studies of surfactant without polyelectrolyte on both Brea sandstone and Ottawa sand. It can be observed that the surfactant adsorption on Brea sandstone is almost 5 times higher than that on Ottawa sand in reservoir brine (pH = 6.4). This behavior is attributed to the compositional contents of two different sands, which are illustrated in Table 1</w:t>
      </w:r>
      <w:r>
        <w:rPr>
          <w:lang w:bidi="en-US"/>
        </w:rPr>
        <w:t>4</w:t>
      </w:r>
      <w:r w:rsidR="00C47C5C" w:rsidRPr="00C47C5C">
        <w:rPr>
          <w:lang w:bidi="en-US"/>
        </w:rPr>
        <w:t>. As shown in Table 1</w:t>
      </w:r>
      <w:r>
        <w:rPr>
          <w:lang w:bidi="en-US"/>
        </w:rPr>
        <w:t>4</w:t>
      </w:r>
      <w:r w:rsidR="00C47C5C" w:rsidRPr="00C47C5C">
        <w:rPr>
          <w:lang w:bidi="en-US"/>
        </w:rPr>
        <w:t xml:space="preserve">, Brea </w:t>
      </w:r>
      <w:r w:rsidR="00C47C5C" w:rsidRPr="00C47C5C">
        <w:rPr>
          <w:lang w:bidi="en-US"/>
        </w:rPr>
        <w:lastRenderedPageBreak/>
        <w:t>sandstone contains about 93% of silica and 4% of alumina. In contrast, Ottawa sand is composed of 99.8% silica and trace amount of alumina. The net surface charge of mineral oxides strongly depends on solution pH; that is, at certain pH below the point of zero charge (pH</w:t>
      </w:r>
      <w:r w:rsidR="00C47C5C" w:rsidRPr="00C47C5C">
        <w:rPr>
          <w:vertAlign w:val="subscript"/>
          <w:lang w:bidi="en-US"/>
        </w:rPr>
        <w:t>pzc</w:t>
      </w:r>
      <w:r w:rsidR="00C47C5C" w:rsidRPr="00C47C5C">
        <w:rPr>
          <w:lang w:bidi="en-US"/>
        </w:rPr>
        <w:t>) of the mineral oxide, the net surface charge is positive and at pH above pH</w:t>
      </w:r>
      <w:r w:rsidR="00C47C5C" w:rsidRPr="00C47C5C">
        <w:rPr>
          <w:vertAlign w:val="subscript"/>
          <w:lang w:bidi="en-US"/>
        </w:rPr>
        <w:t>pzc</w:t>
      </w:r>
      <w:r w:rsidR="00C47C5C" w:rsidRPr="00C47C5C">
        <w:rPr>
          <w:lang w:bidi="en-US"/>
        </w:rPr>
        <w:t xml:space="preserve">, the net surface charge is negative </w:t>
      </w:r>
      <w:r w:rsidR="00C47C5C" w:rsidRPr="00C47C5C">
        <w:rPr>
          <w:lang w:bidi="en-US"/>
        </w:rPr>
        <w:fldChar w:fldCharType="begin"/>
      </w:r>
      <w:r w:rsidR="00332C11">
        <w:rPr>
          <w:lang w:bidi="en-US"/>
        </w:rPr>
        <w:instrText xml:space="preserve"> ADDIN EN.CITE &lt;EndNote&gt;&lt;Cite&gt;&lt;Author&gt;Kosmulski&lt;/Author&gt;&lt;Year&gt;2006&lt;/Year&gt;&lt;RecNum&gt;141&lt;/RecNum&gt;&lt;DisplayText&gt;&lt;style face="superscript"&gt;81&lt;/style&gt;&lt;/DisplayText&gt;&lt;record&gt;&lt;rec-number&gt;141&lt;/rec-number&gt;&lt;foreign-keys&gt;&lt;key app="EN" db-id="a5zz9zdsp2tzdiedrdov0ztx9zwzps0patvs" timestamp="1437286505"&gt;141&lt;/key&gt;&lt;/foreign-keys&gt;&lt;ref-type name="Journal Article"&gt;17&lt;/ref-type&gt;&lt;contributors&gt;&lt;authors&gt;&lt;author&gt;Kosmulski, Marek&lt;/author&gt;&lt;/authors&gt;&lt;/contributors&gt;&lt;titles&gt;&lt;title&gt;pH-dependent surface charging and points of zero charge: III. Update&lt;/title&gt;&lt;secondary-title&gt;Journal of Colloid and Interface Science&lt;/secondary-title&gt;&lt;/titles&gt;&lt;periodical&gt;&lt;full-title&gt;Journal of colloid and interface science&lt;/full-title&gt;&lt;/periodical&gt;&lt;pages&gt;730-741&lt;/pages&gt;&lt;volume&gt;298&lt;/volume&gt;&lt;number&gt;2&lt;/number&gt;&lt;dates&gt;&lt;year&gt;2006&lt;/year&gt;&lt;/dates&gt;&lt;isbn&gt;0021-9797&lt;/isbn&gt;&lt;urls&gt;&lt;/urls&gt;&lt;/record&gt;&lt;/Cite&gt;&lt;/EndNote&gt;</w:instrText>
      </w:r>
      <w:r w:rsidR="00C47C5C" w:rsidRPr="00C47C5C">
        <w:rPr>
          <w:lang w:bidi="en-US"/>
        </w:rPr>
        <w:fldChar w:fldCharType="separate"/>
      </w:r>
      <w:r w:rsidR="00332C11" w:rsidRPr="00332C11">
        <w:rPr>
          <w:noProof/>
          <w:vertAlign w:val="superscript"/>
          <w:lang w:bidi="en-US"/>
        </w:rPr>
        <w:t>81</w:t>
      </w:r>
      <w:r w:rsidR="00C47C5C" w:rsidRPr="00C47C5C">
        <w:rPr>
          <w:lang w:bidi="en-US"/>
        </w:rPr>
        <w:fldChar w:fldCharType="end"/>
      </w:r>
      <w:r w:rsidR="00C47C5C" w:rsidRPr="00C47C5C">
        <w:rPr>
          <w:lang w:bidi="en-US"/>
        </w:rPr>
        <w:t>. A typical pH</w:t>
      </w:r>
      <w:r w:rsidR="00C47C5C" w:rsidRPr="00C47C5C">
        <w:rPr>
          <w:vertAlign w:val="subscript"/>
          <w:lang w:bidi="en-US"/>
        </w:rPr>
        <w:t>pzc</w:t>
      </w:r>
      <w:r w:rsidR="00C47C5C" w:rsidRPr="00C47C5C">
        <w:rPr>
          <w:lang w:bidi="en-US"/>
        </w:rPr>
        <w:t xml:space="preserve"> of silica and alumina is around 3.7 </w:t>
      </w:r>
      <w:r w:rsidR="00C47C5C" w:rsidRPr="00C47C5C">
        <w:rPr>
          <w:lang w:bidi="en-US"/>
        </w:rPr>
        <w:fldChar w:fldCharType="begin"/>
      </w:r>
      <w:r w:rsidR="00332C11">
        <w:rPr>
          <w:lang w:bidi="en-US"/>
        </w:rPr>
        <w:instrText xml:space="preserve"> ADDIN EN.CITE &lt;EndNote&gt;&lt;Cite&gt;&lt;Author&gt;Parks&lt;/Author&gt;&lt;Year&gt;1967&lt;/Year&gt;&lt;RecNum&gt;142&lt;/RecNum&gt;&lt;DisplayText&gt;&lt;style face="superscript"&gt;82&lt;/style&gt;&lt;/DisplayText&gt;&lt;record&gt;&lt;rec-number&gt;142&lt;/rec-number&gt;&lt;foreign-keys&gt;&lt;key app="EN" db-id="a5zz9zdsp2tzdiedrdov0ztx9zwzps0patvs" timestamp="1437286824"&gt;142&lt;/key&gt;&lt;/foreign-keys&gt;&lt;ref-type name="Journal Article"&gt;17&lt;/ref-type&gt;&lt;contributors&gt;&lt;authors&gt;&lt;author&gt;Parks, GA&lt;/author&gt;&lt;/authors&gt;&lt;/contributors&gt;&lt;titles&gt;&lt;title&gt;Equilibrium concepts in natural water systems&lt;/title&gt;&lt;secondary-title&gt;Advances in chemistry series&lt;/secondary-title&gt;&lt;/titles&gt;&lt;periodical&gt;&lt;full-title&gt;Advances in chemistry series&lt;/full-title&gt;&lt;/periodical&gt;&lt;pages&gt;121&lt;/pages&gt;&lt;volume&gt;67&lt;/volume&gt;&lt;dates&gt;&lt;year&gt;1967&lt;/year&gt;&lt;/dates&gt;&lt;urls&gt;&lt;/urls&gt;&lt;/record&gt;&lt;/Cite&gt;&lt;/EndNote&gt;</w:instrText>
      </w:r>
      <w:r w:rsidR="00C47C5C" w:rsidRPr="00C47C5C">
        <w:rPr>
          <w:lang w:bidi="en-US"/>
        </w:rPr>
        <w:fldChar w:fldCharType="separate"/>
      </w:r>
      <w:r w:rsidR="00332C11" w:rsidRPr="00332C11">
        <w:rPr>
          <w:noProof/>
          <w:vertAlign w:val="superscript"/>
          <w:lang w:bidi="en-US"/>
        </w:rPr>
        <w:t>82</w:t>
      </w:r>
      <w:r w:rsidR="00C47C5C" w:rsidRPr="00C47C5C">
        <w:rPr>
          <w:lang w:bidi="en-US"/>
        </w:rPr>
        <w:fldChar w:fldCharType="end"/>
      </w:r>
      <w:r w:rsidR="00C47C5C" w:rsidRPr="00C47C5C">
        <w:rPr>
          <w:lang w:bidi="en-US"/>
        </w:rPr>
        <w:t xml:space="preserve"> and 9.1 </w:t>
      </w:r>
      <w:r w:rsidR="00C47C5C" w:rsidRPr="00C47C5C">
        <w:rPr>
          <w:lang w:bidi="en-US"/>
        </w:rPr>
        <w:fldChar w:fldCharType="begin"/>
      </w:r>
      <w:r w:rsidR="00332C11">
        <w:rPr>
          <w:lang w:bidi="en-US"/>
        </w:rPr>
        <w:instrText xml:space="preserve"> ADDIN EN.CITE &lt;EndNote&gt;&lt;Cite&gt;&lt;Author&gt;Parks&lt;/Author&gt;&lt;Year&gt;1965&lt;/Year&gt;&lt;RecNum&gt;143&lt;/RecNum&gt;&lt;DisplayText&gt;&lt;style face="superscript"&gt;83&lt;/style&gt;&lt;/DisplayText&gt;&lt;record&gt;&lt;rec-number&gt;143&lt;/rec-number&gt;&lt;foreign-keys&gt;&lt;key app="EN" db-id="a5zz9zdsp2tzdiedrdov0ztx9zwzps0patvs" timestamp="1437286965"&gt;143&lt;/key&gt;&lt;/foreign-keys&gt;&lt;ref-type name="Journal Article"&gt;17&lt;/ref-type&gt;&lt;contributors&gt;&lt;authors&gt;&lt;author&gt;Parks, George A&lt;/author&gt;&lt;/authors&gt;&lt;/contributors&gt;&lt;titles&gt;&lt;title&gt;The isoelectric points of solid oxides, solid hydroxides, and aqueous hydroxo complex systems&lt;/title&gt;&lt;secondary-title&gt;Chemical Reviews&lt;/secondary-title&gt;&lt;/titles&gt;&lt;periodical&gt;&lt;full-title&gt;Chemical Reviews&lt;/full-title&gt;&lt;/periodical&gt;&lt;pages&gt;177-198&lt;/pages&gt;&lt;volume&gt;65&lt;/volume&gt;&lt;number&gt;2&lt;/number&gt;&lt;dates&gt;&lt;year&gt;1965&lt;/year&gt;&lt;/dates&gt;&lt;isbn&gt;0009-2665&lt;/isbn&gt;&lt;urls&gt;&lt;/urls&gt;&lt;/record&gt;&lt;/Cite&gt;&lt;/EndNote&gt;</w:instrText>
      </w:r>
      <w:r w:rsidR="00C47C5C" w:rsidRPr="00C47C5C">
        <w:rPr>
          <w:lang w:bidi="en-US"/>
        </w:rPr>
        <w:fldChar w:fldCharType="separate"/>
      </w:r>
      <w:r w:rsidR="00332C11" w:rsidRPr="00332C11">
        <w:rPr>
          <w:noProof/>
          <w:vertAlign w:val="superscript"/>
          <w:lang w:bidi="en-US"/>
        </w:rPr>
        <w:t>83</w:t>
      </w:r>
      <w:r w:rsidR="00C47C5C" w:rsidRPr="00C47C5C">
        <w:rPr>
          <w:lang w:bidi="en-US"/>
        </w:rPr>
        <w:fldChar w:fldCharType="end"/>
      </w:r>
      <w:r w:rsidR="00C47C5C" w:rsidRPr="00C47C5C">
        <w:rPr>
          <w:lang w:bidi="en-US"/>
        </w:rPr>
        <w:t xml:space="preserve"> respectively. Therefore, Brea sandstone, which contains about 4% of alumina, shows increased surfactant adsorption due to electrostatic attraction drive</w:t>
      </w:r>
      <w:r w:rsidR="00DA4B96">
        <w:rPr>
          <w:lang w:bidi="en-US"/>
        </w:rPr>
        <w:t>n</w:t>
      </w:r>
      <w:r w:rsidR="00C47C5C" w:rsidRPr="00C47C5C">
        <w:rPr>
          <w:lang w:bidi="en-US"/>
        </w:rPr>
        <w:t xml:space="preserve"> surfactant adsorption on positively charge alumina surface compared to negligible </w:t>
      </w:r>
      <w:r w:rsidRPr="00C47C5C">
        <w:rPr>
          <w:noProof/>
        </w:rPr>
        <mc:AlternateContent>
          <mc:Choice Requires="wps">
            <w:drawing>
              <wp:anchor distT="0" distB="0" distL="114300" distR="114300" simplePos="0" relativeHeight="251705344" behindDoc="0" locked="0" layoutInCell="1" allowOverlap="1" wp14:anchorId="4AA5A1EC" wp14:editId="4F41BBC4">
                <wp:simplePos x="0" y="0"/>
                <wp:positionH relativeFrom="column">
                  <wp:posOffset>41910</wp:posOffset>
                </wp:positionH>
                <wp:positionV relativeFrom="paragraph">
                  <wp:posOffset>5610225</wp:posOffset>
                </wp:positionV>
                <wp:extent cx="5324475" cy="495300"/>
                <wp:effectExtent l="0" t="0" r="9525" b="0"/>
                <wp:wrapTopAndBottom/>
                <wp:docPr id="29" name="Text Box 29"/>
                <wp:cNvGraphicFramePr/>
                <a:graphic xmlns:a="http://schemas.openxmlformats.org/drawingml/2006/main">
                  <a:graphicData uri="http://schemas.microsoft.com/office/word/2010/wordprocessingShape">
                    <wps:wsp>
                      <wps:cNvSpPr txBox="1"/>
                      <wps:spPr>
                        <a:xfrm>
                          <a:off x="0" y="0"/>
                          <a:ext cx="5324475" cy="495300"/>
                        </a:xfrm>
                        <a:prstGeom prst="rect">
                          <a:avLst/>
                        </a:prstGeom>
                        <a:solidFill>
                          <a:prstClr val="white"/>
                        </a:solidFill>
                        <a:ln>
                          <a:noFill/>
                        </a:ln>
                        <a:effectLst/>
                      </wps:spPr>
                      <wps:txbx>
                        <w:txbxContent>
                          <w:p w:rsidR="005C410D" w:rsidRPr="009064BD" w:rsidRDefault="005C410D" w:rsidP="00C47C5C">
                            <w:pPr>
                              <w:pStyle w:val="Caption"/>
                              <w:rPr>
                                <w:rFonts w:ascii="Times New Roman" w:hAnsi="Times New Roman"/>
                                <w:b w:val="0"/>
                                <w:i/>
                                <w:iCs/>
                                <w:szCs w:val="22"/>
                              </w:rPr>
                            </w:pPr>
                            <w:bookmarkStart w:id="110" w:name="_Toc426967307"/>
                            <w:r w:rsidRPr="00DC7660">
                              <w:rPr>
                                <w:rFonts w:ascii="Times New Roman" w:hAnsi="Times New Roman"/>
                                <w:szCs w:val="22"/>
                              </w:rPr>
                              <w:t xml:space="preserve">Figure </w:t>
                            </w:r>
                            <w:r w:rsidRPr="00DC7660">
                              <w:rPr>
                                <w:rFonts w:ascii="Times New Roman" w:hAnsi="Times New Roman"/>
                                <w:b w:val="0"/>
                                <w:i/>
                                <w:iCs/>
                                <w:szCs w:val="22"/>
                              </w:rPr>
                              <w:fldChar w:fldCharType="begin"/>
                            </w:r>
                            <w:r w:rsidRPr="00DC7660">
                              <w:rPr>
                                <w:rFonts w:ascii="Times New Roman" w:hAnsi="Times New Roman"/>
                                <w:szCs w:val="22"/>
                              </w:rPr>
                              <w:instrText xml:space="preserve"> SEQ Figure \* ARABIC </w:instrText>
                            </w:r>
                            <w:r w:rsidRPr="00DC7660">
                              <w:rPr>
                                <w:rFonts w:ascii="Times New Roman" w:hAnsi="Times New Roman"/>
                                <w:b w:val="0"/>
                                <w:i/>
                                <w:iCs/>
                                <w:szCs w:val="22"/>
                              </w:rPr>
                              <w:fldChar w:fldCharType="separate"/>
                            </w:r>
                            <w:r w:rsidR="003F7947">
                              <w:rPr>
                                <w:rFonts w:ascii="Times New Roman" w:hAnsi="Times New Roman"/>
                                <w:noProof/>
                                <w:szCs w:val="22"/>
                              </w:rPr>
                              <w:t>15</w:t>
                            </w:r>
                            <w:r w:rsidRPr="00DC7660">
                              <w:rPr>
                                <w:rFonts w:ascii="Times New Roman" w:hAnsi="Times New Roman"/>
                                <w:b w:val="0"/>
                                <w:i/>
                                <w:iCs/>
                                <w:szCs w:val="22"/>
                              </w:rPr>
                              <w:fldChar w:fldCharType="end"/>
                            </w:r>
                            <w:r w:rsidRPr="00DC7660">
                              <w:rPr>
                                <w:rFonts w:ascii="Times New Roman" w:hAnsi="Times New Roman"/>
                                <w:szCs w:val="22"/>
                              </w:rPr>
                              <w:t xml:space="preserve">. </w:t>
                            </w:r>
                            <w:r>
                              <w:rPr>
                                <w:rFonts w:ascii="Times New Roman" w:hAnsi="Times New Roman"/>
                                <w:b w:val="0"/>
                                <w:szCs w:val="22"/>
                              </w:rPr>
                              <w:t>Equilibrium s</w:t>
                            </w:r>
                            <w:r w:rsidRPr="009064BD">
                              <w:rPr>
                                <w:rFonts w:ascii="Times New Roman" w:hAnsi="Times New Roman"/>
                                <w:b w:val="0"/>
                                <w:szCs w:val="22"/>
                              </w:rPr>
                              <w:t>urfactant adsorption without polyelectrolyte in two different salinity environment</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5A1EC" id="Text Box 29" o:spid="_x0000_s1039" type="#_x0000_t202" style="position:absolute;left:0;text-align:left;margin-left:3.3pt;margin-top:441.75pt;width:419.25pt;height:3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" stroked="f">
                <v:textbox inset="0,0,0,0">
                  <w:txbxContent>
                    <w:p w:rsidR="005C410D" w:rsidRPr="009064BD" w:rsidRDefault="005C410D" w:rsidP="00C47C5C">
                      <w:pPr>
                        <w:pStyle w:val="Caption"/>
                        <w:rPr>
                          <w:rFonts w:ascii="Times New Roman" w:hAnsi="Times New Roman"/>
                          <w:b w:val="0"/>
                          <w:i/>
                          <w:iCs/>
                          <w:szCs w:val="22"/>
                        </w:rPr>
                      </w:pPr>
                      <w:bookmarkStart w:id="125" w:name="_Toc426967307"/>
                      <w:r w:rsidRPr="00DC7660">
                        <w:rPr>
                          <w:rFonts w:ascii="Times New Roman" w:hAnsi="Times New Roman"/>
                          <w:szCs w:val="22"/>
                        </w:rPr>
                        <w:t xml:space="preserve">Figure </w:t>
                      </w:r>
                      <w:r w:rsidRPr="00DC7660">
                        <w:rPr>
                          <w:rFonts w:ascii="Times New Roman" w:hAnsi="Times New Roman"/>
                          <w:b w:val="0"/>
                          <w:i/>
                          <w:iCs/>
                          <w:szCs w:val="22"/>
                        </w:rPr>
                        <w:fldChar w:fldCharType="begin"/>
                      </w:r>
                      <w:r w:rsidRPr="00DC7660">
                        <w:rPr>
                          <w:rFonts w:ascii="Times New Roman" w:hAnsi="Times New Roman"/>
                          <w:szCs w:val="22"/>
                        </w:rPr>
                        <w:instrText xml:space="preserve"> SEQ Figure \* ARABIC </w:instrText>
                      </w:r>
                      <w:r w:rsidRPr="00DC7660">
                        <w:rPr>
                          <w:rFonts w:ascii="Times New Roman" w:hAnsi="Times New Roman"/>
                          <w:b w:val="0"/>
                          <w:i/>
                          <w:iCs/>
                          <w:szCs w:val="22"/>
                        </w:rPr>
                        <w:fldChar w:fldCharType="separate"/>
                      </w:r>
                      <w:r w:rsidR="003F7947">
                        <w:rPr>
                          <w:rFonts w:ascii="Times New Roman" w:hAnsi="Times New Roman"/>
                          <w:noProof/>
                          <w:szCs w:val="22"/>
                        </w:rPr>
                        <w:t>15</w:t>
                      </w:r>
                      <w:r w:rsidRPr="00DC7660">
                        <w:rPr>
                          <w:rFonts w:ascii="Times New Roman" w:hAnsi="Times New Roman"/>
                          <w:b w:val="0"/>
                          <w:i/>
                          <w:iCs/>
                          <w:szCs w:val="22"/>
                        </w:rPr>
                        <w:fldChar w:fldCharType="end"/>
                      </w:r>
                      <w:r w:rsidRPr="00DC7660">
                        <w:rPr>
                          <w:rFonts w:ascii="Times New Roman" w:hAnsi="Times New Roman"/>
                          <w:szCs w:val="22"/>
                        </w:rPr>
                        <w:t xml:space="preserve">. </w:t>
                      </w:r>
                      <w:r>
                        <w:rPr>
                          <w:rFonts w:ascii="Times New Roman" w:hAnsi="Times New Roman"/>
                          <w:b w:val="0"/>
                          <w:szCs w:val="22"/>
                        </w:rPr>
                        <w:t>Equilibrium s</w:t>
                      </w:r>
                      <w:r w:rsidRPr="009064BD">
                        <w:rPr>
                          <w:rFonts w:ascii="Times New Roman" w:hAnsi="Times New Roman"/>
                          <w:b w:val="0"/>
                          <w:szCs w:val="22"/>
                        </w:rPr>
                        <w:t>urfactant adsorption without polyelectrolyte in two different salinity environment</w:t>
                      </w:r>
                      <w:bookmarkEnd w:id="125"/>
                    </w:p>
                  </w:txbxContent>
                </v:textbox>
                <w10:wrap type="topAndBottom"/>
              </v:shape>
            </w:pict>
          </mc:Fallback>
        </mc:AlternateContent>
      </w:r>
      <w:r w:rsidRPr="00C47C5C">
        <w:rPr>
          <w:noProof/>
        </w:rPr>
        <w:drawing>
          <wp:anchor distT="0" distB="0" distL="114300" distR="114300" simplePos="0" relativeHeight="251704320" behindDoc="0" locked="0" layoutInCell="1" allowOverlap="1" wp14:anchorId="27CD30A9" wp14:editId="05D090CD">
            <wp:simplePos x="0" y="0"/>
            <wp:positionH relativeFrom="column">
              <wp:posOffset>438150</wp:posOffset>
            </wp:positionH>
            <wp:positionV relativeFrom="paragraph">
              <wp:posOffset>3285490</wp:posOffset>
            </wp:positionV>
            <wp:extent cx="4473576" cy="2259012"/>
            <wp:effectExtent l="0" t="0" r="3175" b="8255"/>
            <wp:wrapTopAndBottom/>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anchor>
        </w:drawing>
      </w:r>
      <w:r w:rsidR="00C47C5C" w:rsidRPr="00C47C5C">
        <w:rPr>
          <w:lang w:bidi="en-US"/>
        </w:rPr>
        <w:t xml:space="preserve">alumina-containing Ottawa sand.  </w:t>
      </w:r>
    </w:p>
    <w:p w:rsidR="00C47C5C" w:rsidRPr="00C47C5C" w:rsidRDefault="00DA4B96" w:rsidP="009064BD">
      <w:pPr>
        <w:jc w:val="both"/>
        <w:rPr>
          <w:lang w:bidi="en-US"/>
        </w:rPr>
      </w:pPr>
      <w:r>
        <w:rPr>
          <w:lang w:bidi="en-US"/>
        </w:rPr>
        <w:t>Figure 15</w:t>
      </w:r>
      <w:r w:rsidR="00C47C5C" w:rsidRPr="00C47C5C">
        <w:rPr>
          <w:lang w:bidi="en-US"/>
        </w:rPr>
        <w:t xml:space="preserve"> also shows that the surfactant adsorption on Brea Sandstone in reservoir brine is about three times more than that in 1% NaCl solution (pH = 7). In addition, extremely high surfactant adsorption of about 5 mg/g on Brea sandstone is observed in the reservoir brine. These observations can be explained due to the fact that the TDS of reservoir brine is extremely high. Increase in brine TDS/ electrolyte generally increases the adsorption of anionic surfactant </w:t>
      </w:r>
      <w:r w:rsidR="00C47C5C" w:rsidRPr="00C47C5C">
        <w:rPr>
          <w:lang w:bidi="en-US"/>
        </w:rPr>
        <w:fldChar w:fldCharType="begin"/>
      </w:r>
      <w:r w:rsidR="00332C11">
        <w:rPr>
          <w:lang w:bidi="en-US"/>
        </w:rPr>
        <w:instrText xml:space="preserve"> ADDIN EN.CITE &lt;EndNote&gt;&lt;Cite&gt;&lt;Author&gt;Rosen&lt;/Author&gt;&lt;Year&gt;2012&lt;/Year&gt;&lt;RecNum&gt;70&lt;/RecNum&gt;&lt;DisplayText&gt;&lt;style face="superscript"&gt;50, 80&lt;/style&gt;&lt;/DisplayText&gt;&lt;record&gt;&lt;rec-number&gt;70&lt;/rec-number&gt;&lt;foreign-keys&gt;&lt;key app="EN" db-id="a5zz9zdsp2tzdiedrdov0ztx9zwzps0patvs" timestamp="1425605660"&gt;70&lt;/key&gt;&lt;/foreign-keys&gt;&lt;ref-type name="Book"&gt;6&lt;/ref-type&gt;&lt;contributors&gt;&lt;authors&gt;&lt;author&gt;Rosen, Milton J&lt;/author&gt;&lt;author&gt;Kunjappu, Joy T&lt;/author&gt;&lt;/authors&gt;&lt;/contributors&gt;&lt;titles&gt;&lt;title&gt;Surfactants and interfacial phenomena&lt;/title&gt;&lt;/titles&gt;&lt;section&gt;48&lt;/section&gt;&lt;dates&gt;&lt;year&gt;2012&lt;/year&gt;&lt;/dates&gt;&lt;publisher&gt;John Wiley &amp;amp; Sons&lt;/publisher&gt;&lt;isbn&gt;0470541946&lt;/isbn&gt;&lt;urls&gt;&lt;/urls&gt;&lt;/record&gt;&lt;/Cite&gt;&lt;Cite&gt;&lt;Author&gt;Paria&lt;/Author&gt;&lt;Year&gt;2004&lt;/Year&gt;&lt;RecNum&gt;112&lt;/RecNum&gt;&lt;record&gt;&lt;rec-number&gt;112&lt;/rec-number&gt;&lt;foreign-keys&gt;&lt;key app="EN" db-id="a5zz9zdsp2tzdiedrdov0ztx9zwzps0patvs" timestamp="1436123707"&gt;112&lt;/key&gt;&lt;/foreign-keys&gt;&lt;ref-type name="Journal Article"&gt;17&lt;/ref-type&gt;&lt;contributors&gt;&lt;authors&gt;&lt;author&gt;Paria, Santanu&lt;/author&gt;&lt;author&gt;Khilar, Kartic C&lt;/author&gt;&lt;/authors&gt;&lt;/contributors&gt;&lt;titles&gt;&lt;title&gt;A review on experimental studies of surfactant adsorption at the hydrophilic solid–water interface&lt;/title&gt;&lt;secondary-title&gt;Advances in colloid and interface science&lt;/secondary-title&gt;&lt;/titles&gt;&lt;periodical&gt;&lt;full-title&gt;Advances in colloid and interface science&lt;/full-title&gt;&lt;/periodical&gt;&lt;pages&gt;75-95&lt;/pages&gt;&lt;volume&gt;110&lt;/volume&gt;&lt;number&gt;3&lt;/number&gt;&lt;dates&gt;&lt;year&gt;2004&lt;/year&gt;&lt;/dates&gt;&lt;isbn&gt;0001-8686&lt;/isbn&gt;&lt;urls&gt;&lt;/urls&gt;&lt;/record&gt;&lt;/Cite&gt;&lt;/EndNote&gt;</w:instrText>
      </w:r>
      <w:r w:rsidR="00C47C5C" w:rsidRPr="00C47C5C">
        <w:rPr>
          <w:lang w:bidi="en-US"/>
        </w:rPr>
        <w:fldChar w:fldCharType="separate"/>
      </w:r>
      <w:r w:rsidR="00332C11" w:rsidRPr="00332C11">
        <w:rPr>
          <w:noProof/>
          <w:vertAlign w:val="superscript"/>
          <w:lang w:bidi="en-US"/>
        </w:rPr>
        <w:t>50, 80</w:t>
      </w:r>
      <w:r w:rsidR="00C47C5C" w:rsidRPr="00C47C5C">
        <w:rPr>
          <w:lang w:bidi="en-US"/>
        </w:rPr>
        <w:fldChar w:fldCharType="end"/>
      </w:r>
      <w:r w:rsidR="00C47C5C" w:rsidRPr="00C47C5C">
        <w:rPr>
          <w:lang w:bidi="en-US"/>
        </w:rPr>
        <w:t>. This is mainly due to the adsorption of cations, especially Ca</w:t>
      </w:r>
      <w:r w:rsidR="00C47C5C" w:rsidRPr="00C47C5C">
        <w:rPr>
          <w:vertAlign w:val="superscript"/>
          <w:lang w:bidi="en-US"/>
        </w:rPr>
        <w:t>2+</w:t>
      </w:r>
      <w:r w:rsidR="00C47C5C" w:rsidRPr="00C47C5C">
        <w:rPr>
          <w:lang w:bidi="en-US"/>
        </w:rPr>
        <w:t xml:space="preserve"> </w:t>
      </w:r>
      <w:r w:rsidR="00C47C5C" w:rsidRPr="00C47C5C">
        <w:rPr>
          <w:lang w:bidi="en-US"/>
        </w:rPr>
        <w:lastRenderedPageBreak/>
        <w:t>and Mg</w:t>
      </w:r>
      <w:r w:rsidR="00C47C5C" w:rsidRPr="00C47C5C">
        <w:rPr>
          <w:vertAlign w:val="superscript"/>
          <w:lang w:bidi="en-US"/>
        </w:rPr>
        <w:t>2+</w:t>
      </w:r>
      <w:r w:rsidR="00C47C5C" w:rsidRPr="00C47C5C">
        <w:rPr>
          <w:lang w:bidi="en-US"/>
        </w:rPr>
        <w:t xml:space="preserve"> present in high TDS brine, onto the negatively charged sand surface, which results in more positively charged sites for anionic surfactant to adsorb. Similar behavior is also observed in the case of Ottawa sand even though the difference is not as prominent compared to Brea sandstone. </w:t>
      </w:r>
    </w:p>
    <w:bookmarkStart w:id="111" w:name="_Toc426374050"/>
    <w:p w:rsidR="009064BD" w:rsidRDefault="009064BD" w:rsidP="00BF7BCE">
      <w:pPr>
        <w:pStyle w:val="Heading3"/>
      </w:pPr>
      <w:r w:rsidRPr="00C47C5C">
        <w:rPr>
          <w:noProof/>
          <w:lang w:bidi="ar-SA"/>
        </w:rPr>
        <mc:AlternateContent>
          <mc:Choice Requires="wps">
            <w:drawing>
              <wp:anchor distT="0" distB="0" distL="114300" distR="114300" simplePos="0" relativeHeight="251707392" behindDoc="0" locked="0" layoutInCell="1" allowOverlap="1" wp14:anchorId="2D4FADF0" wp14:editId="64D0A322">
                <wp:simplePos x="0" y="0"/>
                <wp:positionH relativeFrom="column">
                  <wp:posOffset>-15240</wp:posOffset>
                </wp:positionH>
                <wp:positionV relativeFrom="paragraph">
                  <wp:posOffset>2988945</wp:posOffset>
                </wp:positionV>
                <wp:extent cx="5514975" cy="457200"/>
                <wp:effectExtent l="0" t="0" r="9525" b="0"/>
                <wp:wrapTopAndBottom/>
                <wp:docPr id="30" name="Text Box 30"/>
                <wp:cNvGraphicFramePr/>
                <a:graphic xmlns:a="http://schemas.openxmlformats.org/drawingml/2006/main">
                  <a:graphicData uri="http://schemas.microsoft.com/office/word/2010/wordprocessingShape">
                    <wps:wsp>
                      <wps:cNvSpPr txBox="1"/>
                      <wps:spPr>
                        <a:xfrm>
                          <a:off x="0" y="0"/>
                          <a:ext cx="5514975" cy="457200"/>
                        </a:xfrm>
                        <a:prstGeom prst="rect">
                          <a:avLst/>
                        </a:prstGeom>
                        <a:solidFill>
                          <a:prstClr val="white"/>
                        </a:solidFill>
                        <a:ln>
                          <a:noFill/>
                        </a:ln>
                        <a:effectLst/>
                      </wps:spPr>
                      <wps:txbx>
                        <w:txbxContent>
                          <w:p w:rsidR="005C410D" w:rsidRPr="009064BD" w:rsidRDefault="005C410D" w:rsidP="00C47C5C">
                            <w:pPr>
                              <w:pStyle w:val="Caption"/>
                              <w:rPr>
                                <w:rFonts w:ascii="Times New Roman" w:hAnsi="Times New Roman"/>
                                <w:b w:val="0"/>
                                <w:i/>
                                <w:iCs/>
                                <w:szCs w:val="22"/>
                              </w:rPr>
                            </w:pPr>
                            <w:bookmarkStart w:id="112" w:name="_Toc426967308"/>
                            <w:r w:rsidRPr="00DC7660">
                              <w:rPr>
                                <w:rFonts w:ascii="Times New Roman" w:hAnsi="Times New Roman"/>
                                <w:szCs w:val="22"/>
                              </w:rPr>
                              <w:t xml:space="preserve">Figure </w:t>
                            </w:r>
                            <w:r w:rsidRPr="00DC7660">
                              <w:rPr>
                                <w:rFonts w:ascii="Times New Roman" w:hAnsi="Times New Roman"/>
                                <w:b w:val="0"/>
                                <w:i/>
                                <w:iCs/>
                                <w:szCs w:val="22"/>
                              </w:rPr>
                              <w:fldChar w:fldCharType="begin"/>
                            </w:r>
                            <w:r w:rsidRPr="00DC7660">
                              <w:rPr>
                                <w:rFonts w:ascii="Times New Roman" w:hAnsi="Times New Roman"/>
                                <w:szCs w:val="22"/>
                              </w:rPr>
                              <w:instrText xml:space="preserve"> SEQ Figure \* ARABIC </w:instrText>
                            </w:r>
                            <w:r w:rsidRPr="00DC7660">
                              <w:rPr>
                                <w:rFonts w:ascii="Times New Roman" w:hAnsi="Times New Roman"/>
                                <w:b w:val="0"/>
                                <w:i/>
                                <w:iCs/>
                                <w:szCs w:val="22"/>
                              </w:rPr>
                              <w:fldChar w:fldCharType="separate"/>
                            </w:r>
                            <w:r w:rsidR="003F7947">
                              <w:rPr>
                                <w:rFonts w:ascii="Times New Roman" w:hAnsi="Times New Roman"/>
                                <w:noProof/>
                                <w:szCs w:val="22"/>
                              </w:rPr>
                              <w:t>16</w:t>
                            </w:r>
                            <w:r w:rsidRPr="00DC7660">
                              <w:rPr>
                                <w:rFonts w:ascii="Times New Roman" w:hAnsi="Times New Roman"/>
                                <w:b w:val="0"/>
                                <w:i/>
                                <w:iCs/>
                                <w:szCs w:val="22"/>
                              </w:rPr>
                              <w:fldChar w:fldCharType="end"/>
                            </w:r>
                            <w:r w:rsidRPr="00DC7660">
                              <w:rPr>
                                <w:rFonts w:ascii="Times New Roman" w:hAnsi="Times New Roman"/>
                                <w:szCs w:val="22"/>
                              </w:rPr>
                              <w:t xml:space="preserve">. </w:t>
                            </w:r>
                            <w:r w:rsidRPr="009064BD">
                              <w:rPr>
                                <w:rFonts w:ascii="Times New Roman" w:hAnsi="Times New Roman"/>
                                <w:b w:val="0"/>
                                <w:szCs w:val="22"/>
                              </w:rPr>
                              <w:t>Equilibrium PSS adsorption without surfactant on Brea Sandstone at reservoir brine</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FADF0" id="Text Box 30" o:spid="_x0000_s1040" type="#_x0000_t202" style="position:absolute;left:0;text-align:left;margin-left:-1.2pt;margin-top:235.35pt;width:434.25pt;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" stroked="f">
                <v:textbox inset="0,0,0,0">
                  <w:txbxContent>
                    <w:p w:rsidR="005C410D" w:rsidRPr="009064BD" w:rsidRDefault="005C410D" w:rsidP="00C47C5C">
                      <w:pPr>
                        <w:pStyle w:val="Caption"/>
                        <w:rPr>
                          <w:rFonts w:ascii="Times New Roman" w:hAnsi="Times New Roman"/>
                          <w:b w:val="0"/>
                          <w:i/>
                          <w:iCs/>
                          <w:szCs w:val="22"/>
                        </w:rPr>
                      </w:pPr>
                      <w:bookmarkStart w:id="128" w:name="_Toc426967308"/>
                      <w:r w:rsidRPr="00DC7660">
                        <w:rPr>
                          <w:rFonts w:ascii="Times New Roman" w:hAnsi="Times New Roman"/>
                          <w:szCs w:val="22"/>
                        </w:rPr>
                        <w:t xml:space="preserve">Figure </w:t>
                      </w:r>
                      <w:r w:rsidRPr="00DC7660">
                        <w:rPr>
                          <w:rFonts w:ascii="Times New Roman" w:hAnsi="Times New Roman"/>
                          <w:b w:val="0"/>
                          <w:i/>
                          <w:iCs/>
                          <w:szCs w:val="22"/>
                        </w:rPr>
                        <w:fldChar w:fldCharType="begin"/>
                      </w:r>
                      <w:r w:rsidRPr="00DC7660">
                        <w:rPr>
                          <w:rFonts w:ascii="Times New Roman" w:hAnsi="Times New Roman"/>
                          <w:szCs w:val="22"/>
                        </w:rPr>
                        <w:instrText xml:space="preserve"> SEQ Figure \* ARABIC </w:instrText>
                      </w:r>
                      <w:r w:rsidRPr="00DC7660">
                        <w:rPr>
                          <w:rFonts w:ascii="Times New Roman" w:hAnsi="Times New Roman"/>
                          <w:b w:val="0"/>
                          <w:i/>
                          <w:iCs/>
                          <w:szCs w:val="22"/>
                        </w:rPr>
                        <w:fldChar w:fldCharType="separate"/>
                      </w:r>
                      <w:r w:rsidR="003F7947">
                        <w:rPr>
                          <w:rFonts w:ascii="Times New Roman" w:hAnsi="Times New Roman"/>
                          <w:noProof/>
                          <w:szCs w:val="22"/>
                        </w:rPr>
                        <w:t>16</w:t>
                      </w:r>
                      <w:r w:rsidRPr="00DC7660">
                        <w:rPr>
                          <w:rFonts w:ascii="Times New Roman" w:hAnsi="Times New Roman"/>
                          <w:b w:val="0"/>
                          <w:i/>
                          <w:iCs/>
                          <w:szCs w:val="22"/>
                        </w:rPr>
                        <w:fldChar w:fldCharType="end"/>
                      </w:r>
                      <w:r w:rsidRPr="00DC7660">
                        <w:rPr>
                          <w:rFonts w:ascii="Times New Roman" w:hAnsi="Times New Roman"/>
                          <w:szCs w:val="22"/>
                        </w:rPr>
                        <w:t xml:space="preserve">. </w:t>
                      </w:r>
                      <w:r w:rsidRPr="009064BD">
                        <w:rPr>
                          <w:rFonts w:ascii="Times New Roman" w:hAnsi="Times New Roman"/>
                          <w:b w:val="0"/>
                          <w:szCs w:val="22"/>
                        </w:rPr>
                        <w:t>Equilibrium PSS adsorption without surfactant on Brea Sandstone at reservoir brine</w:t>
                      </w:r>
                      <w:bookmarkEnd w:id="128"/>
                    </w:p>
                  </w:txbxContent>
                </v:textbox>
                <w10:wrap type="topAndBottom"/>
              </v:shape>
            </w:pict>
          </mc:Fallback>
        </mc:AlternateContent>
      </w:r>
      <w:r w:rsidRPr="00C47C5C">
        <w:rPr>
          <w:noProof/>
          <w:lang w:bidi="ar-SA"/>
        </w:rPr>
        <w:drawing>
          <wp:anchor distT="0" distB="0" distL="114300" distR="114300" simplePos="0" relativeHeight="251706368" behindDoc="0" locked="0" layoutInCell="1" allowOverlap="1" wp14:anchorId="330F2C1D" wp14:editId="681C296D">
            <wp:simplePos x="0" y="0"/>
            <wp:positionH relativeFrom="column">
              <wp:posOffset>184785</wp:posOffset>
            </wp:positionH>
            <wp:positionV relativeFrom="paragraph">
              <wp:posOffset>360045</wp:posOffset>
            </wp:positionV>
            <wp:extent cx="5086350" cy="2667000"/>
            <wp:effectExtent l="0" t="0" r="0" b="0"/>
            <wp:wrapTopAndBottom/>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14:sizeRelH relativeFrom="margin">
              <wp14:pctWidth>0</wp14:pctWidth>
            </wp14:sizeRelH>
            <wp14:sizeRelV relativeFrom="margin">
              <wp14:pctHeight>0</wp14:pctHeight>
            </wp14:sizeRelV>
          </wp:anchor>
        </w:drawing>
      </w:r>
      <w:r w:rsidR="00CF5567">
        <w:t>Equilibrium Adsorption of P</w:t>
      </w:r>
      <w:r w:rsidR="00C47C5C" w:rsidRPr="00C47C5C">
        <w:t>oly</w:t>
      </w:r>
      <w:r w:rsidR="00CF5567">
        <w:t>electrolytes without S</w:t>
      </w:r>
      <w:r>
        <w:t>urfactant</w:t>
      </w:r>
      <w:bookmarkEnd w:id="111"/>
    </w:p>
    <w:p w:rsidR="00C47C5C" w:rsidRDefault="00C47C5C" w:rsidP="009064BD">
      <w:pPr>
        <w:jc w:val="both"/>
        <w:rPr>
          <w:lang w:bidi="en-US"/>
        </w:rPr>
      </w:pPr>
      <w:r w:rsidRPr="00C47C5C">
        <w:rPr>
          <w:lang w:bidi="en-US"/>
        </w:rPr>
        <w:t xml:space="preserve">Ability of a polyelectrolyte to reduce surfactant adsorption depends on its tendency to adsorb onto sand or metal oxides </w:t>
      </w:r>
      <w:r w:rsidRPr="00C47C5C">
        <w:rPr>
          <w:lang w:bidi="en-US"/>
        </w:rPr>
        <w:fldChar w:fldCharType="begin"/>
      </w:r>
      <w:r w:rsidR="00332C11">
        <w:rPr>
          <w:lang w:bidi="en-US"/>
        </w:rPr>
        <w:instrText xml:space="preserve"> ADDIN EN.CITE &lt;EndNote&gt;&lt;Cite&gt;&lt;Author&gt;ShamsiJazeyi&lt;/Author&gt;&lt;Year&gt;2014&lt;/Year&gt;&lt;RecNum&gt;106&lt;/RecNum&gt;&lt;DisplayText&gt;&lt;style face="superscript"&gt;21, 84&lt;/style&gt;&lt;/DisplayText&gt;&lt;record&gt;&lt;rec-number&gt;106&lt;/rec-number&gt;&lt;foreign-keys&gt;&lt;key app="EN" db-id="a5zz9zdsp2tzdiedrdov0ztx9zwzps0patvs" timestamp="1434378285"&gt;106&lt;/key&gt;&lt;/foreign-keys&gt;&lt;ref-type name="Journal Article"&gt;17&lt;/ref-type&gt;&lt;contributors&gt;&lt;authors&gt;&lt;author&gt;ShamsiJazeyi, Hadi&lt;/author&gt;&lt;author&gt;Verduzco, Rafael&lt;/author&gt;&lt;author&gt;Hirasaki, George J&lt;/author&gt;&lt;/authors&gt;&lt;/contributors&gt;&lt;titles&gt;&lt;title&gt;Reducing adsorption of anionic surfactant for enhanced oil recovery: Part I. Competitive adsorption mechanism&lt;/title&gt;&lt;secondary-title&gt;Colloids and Surfaces A: Physicochemical and Engineering Aspects&lt;/secondary-title&gt;&lt;/titles&gt;&lt;periodical&gt;&lt;full-title&gt;Colloids and Surfaces A: Physicochemical and Engineering Aspects&lt;/full-title&gt;&lt;/periodical&gt;&lt;pages&gt;162-167&lt;/pages&gt;&lt;volume&gt;453&lt;/volume&gt;&lt;dates&gt;&lt;year&gt;2014&lt;/year&gt;&lt;/dates&gt;&lt;isbn&gt;0927-7757&lt;/isbn&gt;&lt;urls&gt;&lt;/urls&gt;&lt;/record&gt;&lt;/Cite&gt;&lt;Cite&gt;&lt;Author&gt;Somasundaran&lt;/Author&gt;&lt;Year&gt;1997&lt;/Year&gt;&lt;RecNum&gt;113&lt;/RecNum&gt;&lt;record&gt;&lt;rec-number&gt;113&lt;/rec-number&gt;&lt;foreign-keys&gt;&lt;key app="EN" db-id="a5zz9zdsp2tzdiedrdov0ztx9zwzps0patvs" timestamp="1436125190"&gt;113&lt;/key&gt;&lt;/foreign-keys&gt;&lt;ref-type name="Journal Article"&gt;17&lt;/ref-type&gt;&lt;contributors&gt;&lt;authors&gt;&lt;author&gt;Somasundaran, P&lt;/author&gt;&lt;author&gt;Krishnakumar, S&lt;/author&gt;&lt;/authors&gt;&lt;/contributors&gt;&lt;titles&gt;&lt;title&gt;Adsorption of surfactants and polymers at the solid-liquid interface&lt;/title&gt;&lt;secondary-title&gt;Colloids and Surfaces A: physicochemical and engineering aspects&lt;/secondary-title&gt;&lt;/titles&gt;&lt;periodical&gt;&lt;full-title&gt;Colloids and Surfaces A: Physicochemical and Engineering Aspects&lt;/full-title&gt;&lt;/periodical&gt;&lt;pages&gt;491-513&lt;/pages&gt;&lt;volume&gt;123&lt;/volume&gt;&lt;dates&gt;&lt;year&gt;1997&lt;/year&gt;&lt;/dates&gt;&lt;isbn&gt;0927-7757&lt;/isbn&gt;&lt;urls&gt;&lt;/urls&gt;&lt;/record&gt;&lt;/Cite&gt;&lt;/EndNote&gt;</w:instrText>
      </w:r>
      <w:r w:rsidRPr="00C47C5C">
        <w:rPr>
          <w:lang w:bidi="en-US"/>
        </w:rPr>
        <w:fldChar w:fldCharType="separate"/>
      </w:r>
      <w:r w:rsidR="00332C11" w:rsidRPr="00332C11">
        <w:rPr>
          <w:noProof/>
          <w:vertAlign w:val="superscript"/>
          <w:lang w:bidi="en-US"/>
        </w:rPr>
        <w:t>21, 84</w:t>
      </w:r>
      <w:r w:rsidRPr="00C47C5C">
        <w:rPr>
          <w:lang w:bidi="en-US"/>
        </w:rPr>
        <w:fldChar w:fldCharType="end"/>
      </w:r>
      <w:r w:rsidRPr="00C47C5C">
        <w:rPr>
          <w:lang w:bidi="en-US"/>
        </w:rPr>
        <w:t>. To understand such phenomenon, the equilibrium adsorptions of four different MW PSSs are studied in reservoir brine (pH = 6.4) using Brea sandstone as an adsorbent. These r</w:t>
      </w:r>
      <w:r w:rsidR="00CC15C3">
        <w:rPr>
          <w:lang w:bidi="en-US"/>
        </w:rPr>
        <w:t>esults are presented in Figure 16</w:t>
      </w:r>
      <w:r w:rsidRPr="00C47C5C">
        <w:rPr>
          <w:lang w:bidi="en-US"/>
        </w:rPr>
        <w:t xml:space="preserve">. It has been reported that low MW polyelectrolytes adsorbs more on oppositely charged porous adsorbent than high MW polyelectrolyte </w:t>
      </w:r>
      <w:r w:rsidRPr="00C47C5C">
        <w:rPr>
          <w:lang w:bidi="en-US"/>
        </w:rPr>
        <w:fldChar w:fldCharType="begin"/>
      </w:r>
      <w:r w:rsidR="00332C11">
        <w:rPr>
          <w:lang w:bidi="en-US"/>
        </w:rPr>
        <w:instrText xml:space="preserve"> ADDIN EN.CITE &lt;EndNote&gt;&lt;Cite&gt;&lt;Author&gt;Somasundaran&lt;/Author&gt;&lt;Year&gt;1997&lt;/Year&gt;&lt;RecNum&gt;113&lt;/RecNum&gt;&lt;DisplayText&gt;&lt;style face="superscript"&gt;84&lt;/style&gt;&lt;/DisplayText&gt;&lt;record&gt;&lt;rec-number&gt;113&lt;/rec-number&gt;&lt;foreign-keys&gt;&lt;key app="EN" db-id="a5zz9zdsp2tzdiedrdov0ztx9zwzps0patvs" timestamp="1436125190"&gt;113&lt;/key&gt;&lt;/foreign-keys&gt;&lt;ref-type name="Journal Article"&gt;17&lt;/ref-type&gt;&lt;contributors&gt;&lt;authors&gt;&lt;author&gt;Somasundaran, P&lt;/author&gt;&lt;author&gt;Krishnakumar, S&lt;/author&gt;&lt;/authors&gt;&lt;/contributors&gt;&lt;titles&gt;&lt;title&gt;Adsorption of surfactants and polymers at the solid-liquid interface&lt;/title&gt;&lt;secondary-title&gt;Colloids and Surfaces A: physicochemical and engineering aspects&lt;/secondary-title&gt;&lt;/titles&gt;&lt;periodical&gt;&lt;full-title&gt;Colloids and Surfaces A: Physicochemical and Engineering Aspects&lt;/full-title&gt;&lt;/periodical&gt;&lt;pages&gt;491-513&lt;/pages&gt;&lt;volume&gt;123&lt;/volume&gt;&lt;dates&gt;&lt;year&gt;1997&lt;/year&gt;&lt;/dates&gt;&lt;isbn&gt;0927-7757&lt;/isbn&gt;&lt;urls&gt;&lt;/urls&gt;&lt;/record&gt;&lt;/Cite&gt;&lt;/EndNote&gt;</w:instrText>
      </w:r>
      <w:r w:rsidRPr="00C47C5C">
        <w:rPr>
          <w:lang w:bidi="en-US"/>
        </w:rPr>
        <w:fldChar w:fldCharType="separate"/>
      </w:r>
      <w:r w:rsidR="00332C11" w:rsidRPr="00332C11">
        <w:rPr>
          <w:noProof/>
          <w:vertAlign w:val="superscript"/>
          <w:lang w:bidi="en-US"/>
        </w:rPr>
        <w:t>84</w:t>
      </w:r>
      <w:r w:rsidRPr="00C47C5C">
        <w:rPr>
          <w:lang w:bidi="en-US"/>
        </w:rPr>
        <w:fldChar w:fldCharType="end"/>
      </w:r>
      <w:r w:rsidRPr="00C47C5C">
        <w:rPr>
          <w:lang w:bidi="en-US"/>
        </w:rPr>
        <w:t xml:space="preserve">. The reasoning is that smaller molecules can easily get access to the majority of adsorption sites that are located in pores, which might not be accessible to </w:t>
      </w:r>
      <w:r w:rsidR="00E418B9">
        <w:rPr>
          <w:lang w:bidi="en-US"/>
        </w:rPr>
        <w:t>larger</w:t>
      </w:r>
      <w:r w:rsidRPr="00C47C5C">
        <w:rPr>
          <w:lang w:bidi="en-US"/>
        </w:rPr>
        <w:t xml:space="preserve"> molecules. Similar reasoning can also be used to explain the observations made in our experiments where the adsorption of 20 KDa SSMA on porous Brea sandstone is about 1.95E-2 µmol/g sand and the adsorption decreases with the </w:t>
      </w:r>
      <w:r w:rsidRPr="00C47C5C">
        <w:rPr>
          <w:lang w:bidi="en-US"/>
        </w:rPr>
        <w:lastRenderedPageBreak/>
        <w:t>increasing PSS MW. In addition, higher MW PSS being densely charged may require larger oppositely charged surface area to adsorb than less densely charged low MW PSS. Since Brea sandstone is mostly composed of negatively charged silica (93%) and very few positively charged alumina sites (4%), it has very limited adsorption sites for PSS to adsorb compared to pure alumina. Therefore, low MW PSSs that require less charged surface area on sand to adsorb may have been favored for adsorption over larger surface area requiring high MW PSSs.</w:t>
      </w:r>
    </w:p>
    <w:p w:rsidR="00C83028" w:rsidRPr="00C47C5C" w:rsidRDefault="00CF5567" w:rsidP="00C83028">
      <w:pPr>
        <w:pStyle w:val="Heading3"/>
      </w:pPr>
      <w:bookmarkStart w:id="113" w:name="_Toc426374051"/>
      <w:r>
        <w:t>Equilibrium Adsorption of Surfactant with P</w:t>
      </w:r>
      <w:r w:rsidR="00C47C5C" w:rsidRPr="00C83028">
        <w:t>olyelectrolyte.</w:t>
      </w:r>
      <w:bookmarkEnd w:id="113"/>
    </w:p>
    <w:p w:rsidR="009064BD" w:rsidRDefault="003D5DA3" w:rsidP="009064BD">
      <w:pPr>
        <w:jc w:val="both"/>
        <w:rPr>
          <w:lang w:bidi="en-US"/>
        </w:rPr>
      </w:pPr>
      <w:r w:rsidRPr="002167E9">
        <w:rPr>
          <w:rFonts w:ascii="Times New Roman" w:hAnsi="Times New Roman"/>
          <w:noProof/>
        </w:rPr>
        <w:drawing>
          <wp:anchor distT="0" distB="0" distL="114300" distR="114300" simplePos="0" relativeHeight="251776000" behindDoc="0" locked="0" layoutInCell="1" allowOverlap="1" wp14:anchorId="1B6E3316" wp14:editId="6DAA8976">
            <wp:simplePos x="0" y="0"/>
            <wp:positionH relativeFrom="column">
              <wp:posOffset>3810</wp:posOffset>
            </wp:positionH>
            <wp:positionV relativeFrom="page">
              <wp:posOffset>5381625</wp:posOffset>
            </wp:positionV>
            <wp:extent cx="5257800" cy="2667000"/>
            <wp:effectExtent l="0" t="0" r="0" b="0"/>
            <wp:wrapTopAndBottom/>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14:sizeRelH relativeFrom="margin">
              <wp14:pctWidth>0</wp14:pctWidth>
            </wp14:sizeRelH>
            <wp14:sizeRelV relativeFrom="margin">
              <wp14:pctHeight>0</wp14:pctHeight>
            </wp14:sizeRelV>
          </wp:anchor>
        </w:drawing>
      </w:r>
      <w:r w:rsidR="009064BD" w:rsidRPr="00C47C5C">
        <w:rPr>
          <w:noProof/>
        </w:rPr>
        <mc:AlternateContent>
          <mc:Choice Requires="wps">
            <w:drawing>
              <wp:anchor distT="0" distB="0" distL="114300" distR="114300" simplePos="0" relativeHeight="251731968" behindDoc="0" locked="0" layoutInCell="1" allowOverlap="1" wp14:anchorId="42687618" wp14:editId="3C8744DF">
                <wp:simplePos x="0" y="0"/>
                <wp:positionH relativeFrom="column">
                  <wp:posOffset>3810</wp:posOffset>
                </wp:positionH>
                <wp:positionV relativeFrom="paragraph">
                  <wp:posOffset>4596765</wp:posOffset>
                </wp:positionV>
                <wp:extent cx="5334000" cy="400050"/>
                <wp:effectExtent l="0" t="0" r="0" b="0"/>
                <wp:wrapTopAndBottom/>
                <wp:docPr id="31" name="Text Box 31"/>
                <wp:cNvGraphicFramePr/>
                <a:graphic xmlns:a="http://schemas.openxmlformats.org/drawingml/2006/main">
                  <a:graphicData uri="http://schemas.microsoft.com/office/word/2010/wordprocessingShape">
                    <wps:wsp>
                      <wps:cNvSpPr txBox="1"/>
                      <wps:spPr>
                        <a:xfrm>
                          <a:off x="0" y="0"/>
                          <a:ext cx="5334000" cy="400050"/>
                        </a:xfrm>
                        <a:prstGeom prst="rect">
                          <a:avLst/>
                        </a:prstGeom>
                        <a:solidFill>
                          <a:prstClr val="white"/>
                        </a:solidFill>
                        <a:ln>
                          <a:noFill/>
                        </a:ln>
                        <a:effectLst/>
                      </wps:spPr>
                      <wps:txbx>
                        <w:txbxContent>
                          <w:p w:rsidR="005C410D" w:rsidRPr="009064BD" w:rsidRDefault="005C410D" w:rsidP="009064BD">
                            <w:pPr>
                              <w:pStyle w:val="Caption"/>
                              <w:rPr>
                                <w:rFonts w:ascii="Times New Roman" w:hAnsi="Times New Roman"/>
                                <w:b w:val="0"/>
                                <w:i/>
                                <w:iCs/>
                                <w:szCs w:val="22"/>
                              </w:rPr>
                            </w:pPr>
                            <w:bookmarkStart w:id="114" w:name="_Toc426967309"/>
                            <w:r w:rsidRPr="00912151">
                              <w:rPr>
                                <w:rFonts w:ascii="Times New Roman" w:hAnsi="Times New Roman"/>
                                <w:szCs w:val="22"/>
                              </w:rPr>
                              <w:t xml:space="preserve">Figure </w:t>
                            </w:r>
                            <w:r w:rsidRPr="00912151">
                              <w:rPr>
                                <w:rFonts w:ascii="Times New Roman" w:hAnsi="Times New Roman"/>
                                <w:b w:val="0"/>
                                <w:i/>
                                <w:iCs/>
                                <w:szCs w:val="22"/>
                              </w:rPr>
                              <w:fldChar w:fldCharType="begin"/>
                            </w:r>
                            <w:r w:rsidRPr="00912151">
                              <w:rPr>
                                <w:rFonts w:ascii="Times New Roman" w:hAnsi="Times New Roman"/>
                                <w:szCs w:val="22"/>
                              </w:rPr>
                              <w:instrText xml:space="preserve"> SEQ Figure \* ARABIC </w:instrText>
                            </w:r>
                            <w:r w:rsidRPr="00912151">
                              <w:rPr>
                                <w:rFonts w:ascii="Times New Roman" w:hAnsi="Times New Roman"/>
                                <w:b w:val="0"/>
                                <w:i/>
                                <w:iCs/>
                                <w:szCs w:val="22"/>
                              </w:rPr>
                              <w:fldChar w:fldCharType="separate"/>
                            </w:r>
                            <w:r w:rsidR="003F7947">
                              <w:rPr>
                                <w:rFonts w:ascii="Times New Roman" w:hAnsi="Times New Roman"/>
                                <w:noProof/>
                                <w:szCs w:val="22"/>
                              </w:rPr>
                              <w:t>17</w:t>
                            </w:r>
                            <w:r w:rsidRPr="00912151">
                              <w:rPr>
                                <w:rFonts w:ascii="Times New Roman" w:hAnsi="Times New Roman"/>
                                <w:b w:val="0"/>
                                <w:i/>
                                <w:iCs/>
                                <w:szCs w:val="22"/>
                              </w:rPr>
                              <w:fldChar w:fldCharType="end"/>
                            </w:r>
                            <w:r w:rsidRPr="00912151">
                              <w:rPr>
                                <w:rFonts w:ascii="Times New Roman" w:hAnsi="Times New Roman"/>
                                <w:szCs w:val="22"/>
                              </w:rPr>
                              <w:t xml:space="preserve">. </w:t>
                            </w:r>
                            <w:r w:rsidRPr="009064BD">
                              <w:rPr>
                                <w:rFonts w:ascii="Times New Roman" w:hAnsi="Times New Roman"/>
                                <w:b w:val="0"/>
                                <w:szCs w:val="22"/>
                              </w:rPr>
                              <w:t>Effect of polyelectrolyte on equilibrium adsorption of surfactant on Brea Sandstone at reservoir brine.</w:t>
                            </w:r>
                            <w:bookmarkEnd w:id="114"/>
                            <w:r w:rsidRPr="009064BD">
                              <w:rPr>
                                <w:rFonts w:ascii="Times New Roman" w:hAnsi="Times New Roman"/>
                                <w:b w:val="0"/>
                                <w:szCs w:val="22"/>
                              </w:rPr>
                              <w:t xml:space="preserve">  </w:t>
                            </w:r>
                          </w:p>
                          <w:p w:rsidR="005C410D" w:rsidRPr="00F22607" w:rsidRDefault="005C410D" w:rsidP="009064BD">
                            <w:pPr>
                              <w:pStyle w:val="Caption"/>
                              <w:rPr>
                                <w:rFonts w:ascii="Times New Roman" w:eastAsiaTheme="majorEastAsia" w:hAnsi="Times New Roman"/>
                                <w:b w:val="0"/>
                                <w:color w:val="000000" w:themeColor="text1"/>
                                <w:szCs w:val="2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87618" id="Text Box 31" o:spid="_x0000_s1041" type="#_x0000_t202" style="position:absolute;left:0;text-align:left;margin-left:.3pt;margin-top:361.95pt;width:420pt;height:31.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" stroked="f">
                <v:textbox inset="0,0,0,0">
                  <w:txbxContent>
                    <w:p w:rsidR="005C410D" w:rsidRPr="009064BD" w:rsidRDefault="005C410D" w:rsidP="009064BD">
                      <w:pPr>
                        <w:pStyle w:val="Caption"/>
                        <w:rPr>
                          <w:rFonts w:ascii="Times New Roman" w:hAnsi="Times New Roman"/>
                          <w:b w:val="0"/>
                          <w:i/>
                          <w:iCs/>
                          <w:szCs w:val="22"/>
                        </w:rPr>
                      </w:pPr>
                      <w:bookmarkStart w:id="131" w:name="_Toc426967309"/>
                      <w:r w:rsidRPr="00912151">
                        <w:rPr>
                          <w:rFonts w:ascii="Times New Roman" w:hAnsi="Times New Roman"/>
                          <w:szCs w:val="22"/>
                        </w:rPr>
                        <w:t xml:space="preserve">Figure </w:t>
                      </w:r>
                      <w:r w:rsidRPr="00912151">
                        <w:rPr>
                          <w:rFonts w:ascii="Times New Roman" w:hAnsi="Times New Roman"/>
                          <w:b w:val="0"/>
                          <w:i/>
                          <w:iCs/>
                          <w:szCs w:val="22"/>
                        </w:rPr>
                        <w:fldChar w:fldCharType="begin"/>
                      </w:r>
                      <w:r w:rsidRPr="00912151">
                        <w:rPr>
                          <w:rFonts w:ascii="Times New Roman" w:hAnsi="Times New Roman"/>
                          <w:szCs w:val="22"/>
                        </w:rPr>
                        <w:instrText xml:space="preserve"> SEQ Figure \* ARABIC </w:instrText>
                      </w:r>
                      <w:r w:rsidRPr="00912151">
                        <w:rPr>
                          <w:rFonts w:ascii="Times New Roman" w:hAnsi="Times New Roman"/>
                          <w:b w:val="0"/>
                          <w:i/>
                          <w:iCs/>
                          <w:szCs w:val="22"/>
                        </w:rPr>
                        <w:fldChar w:fldCharType="separate"/>
                      </w:r>
                      <w:r w:rsidR="003F7947">
                        <w:rPr>
                          <w:rFonts w:ascii="Times New Roman" w:hAnsi="Times New Roman"/>
                          <w:noProof/>
                          <w:szCs w:val="22"/>
                        </w:rPr>
                        <w:t>17</w:t>
                      </w:r>
                      <w:r w:rsidRPr="00912151">
                        <w:rPr>
                          <w:rFonts w:ascii="Times New Roman" w:hAnsi="Times New Roman"/>
                          <w:b w:val="0"/>
                          <w:i/>
                          <w:iCs/>
                          <w:szCs w:val="22"/>
                        </w:rPr>
                        <w:fldChar w:fldCharType="end"/>
                      </w:r>
                      <w:r w:rsidRPr="00912151">
                        <w:rPr>
                          <w:rFonts w:ascii="Times New Roman" w:hAnsi="Times New Roman"/>
                          <w:szCs w:val="22"/>
                        </w:rPr>
                        <w:t xml:space="preserve">. </w:t>
                      </w:r>
                      <w:r w:rsidRPr="009064BD">
                        <w:rPr>
                          <w:rFonts w:ascii="Times New Roman" w:hAnsi="Times New Roman"/>
                          <w:b w:val="0"/>
                          <w:szCs w:val="22"/>
                        </w:rPr>
                        <w:t>Effect of polyelectrolyte on equilibrium adsorption of surfactant on Brea Sandstone at reservoir brine.</w:t>
                      </w:r>
                      <w:bookmarkEnd w:id="131"/>
                      <w:r w:rsidRPr="009064BD">
                        <w:rPr>
                          <w:rFonts w:ascii="Times New Roman" w:hAnsi="Times New Roman"/>
                          <w:b w:val="0"/>
                          <w:szCs w:val="22"/>
                        </w:rPr>
                        <w:t xml:space="preserve">  </w:t>
                      </w:r>
                    </w:p>
                    <w:p w:rsidR="005C410D" w:rsidRPr="00F22607" w:rsidRDefault="005C410D" w:rsidP="009064BD">
                      <w:pPr>
                        <w:pStyle w:val="Caption"/>
                        <w:rPr>
                          <w:rFonts w:ascii="Times New Roman" w:eastAsiaTheme="majorEastAsia" w:hAnsi="Times New Roman"/>
                          <w:b w:val="0"/>
                          <w:color w:val="000000" w:themeColor="text1"/>
                          <w:szCs w:val="26"/>
                        </w:rPr>
                      </w:pPr>
                    </w:p>
                  </w:txbxContent>
                </v:textbox>
                <w10:wrap type="topAndBottom"/>
              </v:shape>
            </w:pict>
          </mc:Fallback>
        </mc:AlternateContent>
      </w:r>
      <w:r w:rsidR="00C47C5C" w:rsidRPr="00C47C5C">
        <w:rPr>
          <w:lang w:bidi="en-US"/>
        </w:rPr>
        <w:t xml:space="preserve">The effectiveness of PSSs in lowering surfactant adsorption is evaluated by conducting </w:t>
      </w:r>
      <w:r w:rsidR="00111882">
        <w:rPr>
          <w:lang w:bidi="en-US"/>
        </w:rPr>
        <w:t xml:space="preserve">separate </w:t>
      </w:r>
      <w:r w:rsidR="00C47C5C" w:rsidRPr="00C47C5C">
        <w:rPr>
          <w:lang w:bidi="en-US"/>
        </w:rPr>
        <w:t>equilib</w:t>
      </w:r>
      <w:r w:rsidR="00111882">
        <w:rPr>
          <w:lang w:bidi="en-US"/>
        </w:rPr>
        <w:t>rium surfactant adsorption study</w:t>
      </w:r>
      <w:r w:rsidR="00B64F23">
        <w:rPr>
          <w:lang w:bidi="en-US"/>
        </w:rPr>
        <w:t xml:space="preserve"> in the presence of </w:t>
      </w:r>
      <w:r w:rsidR="00E418B9">
        <w:rPr>
          <w:lang w:bidi="en-US"/>
        </w:rPr>
        <w:t xml:space="preserve">each </w:t>
      </w:r>
      <w:r w:rsidR="00111882">
        <w:rPr>
          <w:lang w:bidi="en-US"/>
        </w:rPr>
        <w:t>PSS</w:t>
      </w:r>
      <w:r w:rsidR="00C47C5C" w:rsidRPr="00C47C5C">
        <w:rPr>
          <w:lang w:bidi="en-US"/>
        </w:rPr>
        <w:t xml:space="preserve">. These experiments are carried out in reservoir brine using Brea sandstone as an adsorbent. In addition, both sequential and simultaneous surfactant/PSS addition techniques are employed. </w:t>
      </w:r>
    </w:p>
    <w:p w:rsidR="009064BD" w:rsidRDefault="009064BD" w:rsidP="009064BD">
      <w:pPr>
        <w:jc w:val="both"/>
        <w:rPr>
          <w:lang w:bidi="en-US"/>
        </w:rPr>
      </w:pPr>
    </w:p>
    <w:p w:rsidR="00C47C5C" w:rsidRPr="00C47C5C" w:rsidRDefault="00CC15C3" w:rsidP="009064BD">
      <w:pPr>
        <w:jc w:val="both"/>
        <w:rPr>
          <w:lang w:bidi="en-US"/>
        </w:rPr>
      </w:pPr>
      <w:r>
        <w:rPr>
          <w:lang w:bidi="en-US"/>
        </w:rPr>
        <w:lastRenderedPageBreak/>
        <w:t>Figure 17</w:t>
      </w:r>
      <w:r w:rsidR="00C47C5C" w:rsidRPr="00C47C5C">
        <w:rPr>
          <w:lang w:bidi="en-US"/>
        </w:rPr>
        <w:t xml:space="preserve"> shows the equilibrium surfactant adsorption data obtained by employing sequential surf</w:t>
      </w:r>
      <w:r w:rsidR="003D5DA3">
        <w:rPr>
          <w:lang w:bidi="en-US"/>
        </w:rPr>
        <w:t>actant/PSS addition technique.</w:t>
      </w:r>
      <w:r w:rsidR="003D5DA3" w:rsidRPr="00C47C5C">
        <w:rPr>
          <w:lang w:bidi="en-US"/>
        </w:rPr>
        <w:t xml:space="preserve"> It</w:t>
      </w:r>
      <w:r w:rsidR="00C47C5C" w:rsidRPr="00C47C5C">
        <w:rPr>
          <w:lang w:bidi="en-US"/>
        </w:rPr>
        <w:t xml:space="preserve"> is observed that adding 0.1% PSSs, regardless of their MW, reduces the surfactant adsorption from 5 mg/g sand to less than 2 mg/g sand. In spite of this, most noticeable observation can be made in the case of 20 KDa SSMA</w:t>
      </w:r>
      <w:r>
        <w:rPr>
          <w:lang w:bidi="en-US"/>
        </w:rPr>
        <w:t>. According to the Figure 16</w:t>
      </w:r>
      <w:r w:rsidR="00C47C5C" w:rsidRPr="00C47C5C">
        <w:rPr>
          <w:lang w:bidi="en-US"/>
        </w:rPr>
        <w:t xml:space="preserve">, 20 KDa SSMA show higher adsorption on adsorbent compared to other PSSs. Normally, higher adsorption of negatively charged polyelectrolyte on oppositely charged adsorbent results in less adsorption of anionic surfactant due to increased electrostatic repulsion </w:t>
      </w:r>
      <w:r w:rsidR="00C47C5C" w:rsidRPr="00C47C5C">
        <w:rPr>
          <w:lang w:bidi="en-US"/>
        </w:rPr>
        <w:fldChar w:fldCharType="begin"/>
      </w:r>
      <w:r w:rsidR="00332C11">
        <w:rPr>
          <w:lang w:bidi="en-US"/>
        </w:rPr>
        <w:instrText xml:space="preserve"> ADDIN EN.CITE &lt;EndNote&gt;&lt;Cite&gt;&lt;Author&gt;Somasundaran&lt;/Author&gt;&lt;Year&gt;1997&lt;/Year&gt;&lt;RecNum&gt;113&lt;/RecNum&gt;&lt;DisplayText&gt;&lt;style face="superscript"&gt;84&lt;/style&gt;&lt;/DisplayText&gt;&lt;record&gt;&lt;rec-number&gt;113&lt;/rec-number&gt;&lt;foreign-keys&gt;&lt;key app="EN" db-id="a5zz9zdsp2tzdiedrdov0ztx9zwzps0patvs" timestamp="1436125190"&gt;113&lt;/key&gt;&lt;/foreign-keys&gt;&lt;ref-type name="Journal Article"&gt;17&lt;/ref-type&gt;&lt;contributors&gt;&lt;authors&gt;&lt;author&gt;Somasundaran, P&lt;/author&gt;&lt;author&gt;Krishnakumar, S&lt;/author&gt;&lt;/authors&gt;&lt;/contributors&gt;&lt;titles&gt;&lt;title&gt;Adsorption of surfactants and polymers at the solid-liquid interface&lt;/title&gt;&lt;secondary-title&gt;Colloids and Surfaces A: physicochemical and engineering aspects&lt;/secondary-title&gt;&lt;/titles&gt;&lt;periodical&gt;&lt;full-title&gt;Colloids and Surfaces A: Physicochemical and Engineering Aspects&lt;/full-title&gt;&lt;/periodical&gt;&lt;pages&gt;491-513&lt;/pages&gt;&lt;volume&gt;123&lt;/volume&gt;&lt;dates&gt;&lt;year&gt;1997&lt;/year&gt;&lt;/dates&gt;&lt;isbn&gt;0927-7757&lt;/isbn&gt;&lt;urls&gt;&lt;/urls&gt;&lt;/record&gt;&lt;/Cite&gt;&lt;/EndNote&gt;</w:instrText>
      </w:r>
      <w:r w:rsidR="00C47C5C" w:rsidRPr="00C47C5C">
        <w:rPr>
          <w:lang w:bidi="en-US"/>
        </w:rPr>
        <w:fldChar w:fldCharType="separate"/>
      </w:r>
      <w:r w:rsidR="00332C11" w:rsidRPr="00332C11">
        <w:rPr>
          <w:noProof/>
          <w:vertAlign w:val="superscript"/>
          <w:lang w:bidi="en-US"/>
        </w:rPr>
        <w:t>84</w:t>
      </w:r>
      <w:r w:rsidR="00C47C5C" w:rsidRPr="00C47C5C">
        <w:rPr>
          <w:lang w:bidi="en-US"/>
        </w:rPr>
        <w:fldChar w:fldCharType="end"/>
      </w:r>
      <w:r w:rsidR="00C47C5C" w:rsidRPr="00C47C5C">
        <w:rPr>
          <w:lang w:bidi="en-US"/>
        </w:rPr>
        <w:t>. Ho</w:t>
      </w:r>
      <w:r>
        <w:rPr>
          <w:lang w:bidi="en-US"/>
        </w:rPr>
        <w:t>wever, results shown in Figure 17</w:t>
      </w:r>
      <w:r w:rsidR="00C47C5C" w:rsidRPr="00C47C5C">
        <w:rPr>
          <w:lang w:bidi="en-US"/>
        </w:rPr>
        <w:t xml:space="preserve"> do not correspond to such a theory as 20 KDa SSMA is found to be the least effective PSS compound in minimizing surfactant adsorption. Two possible explanations are proposed to explain this observation. First, the surface charge density of 20 KDa SSMA is much lower compared to high MW PSSs. This may have decreased the overall effectiveness </w:t>
      </w:r>
      <w:r w:rsidR="00C47C5C" w:rsidRPr="00C47C5C">
        <w:rPr>
          <w:lang w:bidi="en-US"/>
        </w:rPr>
        <w:fldChar w:fldCharType="begin"/>
      </w:r>
      <w:r w:rsidR="00332C11">
        <w:rPr>
          <w:lang w:bidi="en-US"/>
        </w:rPr>
        <w:instrText xml:space="preserve"> ADDIN EN.CITE &lt;EndNote&gt;&lt;Cite&gt;&lt;Author&gt;ShamsiJazeyi&lt;/Author&gt;&lt;Year&gt;2014&lt;/Year&gt;&lt;RecNum&gt;106&lt;/RecNum&gt;&lt;DisplayText&gt;&lt;style face="superscript"&gt;21&lt;/style&gt;&lt;/DisplayText&gt;&lt;record&gt;&lt;rec-number&gt;106&lt;/rec-number&gt;&lt;foreign-keys&gt;&lt;key app="EN" db-id="a5zz9zdsp2tzdiedrdov0ztx9zwzps0patvs" timestamp="1434378285"&gt;106&lt;/key&gt;&lt;/foreign-keys&gt;&lt;ref-type name="Journal Article"&gt;17&lt;/ref-type&gt;&lt;contributors&gt;&lt;authors&gt;&lt;author&gt;ShamsiJazeyi, Hadi&lt;/author&gt;&lt;author&gt;Verduzco, Rafael&lt;/author&gt;&lt;author&gt;Hirasaki, George J&lt;/author&gt;&lt;/authors&gt;&lt;/contributors&gt;&lt;titles&gt;&lt;title&gt;Reducing adsorption of anionic surfactant for enhanced oil recovery: Part I. Competitive adsorption mechanism&lt;/title&gt;&lt;secondary-title&gt;Colloids and Surfaces A: Physicochemical and Engineering Aspects&lt;/secondary-title&gt;&lt;/titles&gt;&lt;periodical&gt;&lt;full-title&gt;Colloids and Surfaces A: Physicochemical and Engineering Aspects&lt;/full-title&gt;&lt;/periodical&gt;&lt;pages&gt;162-167&lt;/pages&gt;&lt;volume&gt;453&lt;/volume&gt;&lt;dates&gt;&lt;year&gt;2014&lt;/year&gt;&lt;/dates&gt;&lt;isbn&gt;0927-7757&lt;/isbn&gt;&lt;urls&gt;&lt;/urls&gt;&lt;/record&gt;&lt;/Cite&gt;&lt;/EndNote&gt;</w:instrText>
      </w:r>
      <w:r w:rsidR="00C47C5C" w:rsidRPr="00C47C5C">
        <w:rPr>
          <w:lang w:bidi="en-US"/>
        </w:rPr>
        <w:fldChar w:fldCharType="separate"/>
      </w:r>
      <w:r w:rsidR="00332C11" w:rsidRPr="00332C11">
        <w:rPr>
          <w:noProof/>
          <w:vertAlign w:val="superscript"/>
          <w:lang w:bidi="en-US"/>
        </w:rPr>
        <w:t>21</w:t>
      </w:r>
      <w:r w:rsidR="00C47C5C" w:rsidRPr="00C47C5C">
        <w:rPr>
          <w:lang w:bidi="en-US"/>
        </w:rPr>
        <w:fldChar w:fldCharType="end"/>
      </w:r>
      <w:r w:rsidR="00C47C5C" w:rsidRPr="00C47C5C">
        <w:rPr>
          <w:lang w:bidi="en-US"/>
        </w:rPr>
        <w:t xml:space="preserve"> of 20 KDa SSMA. Second, 20 KDa SSMA is a copolymer that consists of styrene sulfonate (SS) and Maleic acid (MA) segements. MA is a strong acid (pKa = 1.91 and 6.33</w:t>
      </w:r>
      <w:r w:rsidR="00C47C5C" w:rsidRPr="00C47C5C">
        <w:rPr>
          <w:lang w:bidi="en-US"/>
        </w:rPr>
        <w:fldChar w:fldCharType="begin"/>
      </w:r>
      <w:r w:rsidR="00332C11">
        <w:rPr>
          <w:lang w:bidi="en-US"/>
        </w:rPr>
        <w:instrText xml:space="preserve"> ADDIN EN.CITE &lt;EndNote&gt;&lt;Cite&gt;&lt;Author&gt;Perrin&lt;/Author&gt;&lt;Year&gt;2013&lt;/Year&gt;&lt;RecNum&gt;145&lt;/RecNum&gt;&lt;DisplayText&gt;&lt;style face="superscript"&gt;85&lt;/style&gt;&lt;/DisplayText&gt;&lt;record&gt;&lt;rec-number&gt;145&lt;/rec-number&gt;&lt;foreign-keys&gt;&lt;key app="EN" db-id="a5zz9zdsp2tzdiedrdov0ztx9zwzps0patvs" timestamp="1437329810"&gt;145&lt;/key&gt;&lt;/foreign-keys&gt;&lt;ref-type name="Book"&gt;6&lt;/ref-type&gt;&lt;contributors&gt;&lt;authors&gt;&lt;author&gt;Perrin, D&lt;/author&gt;&lt;/authors&gt;&lt;/contributors&gt;&lt;titles&gt;&lt;title&gt;pKa Prediction for Organic Acids and Bases&lt;/title&gt;&lt;/titles&gt;&lt;section&gt;15&lt;/section&gt;&lt;dates&gt;&lt;year&gt;2013&lt;/year&gt;&lt;/dates&gt;&lt;publisher&gt;Springer Science &amp;amp; Business Media&lt;/publisher&gt;&lt;isbn&gt;9400958838&lt;/isbn&gt;&lt;urls&gt;&lt;/urls&gt;&lt;/record&gt;&lt;/Cite&gt;&lt;/EndNote&gt;</w:instrText>
      </w:r>
      <w:r w:rsidR="00C47C5C" w:rsidRPr="00C47C5C">
        <w:rPr>
          <w:lang w:bidi="en-US"/>
        </w:rPr>
        <w:fldChar w:fldCharType="separate"/>
      </w:r>
      <w:r w:rsidR="00332C11" w:rsidRPr="00332C11">
        <w:rPr>
          <w:noProof/>
          <w:vertAlign w:val="superscript"/>
          <w:lang w:bidi="en-US"/>
        </w:rPr>
        <w:t>85</w:t>
      </w:r>
      <w:r w:rsidR="00C47C5C" w:rsidRPr="00C47C5C">
        <w:rPr>
          <w:lang w:bidi="en-US"/>
        </w:rPr>
        <w:fldChar w:fldCharType="end"/>
      </w:r>
      <w:r w:rsidR="00C47C5C" w:rsidRPr="00C47C5C">
        <w:rPr>
          <w:lang w:bidi="en-US"/>
        </w:rPr>
        <w:t>) and if added to the solution might decrease the solution pH. To verify this, 2000 ppm of 20 KDa SSMA was added in Brine. The result showed that the brine pH dropped from 6.4 to 5.6. Adsorption of anionic surfactant on oppositely charged mineral oxide, alumina (pH</w:t>
      </w:r>
      <w:r w:rsidR="00C47C5C" w:rsidRPr="00C47C5C">
        <w:rPr>
          <w:vertAlign w:val="subscript"/>
          <w:lang w:bidi="en-US"/>
        </w:rPr>
        <w:t>pzc</w:t>
      </w:r>
      <w:r w:rsidR="00C47C5C" w:rsidRPr="00C47C5C">
        <w:rPr>
          <w:lang w:bidi="en-US"/>
        </w:rPr>
        <w:t xml:space="preserve"> = 9.1), increases with the decrease in pH </w:t>
      </w:r>
      <w:r w:rsidR="00C47C5C" w:rsidRPr="00C47C5C">
        <w:rPr>
          <w:lang w:bidi="en-US"/>
        </w:rPr>
        <w:fldChar w:fldCharType="begin"/>
      </w:r>
      <w:r w:rsidR="00332C11">
        <w:rPr>
          <w:lang w:bidi="en-US"/>
        </w:rPr>
        <w:instrText xml:space="preserve"> ADDIN EN.CITE &lt;EndNote&gt;&lt;Cite&gt;&lt;Author&gt;ShamsiJazeyi&lt;/Author&gt;&lt;Year&gt;2014&lt;/Year&gt;&lt;RecNum&gt;107&lt;/RecNum&gt;&lt;DisplayText&gt;&lt;style face="superscript"&gt;79-80&lt;/style&gt;&lt;/DisplayText&gt;&lt;record&gt;&lt;rec-number&gt;107&lt;/rec-number&gt;&lt;foreign-keys&gt;&lt;key app="EN" db-id="a5zz9zdsp2tzdiedrdov0ztx9zwzps0patvs" timestamp="1434378290"&gt;107&lt;/key&gt;&lt;/foreign-keys&gt;&lt;ref-type name="Journal Article"&gt;17&lt;/ref-type&gt;&lt;contributors&gt;&lt;authors&gt;&lt;author&gt;ShamsiJazeyi, Hadi&lt;/author&gt;&lt;author&gt;Verduzco, Rafael&lt;/author&gt;&lt;author&gt;Hirasaki, George J&lt;/author&gt;&lt;/authors&gt;&lt;/contributors&gt;&lt;titles&gt;&lt;title&gt;Reducing adsorption of anionic surfactant for enhanced oil recovery: Part II. Applied aspects&lt;/title&gt;&lt;secondary-title&gt;Colloids and Surfaces A: Physicochemical and Engineering Aspects&lt;/secondary-title&gt;&lt;/titles&gt;&lt;periodical&gt;&lt;full-title&gt;Colloids and Surfaces A: Physicochemical and Engineering Aspects&lt;/full-title&gt;&lt;/periodical&gt;&lt;pages&gt;168-175&lt;/pages&gt;&lt;volume&gt;453&lt;/volume&gt;&lt;dates&gt;&lt;year&gt;2014&lt;/year&gt;&lt;/dates&gt;&lt;isbn&gt;0927-7757&lt;/isbn&gt;&lt;urls&gt;&lt;/urls&gt;&lt;/record&gt;&lt;/Cite&gt;&lt;Cite&gt;&lt;Author&gt;Paria&lt;/Author&gt;&lt;Year&gt;2004&lt;/Year&gt;&lt;RecNum&gt;112&lt;/RecNum&gt;&lt;record&gt;&lt;rec-number&gt;112&lt;/rec-number&gt;&lt;foreign-keys&gt;&lt;key app="EN" db-id="a5zz9zdsp2tzdiedrdov0ztx9zwzps0patvs" timestamp="1436123707"&gt;112&lt;/key&gt;&lt;/foreign-keys&gt;&lt;ref-type name="Journal Article"&gt;17&lt;/ref-type&gt;&lt;contributors&gt;&lt;authors&gt;&lt;author&gt;Paria, Santanu&lt;/author&gt;&lt;author&gt;Khilar, Kartic C&lt;/author&gt;&lt;/authors&gt;&lt;/contributors&gt;&lt;titles&gt;&lt;title&gt;A review on experimental studies of surfactant adsorption at the hydrophilic solid–water interface&lt;/title&gt;&lt;secondary-title&gt;Advances in colloid and interface science&lt;/secondary-title&gt;&lt;/titles&gt;&lt;periodical&gt;&lt;full-title&gt;Advances in colloid and interface science&lt;/full-title&gt;&lt;/periodical&gt;&lt;pages&gt;75-95&lt;/pages&gt;&lt;volume&gt;110&lt;/volume&gt;&lt;number&gt;3&lt;/number&gt;&lt;dates&gt;&lt;year&gt;2004&lt;/year&gt;&lt;/dates&gt;&lt;isbn&gt;0001-8686&lt;/isbn&gt;&lt;urls&gt;&lt;/urls&gt;&lt;/record&gt;&lt;/Cite&gt;&lt;/EndNote&gt;</w:instrText>
      </w:r>
      <w:r w:rsidR="00C47C5C" w:rsidRPr="00C47C5C">
        <w:rPr>
          <w:lang w:bidi="en-US"/>
        </w:rPr>
        <w:fldChar w:fldCharType="separate"/>
      </w:r>
      <w:r w:rsidR="00332C11" w:rsidRPr="00332C11">
        <w:rPr>
          <w:noProof/>
          <w:vertAlign w:val="superscript"/>
          <w:lang w:bidi="en-US"/>
        </w:rPr>
        <w:t>79-80</w:t>
      </w:r>
      <w:r w:rsidR="00C47C5C" w:rsidRPr="00C47C5C">
        <w:rPr>
          <w:lang w:bidi="en-US"/>
        </w:rPr>
        <w:fldChar w:fldCharType="end"/>
      </w:r>
      <w:r w:rsidR="00C47C5C" w:rsidRPr="00C47C5C">
        <w:rPr>
          <w:lang w:bidi="en-US"/>
        </w:rPr>
        <w:t>. Therefore, the presence of solution pH lowering MA block of a copolymer may have lowered the overall effectiveness of 20 KDa SSMA by enhancing</w:t>
      </w:r>
      <w:r>
        <w:rPr>
          <w:lang w:bidi="en-US"/>
        </w:rPr>
        <w:t xml:space="preserve"> surfactant adsorption. Figure 17</w:t>
      </w:r>
      <w:r w:rsidR="00C47C5C" w:rsidRPr="00C47C5C">
        <w:rPr>
          <w:lang w:bidi="en-US"/>
        </w:rPr>
        <w:t xml:space="preserve"> also shows that in spite of low adsorption of 250 KDa PSS and 1 MDa PSS on Brea</w:t>
      </w:r>
      <w:r>
        <w:rPr>
          <w:lang w:bidi="en-US"/>
        </w:rPr>
        <w:t xml:space="preserve"> sandstone, as shown in Figure 16</w:t>
      </w:r>
      <w:r w:rsidR="00C47C5C" w:rsidRPr="00C47C5C">
        <w:rPr>
          <w:lang w:bidi="en-US"/>
        </w:rPr>
        <w:t xml:space="preserve">, these two polymers are as effective as 70 KDaPSS in </w:t>
      </w:r>
      <w:r w:rsidR="00C47C5C" w:rsidRPr="00C47C5C">
        <w:rPr>
          <w:lang w:bidi="en-US"/>
        </w:rPr>
        <w:lastRenderedPageBreak/>
        <w:t xml:space="preserve">decreasing surfactant adsorption. This behavior is attributed to the high surface charge density of </w:t>
      </w:r>
      <w:r w:rsidR="009064BD" w:rsidRPr="00C47C5C">
        <w:rPr>
          <w:noProof/>
        </w:rPr>
        <mc:AlternateContent>
          <mc:Choice Requires="wps">
            <w:drawing>
              <wp:anchor distT="0" distB="0" distL="114300" distR="114300" simplePos="0" relativeHeight="251734016" behindDoc="0" locked="0" layoutInCell="1" allowOverlap="1" wp14:anchorId="2C69E3CC" wp14:editId="7554D934">
                <wp:simplePos x="0" y="0"/>
                <wp:positionH relativeFrom="column">
                  <wp:posOffset>3810</wp:posOffset>
                </wp:positionH>
                <wp:positionV relativeFrom="paragraph">
                  <wp:posOffset>3819525</wp:posOffset>
                </wp:positionV>
                <wp:extent cx="5286375" cy="762000"/>
                <wp:effectExtent l="0" t="0" r="9525" b="0"/>
                <wp:wrapTopAndBottom/>
                <wp:docPr id="32" name="Text Box 32"/>
                <wp:cNvGraphicFramePr/>
                <a:graphic xmlns:a="http://schemas.openxmlformats.org/drawingml/2006/main">
                  <a:graphicData uri="http://schemas.microsoft.com/office/word/2010/wordprocessingShape">
                    <wps:wsp>
                      <wps:cNvSpPr txBox="1"/>
                      <wps:spPr>
                        <a:xfrm>
                          <a:off x="0" y="0"/>
                          <a:ext cx="5286375" cy="762000"/>
                        </a:xfrm>
                        <a:prstGeom prst="rect">
                          <a:avLst/>
                        </a:prstGeom>
                        <a:solidFill>
                          <a:prstClr val="white"/>
                        </a:solidFill>
                        <a:ln>
                          <a:noFill/>
                        </a:ln>
                        <a:effectLst/>
                      </wps:spPr>
                      <wps:txbx>
                        <w:txbxContent>
                          <w:p w:rsidR="005C410D" w:rsidRPr="009064BD" w:rsidRDefault="005C410D" w:rsidP="009064BD">
                            <w:pPr>
                              <w:pStyle w:val="Caption"/>
                              <w:rPr>
                                <w:rFonts w:ascii="Times New Roman" w:hAnsi="Times New Roman"/>
                                <w:b w:val="0"/>
                                <w:i/>
                                <w:iCs/>
                                <w:szCs w:val="22"/>
                              </w:rPr>
                            </w:pPr>
                            <w:bookmarkStart w:id="115" w:name="_Toc426967310"/>
                            <w:r w:rsidRPr="00F518DB">
                              <w:rPr>
                                <w:rFonts w:ascii="Times New Roman" w:hAnsi="Times New Roman"/>
                                <w:szCs w:val="22"/>
                              </w:rPr>
                              <w:t xml:space="preserve">Figure </w:t>
                            </w:r>
                            <w:r w:rsidRPr="00F518DB">
                              <w:rPr>
                                <w:rFonts w:ascii="Times New Roman" w:hAnsi="Times New Roman"/>
                                <w:b w:val="0"/>
                                <w:i/>
                                <w:iCs/>
                                <w:szCs w:val="22"/>
                              </w:rPr>
                              <w:fldChar w:fldCharType="begin"/>
                            </w:r>
                            <w:r w:rsidRPr="00F518DB">
                              <w:rPr>
                                <w:rFonts w:ascii="Times New Roman" w:hAnsi="Times New Roman"/>
                                <w:szCs w:val="22"/>
                              </w:rPr>
                              <w:instrText xml:space="preserve"> SEQ Figure \* ARABIC </w:instrText>
                            </w:r>
                            <w:r w:rsidRPr="00F518DB">
                              <w:rPr>
                                <w:rFonts w:ascii="Times New Roman" w:hAnsi="Times New Roman"/>
                                <w:b w:val="0"/>
                                <w:i/>
                                <w:iCs/>
                                <w:szCs w:val="22"/>
                              </w:rPr>
                              <w:fldChar w:fldCharType="separate"/>
                            </w:r>
                            <w:r w:rsidR="003F7947">
                              <w:rPr>
                                <w:rFonts w:ascii="Times New Roman" w:hAnsi="Times New Roman"/>
                                <w:noProof/>
                                <w:szCs w:val="22"/>
                              </w:rPr>
                              <w:t>18</w:t>
                            </w:r>
                            <w:r w:rsidRPr="00F518DB">
                              <w:rPr>
                                <w:rFonts w:ascii="Times New Roman" w:hAnsi="Times New Roman"/>
                                <w:b w:val="0"/>
                                <w:i/>
                                <w:iCs/>
                                <w:szCs w:val="22"/>
                              </w:rPr>
                              <w:fldChar w:fldCharType="end"/>
                            </w:r>
                            <w:r w:rsidRPr="00F518DB">
                              <w:rPr>
                                <w:rFonts w:ascii="Times New Roman" w:hAnsi="Times New Roman"/>
                                <w:szCs w:val="22"/>
                              </w:rPr>
                              <w:t xml:space="preserve">. </w:t>
                            </w:r>
                            <w:r w:rsidRPr="009064BD">
                              <w:rPr>
                                <w:rFonts w:ascii="Times New Roman" w:hAnsi="Times New Roman"/>
                                <w:b w:val="0"/>
                                <w:szCs w:val="22"/>
                              </w:rPr>
                              <w:t xml:space="preserve">Effect of surfactant/PSS addition techniques on equilibrium adsorption of surfactant on Brea Sandstone </w:t>
                            </w:r>
                            <w:r>
                              <w:rPr>
                                <w:rFonts w:ascii="Times New Roman" w:hAnsi="Times New Roman"/>
                                <w:b w:val="0"/>
                                <w:szCs w:val="22"/>
                              </w:rPr>
                              <w:t>in</w:t>
                            </w:r>
                            <w:r w:rsidRPr="009064BD">
                              <w:rPr>
                                <w:rFonts w:ascii="Times New Roman" w:hAnsi="Times New Roman"/>
                                <w:b w:val="0"/>
                                <w:szCs w:val="22"/>
                              </w:rPr>
                              <w:t xml:space="preserve"> reservoir brine. PSS concentration is 0.4 wt. % and is based on </w:t>
                            </w:r>
                            <w:r>
                              <w:rPr>
                                <w:rFonts w:ascii="Times New Roman" w:hAnsi="Times New Roman"/>
                                <w:b w:val="0"/>
                                <w:szCs w:val="22"/>
                              </w:rPr>
                              <w:t xml:space="preserve">the </w:t>
                            </w:r>
                            <w:r w:rsidRPr="009064BD">
                              <w:rPr>
                                <w:rFonts w:ascii="Times New Roman" w:hAnsi="Times New Roman"/>
                                <w:b w:val="0"/>
                                <w:szCs w:val="22"/>
                              </w:rPr>
                              <w:t>amount of sand</w:t>
                            </w:r>
                            <w:r>
                              <w:rPr>
                                <w:rFonts w:ascii="Times New Roman" w:hAnsi="Times New Roman"/>
                                <w:b w:val="0"/>
                                <w:szCs w:val="22"/>
                              </w:rPr>
                              <w:t>.</w:t>
                            </w:r>
                            <w:bookmarkEnd w:id="115"/>
                          </w:p>
                          <w:p w:rsidR="005C410D" w:rsidRPr="00F518DB" w:rsidRDefault="005C410D" w:rsidP="009064BD">
                            <w:pPr>
                              <w:pStyle w:val="Caption"/>
                              <w:rPr>
                                <w:rFonts w:ascii="Times New Roman" w:hAnsi="Times New Roman"/>
                                <w:i/>
                                <w:iCs/>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9E3CC" id="Text Box 32" o:spid="_x0000_s1042" type="#_x0000_t202" style="position:absolute;left:0;text-align:left;margin-left:.3pt;margin-top:300.75pt;width:416.25pt;height:60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" stroked="f">
                <v:textbox inset="0,0,0,0">
                  <w:txbxContent>
                    <w:p w:rsidR="005C410D" w:rsidRPr="009064BD" w:rsidRDefault="005C410D" w:rsidP="009064BD">
                      <w:pPr>
                        <w:pStyle w:val="Caption"/>
                        <w:rPr>
                          <w:rFonts w:ascii="Times New Roman" w:hAnsi="Times New Roman"/>
                          <w:b w:val="0"/>
                          <w:i/>
                          <w:iCs/>
                          <w:szCs w:val="22"/>
                        </w:rPr>
                      </w:pPr>
                      <w:bookmarkStart w:id="133" w:name="_Toc426967310"/>
                      <w:r w:rsidRPr="00F518DB">
                        <w:rPr>
                          <w:rFonts w:ascii="Times New Roman" w:hAnsi="Times New Roman"/>
                          <w:szCs w:val="22"/>
                        </w:rPr>
                        <w:t xml:space="preserve">Figure </w:t>
                      </w:r>
                      <w:r w:rsidRPr="00F518DB">
                        <w:rPr>
                          <w:rFonts w:ascii="Times New Roman" w:hAnsi="Times New Roman"/>
                          <w:b w:val="0"/>
                          <w:i/>
                          <w:iCs/>
                          <w:szCs w:val="22"/>
                        </w:rPr>
                        <w:fldChar w:fldCharType="begin"/>
                      </w:r>
                      <w:r w:rsidRPr="00F518DB">
                        <w:rPr>
                          <w:rFonts w:ascii="Times New Roman" w:hAnsi="Times New Roman"/>
                          <w:szCs w:val="22"/>
                        </w:rPr>
                        <w:instrText xml:space="preserve"> SEQ Figure \* ARABIC </w:instrText>
                      </w:r>
                      <w:r w:rsidRPr="00F518DB">
                        <w:rPr>
                          <w:rFonts w:ascii="Times New Roman" w:hAnsi="Times New Roman"/>
                          <w:b w:val="0"/>
                          <w:i/>
                          <w:iCs/>
                          <w:szCs w:val="22"/>
                        </w:rPr>
                        <w:fldChar w:fldCharType="separate"/>
                      </w:r>
                      <w:r w:rsidR="003F7947">
                        <w:rPr>
                          <w:rFonts w:ascii="Times New Roman" w:hAnsi="Times New Roman"/>
                          <w:noProof/>
                          <w:szCs w:val="22"/>
                        </w:rPr>
                        <w:t>18</w:t>
                      </w:r>
                      <w:r w:rsidRPr="00F518DB">
                        <w:rPr>
                          <w:rFonts w:ascii="Times New Roman" w:hAnsi="Times New Roman"/>
                          <w:b w:val="0"/>
                          <w:i/>
                          <w:iCs/>
                          <w:szCs w:val="22"/>
                        </w:rPr>
                        <w:fldChar w:fldCharType="end"/>
                      </w:r>
                      <w:r w:rsidRPr="00F518DB">
                        <w:rPr>
                          <w:rFonts w:ascii="Times New Roman" w:hAnsi="Times New Roman"/>
                          <w:szCs w:val="22"/>
                        </w:rPr>
                        <w:t xml:space="preserve">. </w:t>
                      </w:r>
                      <w:r w:rsidRPr="009064BD">
                        <w:rPr>
                          <w:rFonts w:ascii="Times New Roman" w:hAnsi="Times New Roman"/>
                          <w:b w:val="0"/>
                          <w:szCs w:val="22"/>
                        </w:rPr>
                        <w:t xml:space="preserve">Effect of surfactant/PSS addition techniques on equilibrium adsorption of surfactant on Brea Sandstone </w:t>
                      </w:r>
                      <w:r>
                        <w:rPr>
                          <w:rFonts w:ascii="Times New Roman" w:hAnsi="Times New Roman"/>
                          <w:b w:val="0"/>
                          <w:szCs w:val="22"/>
                        </w:rPr>
                        <w:t>in</w:t>
                      </w:r>
                      <w:r w:rsidRPr="009064BD">
                        <w:rPr>
                          <w:rFonts w:ascii="Times New Roman" w:hAnsi="Times New Roman"/>
                          <w:b w:val="0"/>
                          <w:szCs w:val="22"/>
                        </w:rPr>
                        <w:t xml:space="preserve"> reservoir brine. PSS concentration is 0.4 wt. % and is based on </w:t>
                      </w:r>
                      <w:r>
                        <w:rPr>
                          <w:rFonts w:ascii="Times New Roman" w:hAnsi="Times New Roman"/>
                          <w:b w:val="0"/>
                          <w:szCs w:val="22"/>
                        </w:rPr>
                        <w:t xml:space="preserve">the </w:t>
                      </w:r>
                      <w:r w:rsidRPr="009064BD">
                        <w:rPr>
                          <w:rFonts w:ascii="Times New Roman" w:hAnsi="Times New Roman"/>
                          <w:b w:val="0"/>
                          <w:szCs w:val="22"/>
                        </w:rPr>
                        <w:t>amount of sand</w:t>
                      </w:r>
                      <w:r>
                        <w:rPr>
                          <w:rFonts w:ascii="Times New Roman" w:hAnsi="Times New Roman"/>
                          <w:b w:val="0"/>
                          <w:szCs w:val="22"/>
                        </w:rPr>
                        <w:t>.</w:t>
                      </w:r>
                      <w:bookmarkEnd w:id="133"/>
                    </w:p>
                    <w:p w:rsidR="005C410D" w:rsidRPr="00F518DB" w:rsidRDefault="005C410D" w:rsidP="009064BD">
                      <w:pPr>
                        <w:pStyle w:val="Caption"/>
                        <w:rPr>
                          <w:rFonts w:ascii="Times New Roman" w:hAnsi="Times New Roman"/>
                          <w:i/>
                          <w:iCs/>
                          <w:szCs w:val="22"/>
                        </w:rPr>
                      </w:pPr>
                    </w:p>
                  </w:txbxContent>
                </v:textbox>
                <w10:wrap type="topAndBottom"/>
              </v:shape>
            </w:pict>
          </mc:Fallback>
        </mc:AlternateContent>
      </w:r>
      <w:r w:rsidR="009064BD" w:rsidRPr="00C47C5C">
        <w:rPr>
          <w:noProof/>
        </w:rPr>
        <w:drawing>
          <wp:anchor distT="0" distB="0" distL="114300" distR="114300" simplePos="0" relativeHeight="251708416" behindDoc="0" locked="0" layoutInCell="1" allowOverlap="1" wp14:anchorId="531DA6C3" wp14:editId="33935EE2">
            <wp:simplePos x="0" y="0"/>
            <wp:positionH relativeFrom="column">
              <wp:posOffset>270510</wp:posOffset>
            </wp:positionH>
            <wp:positionV relativeFrom="paragraph">
              <wp:posOffset>751840</wp:posOffset>
            </wp:positionV>
            <wp:extent cx="4638675" cy="2981325"/>
            <wp:effectExtent l="0" t="0" r="9525" b="9525"/>
            <wp:wrapTopAndBottom/>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14:sizeRelH relativeFrom="margin">
              <wp14:pctWidth>0</wp14:pctWidth>
            </wp14:sizeRelH>
            <wp14:sizeRelV relativeFrom="margin">
              <wp14:pctHeight>0</wp14:pctHeight>
            </wp14:sizeRelV>
          </wp:anchor>
        </w:drawing>
      </w:r>
      <w:r w:rsidR="00C47C5C" w:rsidRPr="00C47C5C">
        <w:rPr>
          <w:lang w:bidi="en-US"/>
        </w:rPr>
        <w:t xml:space="preserve">high MW polyelectrolytes. </w:t>
      </w:r>
    </w:p>
    <w:p w:rsidR="00C47C5C" w:rsidRDefault="00C47C5C" w:rsidP="009064BD">
      <w:pPr>
        <w:jc w:val="both"/>
        <w:rPr>
          <w:lang w:bidi="en-US"/>
        </w:rPr>
      </w:pPr>
      <w:r w:rsidRPr="00C47C5C">
        <w:rPr>
          <w:lang w:bidi="en-US"/>
        </w:rPr>
        <w:t>The effects of surfactant/PSS addition techniques, sequential and simultaneous, on equilibrium adsorption of surfa</w:t>
      </w:r>
      <w:r w:rsidR="00CC15C3">
        <w:rPr>
          <w:lang w:bidi="en-US"/>
        </w:rPr>
        <w:t>ctant are shown in Figure 18</w:t>
      </w:r>
      <w:r w:rsidRPr="00C47C5C">
        <w:rPr>
          <w:lang w:bidi="en-US"/>
        </w:rPr>
        <w:t xml:space="preserve">. The results used for comparison are obtained at 0.4 wt % of PSSs. It is observed that the surfactant adsorption in the presence of each MW PSS is higher in the cases of simultaneous addition compared to sequential addition. This observation may be explained due to the fact that during sequential addition, polymers do not have to compete with surfactant to adsorb on solid surfaces. A similar phenomenon is also reported in the literature </w:t>
      </w:r>
      <w:r w:rsidRPr="00C47C5C">
        <w:rPr>
          <w:lang w:bidi="en-US"/>
        </w:rPr>
        <w:fldChar w:fldCharType="begin"/>
      </w:r>
      <w:r w:rsidR="00332C11">
        <w:rPr>
          <w:lang w:bidi="en-US"/>
        </w:rPr>
        <w:instrText xml:space="preserve"> ADDIN EN.CITE &lt;EndNote&gt;&lt;Cite&gt;&lt;Author&gt;Weston&lt;/Author&gt;&lt;Year&gt;2014&lt;/Year&gt;&lt;RecNum&gt;104&lt;/RecNum&gt;&lt;DisplayText&gt;&lt;style face="superscript"&gt;27&lt;/style&gt;&lt;/DisplayText&gt;&lt;record&gt;&lt;rec-number&gt;104&lt;/rec-number&gt;&lt;foreign-keys&gt;&lt;key app="EN" db-id="a5zz9zdsp2tzdiedrdov0ztx9zwzps0patvs" timestamp="1434377442"&gt;104&lt;/key&gt;&lt;/foreign-keys&gt;&lt;ref-type name="Journal Article"&gt;17&lt;/ref-type&gt;&lt;contributors&gt;&lt;authors&gt;&lt;author&gt;Weston, Javen S&lt;/author&gt;&lt;author&gt;Harwell, Jeffrey H&lt;/author&gt;&lt;author&gt;Shiau, Benjamin J&lt;/author&gt;&lt;author&gt;Kabir, Mahfuz&lt;/author&gt;&lt;/authors&gt;&lt;/contributors&gt;&lt;titles&gt;&lt;title&gt;Disrupting admicelle formation and preventing surfactant adsorption on metal oxide surfaces using sacrificial polyelectrolytes&lt;/title&gt;&lt;secondary-title&gt;Langmuir&lt;/secondary-title&gt;&lt;/titles&gt;&lt;periodical&gt;&lt;full-title&gt;Langmuir&lt;/full-title&gt;&lt;/periodical&gt;&lt;pages&gt;6384-6388&lt;/pages&gt;&lt;volume&gt;30&lt;/volume&gt;&lt;number&gt;22&lt;/number&gt;&lt;dates&gt;&lt;year&gt;2014&lt;/year&gt;&lt;/dates&gt;&lt;isbn&gt;0743-7463&lt;/isbn&gt;&lt;urls&gt;&lt;/urls&gt;&lt;/record&gt;&lt;/Cite&gt;&lt;/EndNote&gt;</w:instrText>
      </w:r>
      <w:r w:rsidRPr="00C47C5C">
        <w:rPr>
          <w:lang w:bidi="en-US"/>
        </w:rPr>
        <w:fldChar w:fldCharType="separate"/>
      </w:r>
      <w:r w:rsidR="00332C11" w:rsidRPr="00332C11">
        <w:rPr>
          <w:noProof/>
          <w:vertAlign w:val="superscript"/>
          <w:lang w:bidi="en-US"/>
        </w:rPr>
        <w:t>27</w:t>
      </w:r>
      <w:r w:rsidRPr="00C47C5C">
        <w:rPr>
          <w:lang w:bidi="en-US"/>
        </w:rPr>
        <w:fldChar w:fldCharType="end"/>
      </w:r>
      <w:r w:rsidR="00CC15C3">
        <w:rPr>
          <w:lang w:bidi="en-US"/>
        </w:rPr>
        <w:t xml:space="preserve"> . Figure 18</w:t>
      </w:r>
      <w:r w:rsidRPr="00C47C5C">
        <w:rPr>
          <w:lang w:bidi="en-US"/>
        </w:rPr>
        <w:t xml:space="preserve"> also shows that during simultaneous addition, 20 KDa SSMA and 1 MDa are found to be least effective in lowering surfactant adsorption. Such behavior of 20 KDa SSMA can be interpreted using similar explanations that are proposed for the observations made in </w:t>
      </w:r>
      <w:r w:rsidRPr="00C47C5C">
        <w:rPr>
          <w:lang w:bidi="en-US"/>
        </w:rPr>
        <w:lastRenderedPageBreak/>
        <w:t>sequential addition. However, 1 MDa PSS has high surface charge density, doesn’t contain MA, and is still less effective during simultaneous addition. This behavior may be the result of enormous dif</w:t>
      </w:r>
      <w:r w:rsidR="00DA4B96">
        <w:rPr>
          <w:lang w:bidi="en-US"/>
        </w:rPr>
        <w:t>ference between the molecular weights</w:t>
      </w:r>
      <w:r w:rsidRPr="00C47C5C">
        <w:rPr>
          <w:lang w:bidi="en-US"/>
        </w:rPr>
        <w:t xml:space="preserve"> of 1 MDa PSS and surfactant. Generally, the smaller molecules diffu</w:t>
      </w:r>
      <w:r w:rsidR="00DA4B96">
        <w:rPr>
          <w:lang w:bidi="en-US"/>
        </w:rPr>
        <w:t>se faster than bigger molecules</w:t>
      </w:r>
      <w:r w:rsidRPr="00C47C5C">
        <w:rPr>
          <w:lang w:bidi="en-US"/>
        </w:rPr>
        <w:fldChar w:fldCharType="begin"/>
      </w:r>
      <w:r w:rsidR="00332C11">
        <w:rPr>
          <w:lang w:bidi="en-US"/>
        </w:rPr>
        <w:instrText xml:space="preserve"> ADDIN EN.CITE &lt;EndNote&gt;&lt;Cite&gt;&lt;Author&gt;Keyes&lt;/Author&gt;&lt;Year&gt;1990&lt;/Year&gt;&lt;RecNum&gt;114&lt;/RecNum&gt;&lt;DisplayText&gt;&lt;style face="superscript"&gt;86&lt;/style&gt;&lt;/DisplayText&gt;&lt;record&gt;&lt;rec-number&gt;114&lt;/rec-number&gt;&lt;foreign-keys&gt;&lt;key app="EN" db-id="a5zz9zdsp2tzdiedrdov0ztx9zwzps0patvs" timestamp="1436126294"&gt;114&lt;/key&gt;&lt;/foreign-keys&gt;&lt;ref-type name="Book"&gt;6&lt;/ref-type&gt;&lt;contributors&gt;&lt;authors&gt;&lt;author&gt;Keyes, Jack L&lt;/author&gt;&lt;/authors&gt;&lt;/contributors&gt;&lt;titles&gt;&lt;title&gt;Fluid, Electrolyte, and Acid-Base Regulation&lt;/title&gt;&lt;/titles&gt;&lt;section&gt;18&lt;/section&gt;&lt;dates&gt;&lt;year&gt;1990&lt;/year&gt;&lt;/dates&gt;&lt;publisher&gt;Jones &amp;amp; Bartlett Learning&lt;/publisher&gt;&lt;isbn&gt;0867203897&lt;/isbn&gt;&lt;urls&gt;&lt;/urls&gt;&lt;/record&gt;&lt;/Cite&gt;&lt;/EndNote&gt;</w:instrText>
      </w:r>
      <w:r w:rsidRPr="00C47C5C">
        <w:rPr>
          <w:lang w:bidi="en-US"/>
        </w:rPr>
        <w:fldChar w:fldCharType="separate"/>
      </w:r>
      <w:r w:rsidR="00332C11" w:rsidRPr="00332C11">
        <w:rPr>
          <w:noProof/>
          <w:vertAlign w:val="superscript"/>
          <w:lang w:bidi="en-US"/>
        </w:rPr>
        <w:t>86</w:t>
      </w:r>
      <w:r w:rsidRPr="00C47C5C">
        <w:rPr>
          <w:lang w:bidi="en-US"/>
        </w:rPr>
        <w:fldChar w:fldCharType="end"/>
      </w:r>
      <w:r w:rsidRPr="00C47C5C">
        <w:rPr>
          <w:lang w:bidi="en-US"/>
        </w:rPr>
        <w:t xml:space="preserve">. Therefore, during simultaneous addition, the slow diffusion rate of 1 MDa PSS may have prevented it from reaching the solid surfaces ahead of surfactant to block the adsorption sites for surfactant. </w:t>
      </w:r>
    </w:p>
    <w:p w:rsidR="002B4F80" w:rsidRDefault="00CF5567" w:rsidP="00BF7BCE">
      <w:pPr>
        <w:pStyle w:val="Heading3"/>
      </w:pPr>
      <w:bookmarkStart w:id="116" w:name="_Toc426374052"/>
      <w:r>
        <w:t>Dynamic Adsorption of Surfactant without P</w:t>
      </w:r>
      <w:r w:rsidR="002B4F80" w:rsidRPr="002B4F80">
        <w:t>olyelectrolyte</w:t>
      </w:r>
      <w:bookmarkEnd w:id="116"/>
    </w:p>
    <w:p w:rsidR="002B4F80" w:rsidRPr="002B4F80" w:rsidRDefault="002B4F80" w:rsidP="002B4F80">
      <w:pPr>
        <w:rPr>
          <w:lang w:bidi="en-US"/>
        </w:rPr>
      </w:pPr>
      <w:r>
        <w:rPr>
          <w:noProof/>
        </w:rPr>
        <mc:AlternateContent>
          <mc:Choice Requires="wps">
            <w:drawing>
              <wp:anchor distT="0" distB="0" distL="114300" distR="114300" simplePos="0" relativeHeight="251738112" behindDoc="0" locked="0" layoutInCell="1" allowOverlap="1" wp14:anchorId="37ABC7FD" wp14:editId="5423FE1D">
                <wp:simplePos x="0" y="0"/>
                <wp:positionH relativeFrom="column">
                  <wp:posOffset>127635</wp:posOffset>
                </wp:positionH>
                <wp:positionV relativeFrom="paragraph">
                  <wp:posOffset>3329305</wp:posOffset>
                </wp:positionV>
                <wp:extent cx="5210175" cy="466725"/>
                <wp:effectExtent l="0" t="0" r="9525" b="9525"/>
                <wp:wrapTopAndBottom/>
                <wp:docPr id="52" name="Text Box 52"/>
                <wp:cNvGraphicFramePr/>
                <a:graphic xmlns:a="http://schemas.openxmlformats.org/drawingml/2006/main">
                  <a:graphicData uri="http://schemas.microsoft.com/office/word/2010/wordprocessingShape">
                    <wps:wsp>
                      <wps:cNvSpPr txBox="1"/>
                      <wps:spPr>
                        <a:xfrm>
                          <a:off x="0" y="0"/>
                          <a:ext cx="5210175" cy="466725"/>
                        </a:xfrm>
                        <a:prstGeom prst="rect">
                          <a:avLst/>
                        </a:prstGeom>
                        <a:solidFill>
                          <a:prstClr val="white"/>
                        </a:solidFill>
                        <a:ln>
                          <a:noFill/>
                        </a:ln>
                        <a:effectLst/>
                      </wps:spPr>
                      <wps:txbx>
                        <w:txbxContent>
                          <w:p w:rsidR="005C410D" w:rsidRPr="002B4F80" w:rsidRDefault="005C410D" w:rsidP="002B4F80">
                            <w:pPr>
                              <w:pStyle w:val="Caption"/>
                              <w:rPr>
                                <w:rFonts w:ascii="Times New Roman" w:hAnsi="Times New Roman"/>
                                <w:b w:val="0"/>
                                <w:noProof/>
                                <w:szCs w:val="24"/>
                              </w:rPr>
                            </w:pPr>
                            <w:bookmarkStart w:id="117" w:name="_Toc426967311"/>
                            <w:r>
                              <w:t xml:space="preserve">Figure </w:t>
                            </w:r>
                            <w:r w:rsidR="001C58A2">
                              <w:fldChar w:fldCharType="begin"/>
                            </w:r>
                            <w:r w:rsidR="001C58A2">
                              <w:instrText xml:space="preserve"> SEQ Figure \* ARABIC </w:instrText>
                            </w:r>
                            <w:r w:rsidR="001C58A2">
                              <w:fldChar w:fldCharType="separate"/>
                            </w:r>
                            <w:r w:rsidR="003F7947">
                              <w:rPr>
                                <w:noProof/>
                              </w:rPr>
                              <w:t>19</w:t>
                            </w:r>
                            <w:r w:rsidR="001C58A2">
                              <w:rPr>
                                <w:noProof/>
                              </w:rPr>
                              <w:fldChar w:fldCharType="end"/>
                            </w:r>
                            <w:r>
                              <w:t xml:space="preserve">. </w:t>
                            </w:r>
                            <w:r w:rsidRPr="002B4F80">
                              <w:rPr>
                                <w:b w:val="0"/>
                              </w:rPr>
                              <w:t>Dynamic surfactant adsorption in Brea sandstone packed bed at reservoir brine</w:t>
                            </w:r>
                            <w:bookmarkEnd w:id="1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ABC7FD" id="Text Box 52" o:spid="_x0000_s1043" type="#_x0000_t202" style="position:absolute;margin-left:10.05pt;margin-top:262.15pt;width:410.25pt;height:36.75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" stroked="f">
                <v:textbox inset="0,0,0,0">
                  <w:txbxContent>
                    <w:p w:rsidR="005C410D" w:rsidRPr="002B4F80" w:rsidRDefault="005C410D" w:rsidP="002B4F80">
                      <w:pPr>
                        <w:pStyle w:val="Caption"/>
                        <w:rPr>
                          <w:rFonts w:ascii="Times New Roman" w:hAnsi="Times New Roman"/>
                          <w:b w:val="0"/>
                          <w:noProof/>
                          <w:szCs w:val="24"/>
                        </w:rPr>
                      </w:pPr>
                      <w:bookmarkStart w:id="136" w:name="_Toc426967311"/>
                      <w:r>
                        <w:t xml:space="preserve">Figure </w:t>
                      </w:r>
                      <w:fldSimple w:instr=" SEQ Figure \* ARABIC ">
                        <w:r w:rsidR="003F7947">
                          <w:rPr>
                            <w:noProof/>
                          </w:rPr>
                          <w:t>19</w:t>
                        </w:r>
                      </w:fldSimple>
                      <w:r>
                        <w:t xml:space="preserve">. </w:t>
                      </w:r>
                      <w:r w:rsidRPr="002B4F80">
                        <w:rPr>
                          <w:b w:val="0"/>
                        </w:rPr>
                        <w:t>Dynamic surfactant adsorption in Brea sandstone packed bed at reservoir brine</w:t>
                      </w:r>
                      <w:bookmarkEnd w:id="136"/>
                    </w:p>
                  </w:txbxContent>
                </v:textbox>
                <w10:wrap type="topAndBottom"/>
              </v:shape>
            </w:pict>
          </mc:Fallback>
        </mc:AlternateContent>
      </w:r>
      <w:r w:rsidRPr="00C726E0">
        <w:rPr>
          <w:rFonts w:ascii="Times New Roman" w:hAnsi="Times New Roman"/>
          <w:noProof/>
        </w:rPr>
        <w:drawing>
          <wp:anchor distT="0" distB="0" distL="114300" distR="114300" simplePos="0" relativeHeight="251736064" behindDoc="0" locked="0" layoutInCell="1" allowOverlap="1" wp14:anchorId="03D88A23" wp14:editId="25380DE6">
            <wp:simplePos x="0" y="0"/>
            <wp:positionH relativeFrom="column">
              <wp:posOffset>127635</wp:posOffset>
            </wp:positionH>
            <wp:positionV relativeFrom="page">
              <wp:posOffset>3924300</wp:posOffset>
            </wp:positionV>
            <wp:extent cx="5210175" cy="3067050"/>
            <wp:effectExtent l="0" t="0" r="9525" b="0"/>
            <wp:wrapTopAndBottom/>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14:sizeRelH relativeFrom="margin">
              <wp14:pctWidth>0</wp14:pctWidth>
            </wp14:sizeRelH>
            <wp14:sizeRelV relativeFrom="margin">
              <wp14:pctHeight>0</wp14:pctHeight>
            </wp14:sizeRelV>
          </wp:anchor>
        </w:drawing>
      </w:r>
    </w:p>
    <w:p w:rsidR="002B4F80" w:rsidRDefault="00CC15C3" w:rsidP="002B4F80">
      <w:pPr>
        <w:tabs>
          <w:tab w:val="left" w:pos="210"/>
        </w:tabs>
        <w:jc w:val="both"/>
        <w:rPr>
          <w:rFonts w:asciiTheme="majorHAnsi" w:hAnsiTheme="majorHAnsi"/>
          <w:bCs/>
          <w:lang w:bidi="en-US"/>
        </w:rPr>
      </w:pPr>
      <w:r>
        <w:rPr>
          <w:rFonts w:asciiTheme="majorHAnsi" w:hAnsiTheme="majorHAnsi"/>
          <w:bCs/>
          <w:lang w:bidi="en-US"/>
        </w:rPr>
        <w:t>Figure 15</w:t>
      </w:r>
      <w:r w:rsidR="002B4F80" w:rsidRPr="002B4F80">
        <w:rPr>
          <w:rFonts w:asciiTheme="majorHAnsi" w:hAnsiTheme="majorHAnsi"/>
          <w:bCs/>
          <w:lang w:bidi="en-US"/>
        </w:rPr>
        <w:t xml:space="preserve"> shows that the equilibrium adsorption of</w:t>
      </w:r>
      <w:r w:rsidR="002B4F80" w:rsidRPr="002B4F80">
        <w:rPr>
          <w:rFonts w:asciiTheme="majorHAnsi" w:hAnsiTheme="majorHAnsi"/>
          <w:b/>
          <w:bCs/>
          <w:lang w:bidi="en-US"/>
        </w:rPr>
        <w:t xml:space="preserve"> </w:t>
      </w:r>
      <w:r w:rsidR="002B4F80" w:rsidRPr="002B4F80">
        <w:rPr>
          <w:rFonts w:asciiTheme="majorHAnsi" w:hAnsiTheme="majorHAnsi"/>
          <w:bCs/>
          <w:lang w:bidi="en-US"/>
        </w:rPr>
        <w:t xml:space="preserve">surfactant without polyelectrolyte is severe on Brea sandstone from reservoir brine. This observation is further evaluated by conducting dynamic adsorption studies of surfactant without polyelectrolytes in packed beds of both crushed Brea sandstone and Ottawa sand. All the experiments are conducted </w:t>
      </w:r>
      <w:r w:rsidR="002B4F80" w:rsidRPr="002B4F80">
        <w:rPr>
          <w:rFonts w:asciiTheme="majorHAnsi" w:hAnsiTheme="majorHAnsi"/>
          <w:bCs/>
          <w:lang w:bidi="en-US"/>
        </w:rPr>
        <w:lastRenderedPageBreak/>
        <w:t xml:space="preserve">under reservoir brine, fluid injection rate is 0.3 mL/min, and the injected surfactant </w:t>
      </w:r>
      <w:r w:rsidR="003D5DA3" w:rsidRPr="0054747C">
        <w:rPr>
          <w:rFonts w:ascii="Times New Roman" w:hAnsi="Times New Roman"/>
          <w:noProof/>
        </w:rPr>
        <w:drawing>
          <wp:anchor distT="0" distB="0" distL="114300" distR="114300" simplePos="0" relativeHeight="251740160" behindDoc="0" locked="0" layoutInCell="1" allowOverlap="1" wp14:anchorId="7279F855" wp14:editId="4C38D588">
            <wp:simplePos x="0" y="0"/>
            <wp:positionH relativeFrom="column">
              <wp:posOffset>136525</wp:posOffset>
            </wp:positionH>
            <wp:positionV relativeFrom="page">
              <wp:posOffset>1733550</wp:posOffset>
            </wp:positionV>
            <wp:extent cx="5324475" cy="2857500"/>
            <wp:effectExtent l="0" t="0" r="9525" b="0"/>
            <wp:wrapTopAndBottom/>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14:sizeRelH relativeFrom="margin">
              <wp14:pctWidth>0</wp14:pctWidth>
            </wp14:sizeRelH>
            <wp14:sizeRelV relativeFrom="margin">
              <wp14:pctHeight>0</wp14:pctHeight>
            </wp14:sizeRelV>
          </wp:anchor>
        </w:drawing>
      </w:r>
      <w:r w:rsidR="002B4F80">
        <w:rPr>
          <w:noProof/>
        </w:rPr>
        <mc:AlternateContent>
          <mc:Choice Requires="wps">
            <w:drawing>
              <wp:anchor distT="0" distB="0" distL="114300" distR="114300" simplePos="0" relativeHeight="251742208" behindDoc="0" locked="0" layoutInCell="1" allowOverlap="1" wp14:anchorId="3B64979A" wp14:editId="1D18B694">
                <wp:simplePos x="0" y="0"/>
                <wp:positionH relativeFrom="column">
                  <wp:posOffset>137160</wp:posOffset>
                </wp:positionH>
                <wp:positionV relativeFrom="paragraph">
                  <wp:posOffset>3733800</wp:posOffset>
                </wp:positionV>
                <wp:extent cx="5181600" cy="635"/>
                <wp:effectExtent l="0" t="0" r="0" b="0"/>
                <wp:wrapTopAndBottom/>
                <wp:docPr id="55" name="Text Box 55"/>
                <wp:cNvGraphicFramePr/>
                <a:graphic xmlns:a="http://schemas.openxmlformats.org/drawingml/2006/main">
                  <a:graphicData uri="http://schemas.microsoft.com/office/word/2010/wordprocessingShape">
                    <wps:wsp>
                      <wps:cNvSpPr txBox="1"/>
                      <wps:spPr>
                        <a:xfrm>
                          <a:off x="0" y="0"/>
                          <a:ext cx="5181600" cy="635"/>
                        </a:xfrm>
                        <a:prstGeom prst="rect">
                          <a:avLst/>
                        </a:prstGeom>
                        <a:solidFill>
                          <a:prstClr val="white"/>
                        </a:solidFill>
                        <a:ln>
                          <a:noFill/>
                        </a:ln>
                        <a:effectLst/>
                      </wps:spPr>
                      <wps:txbx>
                        <w:txbxContent>
                          <w:p w:rsidR="005C410D" w:rsidRPr="002B4F80" w:rsidRDefault="005C410D" w:rsidP="002B4F80">
                            <w:pPr>
                              <w:pStyle w:val="Caption"/>
                              <w:rPr>
                                <w:b w:val="0"/>
                              </w:rPr>
                            </w:pPr>
                            <w:bookmarkStart w:id="118" w:name="_Toc426967312"/>
                            <w:r>
                              <w:t xml:space="preserve">Figure </w:t>
                            </w:r>
                            <w:r w:rsidR="001C58A2">
                              <w:fldChar w:fldCharType="begin"/>
                            </w:r>
                            <w:r w:rsidR="001C58A2">
                              <w:instrText xml:space="preserve"> SEQ Figure \* ARABIC </w:instrText>
                            </w:r>
                            <w:r w:rsidR="001C58A2">
                              <w:fldChar w:fldCharType="separate"/>
                            </w:r>
                            <w:r w:rsidR="003F7947">
                              <w:rPr>
                                <w:noProof/>
                              </w:rPr>
                              <w:t>20</w:t>
                            </w:r>
                            <w:r w:rsidR="001C58A2">
                              <w:rPr>
                                <w:noProof/>
                              </w:rPr>
                              <w:fldChar w:fldCharType="end"/>
                            </w:r>
                            <w:r>
                              <w:t xml:space="preserve">. </w:t>
                            </w:r>
                            <w:r w:rsidRPr="002B4F80">
                              <w:rPr>
                                <w:b w:val="0"/>
                              </w:rPr>
                              <w:t>Dynamic surfactant adsorption in Ottawa sand packed bed at reservoir brine</w:t>
                            </w:r>
                            <w:bookmarkEnd w:id="118"/>
                          </w:p>
                          <w:p w:rsidR="005C410D" w:rsidRPr="00EA2FC6" w:rsidRDefault="005C410D" w:rsidP="002B4F80">
                            <w:pPr>
                              <w:pStyle w:val="Caption"/>
                              <w:rPr>
                                <w:rFonts w:ascii="Times New Roman" w:hAnsi="Times New Roman"/>
                                <w:noProof/>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64979A" id="Text Box 55" o:spid="_x0000_s1044" type="#_x0000_t202" style="position:absolute;left:0;text-align:left;margin-left:10.8pt;margin-top:294pt;width:408pt;height:.0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" stroked="f">
                <v:textbox style="mso-fit-shape-to-text:t" inset="0,0,0,0">
                  <w:txbxContent>
                    <w:p w:rsidR="005C410D" w:rsidRPr="002B4F80" w:rsidRDefault="005C410D" w:rsidP="002B4F80">
                      <w:pPr>
                        <w:pStyle w:val="Caption"/>
                        <w:rPr>
                          <w:b w:val="0"/>
                        </w:rPr>
                      </w:pPr>
                      <w:bookmarkStart w:id="138" w:name="_Toc426967312"/>
                      <w:r>
                        <w:t xml:space="preserve">Figure </w:t>
                      </w:r>
                      <w:fldSimple w:instr=" SEQ Figure \* ARABIC ">
                        <w:r w:rsidR="003F7947">
                          <w:rPr>
                            <w:noProof/>
                          </w:rPr>
                          <w:t>20</w:t>
                        </w:r>
                      </w:fldSimple>
                      <w:r>
                        <w:t xml:space="preserve">. </w:t>
                      </w:r>
                      <w:r w:rsidRPr="002B4F80">
                        <w:rPr>
                          <w:b w:val="0"/>
                        </w:rPr>
                        <w:t>Dynamic surfactant adsorption in Ottawa sand packed bed at reservoir brine</w:t>
                      </w:r>
                      <w:bookmarkEnd w:id="138"/>
                    </w:p>
                    <w:p w:rsidR="005C410D" w:rsidRPr="00EA2FC6" w:rsidRDefault="005C410D" w:rsidP="002B4F80">
                      <w:pPr>
                        <w:pStyle w:val="Caption"/>
                        <w:rPr>
                          <w:rFonts w:ascii="Times New Roman" w:hAnsi="Times New Roman"/>
                          <w:noProof/>
                          <w:szCs w:val="24"/>
                        </w:rPr>
                      </w:pPr>
                    </w:p>
                  </w:txbxContent>
                </v:textbox>
                <w10:wrap type="topAndBottom"/>
              </v:shape>
            </w:pict>
          </mc:Fallback>
        </mc:AlternateContent>
      </w:r>
      <w:r w:rsidR="002B4F80" w:rsidRPr="002B4F80">
        <w:rPr>
          <w:rFonts w:asciiTheme="majorHAnsi" w:hAnsiTheme="majorHAnsi"/>
          <w:bCs/>
          <w:lang w:bidi="en-US"/>
        </w:rPr>
        <w:t xml:space="preserve">concentration is 0.75 wt %. </w:t>
      </w:r>
    </w:p>
    <w:p w:rsidR="002B4F80" w:rsidRDefault="00CC15C3" w:rsidP="002B4F80">
      <w:pPr>
        <w:tabs>
          <w:tab w:val="left" w:pos="210"/>
        </w:tabs>
        <w:jc w:val="both"/>
        <w:rPr>
          <w:rFonts w:asciiTheme="majorHAnsi" w:hAnsiTheme="majorHAnsi"/>
          <w:bCs/>
          <w:lang w:bidi="en-US"/>
        </w:rPr>
      </w:pPr>
      <w:r>
        <w:rPr>
          <w:rFonts w:asciiTheme="majorHAnsi" w:hAnsiTheme="majorHAnsi"/>
          <w:bCs/>
          <w:lang w:bidi="en-US"/>
        </w:rPr>
        <w:t>Figure 19</w:t>
      </w:r>
      <w:r w:rsidR="002B4F80" w:rsidRPr="002B4F80">
        <w:rPr>
          <w:rFonts w:asciiTheme="majorHAnsi" w:hAnsiTheme="majorHAnsi"/>
          <w:bCs/>
          <w:lang w:bidi="en-US"/>
        </w:rPr>
        <w:t xml:space="preserve"> shows the result of dynamic surfactant adsorption study performed on Brea sandstone. It can be seen that the surfactant breakthrough is at 1.9 PV indicating a total of 0.9 PV surfactant loss on solid surfaces. The 0.9 PV delay in surfactant breakthrough corresponds to 1.81 mg/g sand of surfactant absorbed on Brea sandstone. This result is less than the equilibrium adsorption study that shows surfactant loss on Brea sandstone of about 5 mg/g sand. A possible explanation for such observation is the equilibration time. Several authors have studied the effect of equilibration time on surfactant adsorption and found that surfactant solution should be in contact with solid surface for at least 1 day to allow adsorption to reach completion </w:t>
      </w:r>
      <w:r w:rsidR="002B4F80" w:rsidRPr="002B4F80">
        <w:rPr>
          <w:rFonts w:asciiTheme="majorHAnsi" w:hAnsiTheme="majorHAnsi"/>
          <w:bCs/>
          <w:lang w:bidi="en-US"/>
        </w:rPr>
        <w:fldChar w:fldCharType="begin"/>
      </w:r>
      <w:r w:rsidR="00332C11">
        <w:rPr>
          <w:rFonts w:asciiTheme="majorHAnsi" w:hAnsiTheme="majorHAnsi"/>
          <w:bCs/>
          <w:lang w:bidi="en-US"/>
        </w:rPr>
        <w:instrText xml:space="preserve"> ADDIN EN.CITE &lt;EndNote&gt;&lt;Cite&gt;&lt;Author&gt;Weston&lt;/Author&gt;&lt;Year&gt;2014&lt;/Year&gt;&lt;RecNum&gt;104&lt;/RecNum&gt;&lt;DisplayText&gt;&lt;style face="superscript"&gt;19, 27&lt;/style&gt;&lt;/DisplayText&gt;&lt;record&gt;&lt;rec-number&gt;104&lt;/rec-number&gt;&lt;foreign-keys&gt;&lt;key app="EN" db-id="a5zz9zdsp2tzdiedrdov0ztx9zwzps0patvs" timestamp="1434377442"&gt;104&lt;/key&gt;&lt;/foreign-keys&gt;&lt;ref-type name="Journal Article"&gt;17&lt;/ref-type&gt;&lt;contributors&gt;&lt;authors&gt;&lt;author&gt;Weston, Javen S&lt;/author&gt;&lt;author&gt;Harwell, Jeffrey H&lt;/author&gt;&lt;author&gt;Shiau, Benjamin J&lt;/author&gt;&lt;author&gt;Kabir, Mahfuz&lt;/author&gt;&lt;/authors&gt;&lt;/contributors&gt;&lt;titles&gt;&lt;title&gt;Disrupting admicelle formation and preventing surfactant adsorption on metal oxide surfaces using sacrificial polyelectrolytes&lt;/title&gt;&lt;secondary-title&gt;Langmuir&lt;/secondary-title&gt;&lt;/titles&gt;&lt;periodical&gt;&lt;full-title&gt;Langmuir&lt;/full-title&gt;&lt;/periodical&gt;&lt;pages&gt;6384-6388&lt;/pages&gt;&lt;volume&gt;30&lt;/volume&gt;&lt;number&gt;22&lt;/number&gt;&lt;dates&gt;&lt;year&gt;2014&lt;/year&gt;&lt;/dates&gt;&lt;isbn&gt;0743-7463&lt;/isbn&gt;&lt;urls&gt;&lt;/urls&gt;&lt;/record&gt;&lt;/Cite&gt;&lt;Cite&gt;&lt;Author&gt;ShamsiJazeyi&lt;/Author&gt;&lt;Year&gt;2013&lt;/Year&gt;&lt;RecNum&gt;79&lt;/RecNum&gt;&lt;record&gt;&lt;rec-number&gt;79&lt;/rec-number&gt;&lt;foreign-keys&gt;&lt;key app="EN" db-id="a5zz9zdsp2tzdiedrdov0ztx9zwzps0patvs" timestamp="1425611167"&gt;79&lt;/key&gt;&lt;/foreign-keys&gt;&lt;ref-type name="Journal Article"&gt;17&lt;/ref-type&gt;&lt;contributors&gt;&lt;authors&gt;&lt;author&gt;ShamsiJazeyi, Hadi&lt;/author&gt;&lt;author&gt;Hirasaki, George J&lt;/author&gt;&lt;author&gt;Verduzco, Rafael&lt;/author&gt;&lt;/authors&gt;&lt;/contributors&gt;&lt;titles&gt;&lt;title&gt;Sacrificial Agent for Reducing Adsorption of Anionic Surfactants&lt;/title&gt;&lt;secondary-title&gt;SPE-164061-MS&lt;/secondary-title&gt;&lt;/titles&gt;&lt;periodical&gt;&lt;full-title&gt;SPE-164061-MS&lt;/full-title&gt;&lt;/periodical&gt;&lt;dates&gt;&lt;year&gt;2013&lt;/year&gt;&lt;/dates&gt;&lt;urls&gt;&lt;/urls&gt;&lt;/record&gt;&lt;/Cite&gt;&lt;/EndNote&gt;</w:instrText>
      </w:r>
      <w:r w:rsidR="002B4F80" w:rsidRPr="002B4F80">
        <w:rPr>
          <w:rFonts w:asciiTheme="majorHAnsi" w:hAnsiTheme="majorHAnsi"/>
          <w:bCs/>
          <w:lang w:bidi="en-US"/>
        </w:rPr>
        <w:fldChar w:fldCharType="separate"/>
      </w:r>
      <w:r w:rsidR="00332C11" w:rsidRPr="00332C11">
        <w:rPr>
          <w:rFonts w:asciiTheme="majorHAnsi" w:hAnsiTheme="majorHAnsi"/>
          <w:bCs/>
          <w:noProof/>
          <w:vertAlign w:val="superscript"/>
          <w:lang w:bidi="en-US"/>
        </w:rPr>
        <w:t>19, 27</w:t>
      </w:r>
      <w:r w:rsidR="002B4F80" w:rsidRPr="002B4F80">
        <w:rPr>
          <w:rFonts w:asciiTheme="majorHAnsi" w:hAnsiTheme="majorHAnsi"/>
          <w:bCs/>
          <w:lang w:bidi="en-US"/>
        </w:rPr>
        <w:fldChar w:fldCharType="end"/>
      </w:r>
      <w:r w:rsidR="002B4F80" w:rsidRPr="002B4F80">
        <w:rPr>
          <w:rFonts w:asciiTheme="majorHAnsi" w:hAnsiTheme="majorHAnsi"/>
          <w:bCs/>
          <w:lang w:bidi="en-US"/>
        </w:rPr>
        <w:t xml:space="preserve">. Therefore, during dynamic adsorption study, short surfactant-sand contact time of about 2 h (24 to 30 h in equilibrium adsorption </w:t>
      </w:r>
      <w:r w:rsidR="002B4F80" w:rsidRPr="002B4F80">
        <w:rPr>
          <w:rFonts w:asciiTheme="majorHAnsi" w:hAnsiTheme="majorHAnsi"/>
          <w:bCs/>
          <w:lang w:bidi="en-US"/>
        </w:rPr>
        <w:lastRenderedPageBreak/>
        <w:t>study) from surfactant injection to breakthrough (1.9 PV) could have resulted in less surfactant adsorption</w:t>
      </w:r>
      <w:r w:rsidR="002B4F80">
        <w:rPr>
          <w:rFonts w:asciiTheme="majorHAnsi" w:hAnsiTheme="majorHAnsi"/>
          <w:bCs/>
          <w:lang w:bidi="en-US"/>
        </w:rPr>
        <w:t>.</w:t>
      </w:r>
    </w:p>
    <w:p w:rsidR="002B4F80" w:rsidRDefault="002B4F80" w:rsidP="002B4F80">
      <w:pPr>
        <w:tabs>
          <w:tab w:val="left" w:pos="210"/>
        </w:tabs>
        <w:jc w:val="both"/>
        <w:rPr>
          <w:rFonts w:asciiTheme="majorHAnsi" w:hAnsiTheme="majorHAnsi"/>
          <w:bCs/>
          <w:lang w:bidi="en-US"/>
        </w:rPr>
      </w:pPr>
      <w:r w:rsidRPr="002B4F80">
        <w:rPr>
          <w:rFonts w:asciiTheme="majorHAnsi" w:hAnsiTheme="majorHAnsi"/>
          <w:bCs/>
          <w:lang w:bidi="en-US"/>
        </w:rPr>
        <w:t>The result of dynamic adsorption study conducted on Ottawa sand is shown in Figu</w:t>
      </w:r>
      <w:r w:rsidR="00DA4B96">
        <w:rPr>
          <w:rFonts w:asciiTheme="majorHAnsi" w:hAnsiTheme="majorHAnsi"/>
          <w:bCs/>
          <w:lang w:bidi="en-US"/>
        </w:rPr>
        <w:t>re 20</w:t>
      </w:r>
      <w:r w:rsidR="00CC15C3">
        <w:rPr>
          <w:rFonts w:asciiTheme="majorHAnsi" w:hAnsiTheme="majorHAnsi"/>
          <w:bCs/>
          <w:lang w:bidi="en-US"/>
        </w:rPr>
        <w:t>. As shown in Figure 20</w:t>
      </w:r>
      <w:r w:rsidRPr="002B4F80">
        <w:rPr>
          <w:rFonts w:asciiTheme="majorHAnsi" w:hAnsiTheme="majorHAnsi"/>
          <w:bCs/>
          <w:lang w:bidi="en-US"/>
        </w:rPr>
        <w:t>, the surfactant breakthrough is observed at 1.3 PV. This suggests that the surfactant loss on Ottawa sand is 0.3 PV (0.49 mg/g sand) and is about 4 times less compared to the equilibrium surfactant adsorption on Brea sandstone th</w:t>
      </w:r>
      <w:r w:rsidR="00CC15C3">
        <w:rPr>
          <w:rFonts w:asciiTheme="majorHAnsi" w:hAnsiTheme="majorHAnsi"/>
          <w:bCs/>
          <w:lang w:bidi="en-US"/>
        </w:rPr>
        <w:t>at is shown in Figure 19</w:t>
      </w:r>
      <w:r w:rsidRPr="002B4F80">
        <w:rPr>
          <w:rFonts w:asciiTheme="majorHAnsi" w:hAnsiTheme="majorHAnsi"/>
          <w:bCs/>
          <w:lang w:bidi="en-US"/>
        </w:rPr>
        <w:t>. A similar trend, lower surfactant adsorption on Ottawa sand than on Brea sandstone, is also observed in equilibrium adsorption expe</w:t>
      </w:r>
      <w:r w:rsidR="00CC15C3">
        <w:rPr>
          <w:rFonts w:asciiTheme="majorHAnsi" w:hAnsiTheme="majorHAnsi"/>
          <w:bCs/>
          <w:lang w:bidi="en-US"/>
        </w:rPr>
        <w:t>riments and is shown in Figure 15</w:t>
      </w:r>
      <w:r w:rsidRPr="002B4F80">
        <w:rPr>
          <w:rFonts w:asciiTheme="majorHAnsi" w:hAnsiTheme="majorHAnsi"/>
          <w:bCs/>
          <w:lang w:bidi="en-US"/>
        </w:rPr>
        <w:t>. Moreover, the dynamic surfactant adsorption on Ottawa sand is 0.49 mg/g sand and is about half the equilibrium surfactant adsorption of 1.10 mg/g sand in reservoir brine. This further suggests that the short surfactant-sand contact time in dynamic study may not be sufficient for surfactant adsorption to reach completion.</w:t>
      </w:r>
    </w:p>
    <w:p w:rsidR="002B4F80" w:rsidRDefault="00CF5567" w:rsidP="00BF7BCE">
      <w:pPr>
        <w:pStyle w:val="Heading3"/>
      </w:pPr>
      <w:bookmarkStart w:id="119" w:name="_Toc426374053"/>
      <w:r>
        <w:t>Dynamic Adsorption of Surfactant with P</w:t>
      </w:r>
      <w:r w:rsidR="002B4F80" w:rsidRPr="002B4F80">
        <w:t>olyelectrolyte</w:t>
      </w:r>
      <w:bookmarkEnd w:id="119"/>
    </w:p>
    <w:p w:rsidR="002B4F80" w:rsidRPr="002B4F80" w:rsidRDefault="002B4F80" w:rsidP="002B4F80">
      <w:pPr>
        <w:jc w:val="both"/>
        <w:rPr>
          <w:lang w:bidi="en-US"/>
        </w:rPr>
      </w:pPr>
      <w:r w:rsidRPr="002B4F80">
        <w:rPr>
          <w:lang w:bidi="en-US"/>
        </w:rPr>
        <w:t xml:space="preserve">Efficiency of PSS as a sacrificial agent in lowering surfactant adsorption is further evaluated through dynamic adsorption experiments. These tests are performed in crushed Brea sandstone packed beds with reservoir brine by employing both sequential and simultaneous surfactant/PSS addition techniques. Moreover, the 70 KDa PSS that showed excellent result in equilibrium adsorption experiments is chosen as a test polyelectrolyte for dynamic tests.   </w:t>
      </w:r>
    </w:p>
    <w:p w:rsidR="002B4F80" w:rsidRDefault="002B4F80" w:rsidP="002B4F80">
      <w:pPr>
        <w:jc w:val="both"/>
        <w:rPr>
          <w:lang w:bidi="en-US"/>
        </w:rPr>
      </w:pPr>
      <w:r w:rsidRPr="002B4F80">
        <w:rPr>
          <w:lang w:bidi="en-US"/>
        </w:rPr>
        <w:t>Figu</w:t>
      </w:r>
      <w:r w:rsidR="00CC15C3">
        <w:rPr>
          <w:lang w:bidi="en-US"/>
        </w:rPr>
        <w:t>re 21 &amp; 22</w:t>
      </w:r>
      <w:r w:rsidR="00DA4B96">
        <w:rPr>
          <w:lang w:bidi="en-US"/>
        </w:rPr>
        <w:t>, show</w:t>
      </w:r>
      <w:r w:rsidRPr="002B4F80">
        <w:rPr>
          <w:lang w:bidi="en-US"/>
        </w:rPr>
        <w:t xml:space="preserve"> the result of dynamic adsorption study that was carried out by sequentially injecting PSS followed by surfactant. The injected concentration of both PSS and surfactant is 0.75 </w:t>
      </w:r>
      <w:r w:rsidR="00CC15C3">
        <w:rPr>
          <w:lang w:bidi="en-US"/>
        </w:rPr>
        <w:t>wt %. It is observed in Figure 21</w:t>
      </w:r>
      <w:r w:rsidRPr="002B4F80">
        <w:rPr>
          <w:lang w:bidi="en-US"/>
        </w:rPr>
        <w:t xml:space="preserve"> that both PSS and surfactant exhibit delayed breakthrough at 1.3 PV and 1.5 PV compared to tracer at 1 PV. This </w:t>
      </w:r>
      <w:r w:rsidRPr="002B4F80">
        <w:rPr>
          <w:lang w:bidi="en-US"/>
        </w:rPr>
        <w:lastRenderedPageBreak/>
        <w:t xml:space="preserve">behavior is caused by the adsorption of both PSS and surfactant on sand surfaces. Most notable, in the presence of PSS, the surfactant breakthrough is 0.4 PV earlier compared to </w:t>
      </w:r>
      <w:r w:rsidR="00CC15C3">
        <w:rPr>
          <w:lang w:bidi="en-US"/>
        </w:rPr>
        <w:t>without PSS as shown in Figure 19 and 21</w:t>
      </w:r>
      <w:r w:rsidRPr="002B4F80">
        <w:rPr>
          <w:lang w:bidi="en-US"/>
        </w:rPr>
        <w:t xml:space="preserve">. This earlier surfactant breakthrough indicates a reduction in adsorption and is attributed to the effectiveness of PSS in reducing surfactant </w:t>
      </w:r>
      <w:r w:rsidR="001F4BBC">
        <w:rPr>
          <w:noProof/>
        </w:rPr>
        <mc:AlternateContent>
          <mc:Choice Requires="wps">
            <w:drawing>
              <wp:anchor distT="0" distB="0" distL="114300" distR="114300" simplePos="0" relativeHeight="251746304" behindDoc="0" locked="0" layoutInCell="1" allowOverlap="1" wp14:anchorId="5821181E" wp14:editId="08A71443">
                <wp:simplePos x="0" y="0"/>
                <wp:positionH relativeFrom="column">
                  <wp:posOffset>32385</wp:posOffset>
                </wp:positionH>
                <wp:positionV relativeFrom="paragraph">
                  <wp:posOffset>4848225</wp:posOffset>
                </wp:positionV>
                <wp:extent cx="5267325" cy="635"/>
                <wp:effectExtent l="0" t="0" r="9525" b="7620"/>
                <wp:wrapTopAndBottom/>
                <wp:docPr id="60" name="Text Box 60"/>
                <wp:cNvGraphicFramePr/>
                <a:graphic xmlns:a="http://schemas.openxmlformats.org/drawingml/2006/main">
                  <a:graphicData uri="http://schemas.microsoft.com/office/word/2010/wordprocessingShape">
                    <wps:wsp>
                      <wps:cNvSpPr txBox="1"/>
                      <wps:spPr>
                        <a:xfrm>
                          <a:off x="0" y="0"/>
                          <a:ext cx="5267325" cy="635"/>
                        </a:xfrm>
                        <a:prstGeom prst="rect">
                          <a:avLst/>
                        </a:prstGeom>
                        <a:solidFill>
                          <a:prstClr val="white"/>
                        </a:solidFill>
                        <a:ln>
                          <a:noFill/>
                        </a:ln>
                        <a:effectLst/>
                      </wps:spPr>
                      <wps:txbx>
                        <w:txbxContent>
                          <w:p w:rsidR="005C410D" w:rsidRPr="001F4BBC" w:rsidRDefault="005C410D" w:rsidP="001F4BBC">
                            <w:pPr>
                              <w:pStyle w:val="Caption"/>
                              <w:rPr>
                                <w:b w:val="0"/>
                              </w:rPr>
                            </w:pPr>
                            <w:bookmarkStart w:id="120" w:name="_Toc426967313"/>
                            <w:r>
                              <w:t xml:space="preserve">Figure </w:t>
                            </w:r>
                            <w:r w:rsidR="001C58A2">
                              <w:fldChar w:fldCharType="begin"/>
                            </w:r>
                            <w:r w:rsidR="001C58A2">
                              <w:instrText xml:space="preserve"> SEQ Figure \* ARABIC </w:instrText>
                            </w:r>
                            <w:r w:rsidR="001C58A2">
                              <w:fldChar w:fldCharType="separate"/>
                            </w:r>
                            <w:r w:rsidR="003F7947">
                              <w:rPr>
                                <w:noProof/>
                              </w:rPr>
                              <w:t>21</w:t>
                            </w:r>
                            <w:r w:rsidR="001C58A2">
                              <w:rPr>
                                <w:noProof/>
                              </w:rPr>
                              <w:fldChar w:fldCharType="end"/>
                            </w:r>
                            <w:r>
                              <w:t xml:space="preserve">. </w:t>
                            </w:r>
                            <w:r w:rsidRPr="001F4BBC">
                              <w:rPr>
                                <w:b w:val="0"/>
                              </w:rPr>
                              <w:t>Effect of 70 KDa PSS on dynamic surfactant adsorption in Brea sandstone packed b</w:t>
                            </w:r>
                            <w:r>
                              <w:rPr>
                                <w:b w:val="0"/>
                              </w:rPr>
                              <w:t>ed at reservoir brine. PSS and s</w:t>
                            </w:r>
                            <w:r w:rsidRPr="001F4BBC">
                              <w:rPr>
                                <w:b w:val="0"/>
                              </w:rPr>
                              <w:t>urfactant were injected sequentially</w:t>
                            </w:r>
                            <w:bookmarkEnd w:id="120"/>
                          </w:p>
                          <w:p w:rsidR="005C410D" w:rsidRPr="00FC0EF9" w:rsidRDefault="005C410D" w:rsidP="001F4BBC">
                            <w:pPr>
                              <w:pStyle w:val="Caption"/>
                              <w:rPr>
                                <w:szCs w:val="24"/>
                                <w:lang w:bidi="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21181E" id="Text Box 60" o:spid="_x0000_s1045" type="#_x0000_t202" style="position:absolute;left:0;text-align:left;margin-left:2.55pt;margin-top:381.75pt;width:414.75pt;height:.05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" stroked="f">
                <v:textbox style="mso-fit-shape-to-text:t" inset="0,0,0,0">
                  <w:txbxContent>
                    <w:p w:rsidR="005C410D" w:rsidRPr="001F4BBC" w:rsidRDefault="005C410D" w:rsidP="001F4BBC">
                      <w:pPr>
                        <w:pStyle w:val="Caption"/>
                        <w:rPr>
                          <w:b w:val="0"/>
                        </w:rPr>
                      </w:pPr>
                      <w:bookmarkStart w:id="141" w:name="_Toc426967313"/>
                      <w:r>
                        <w:t xml:space="preserve">Figure </w:t>
                      </w:r>
                      <w:fldSimple w:instr=" SEQ Figure \* ARABIC ">
                        <w:r w:rsidR="003F7947">
                          <w:rPr>
                            <w:noProof/>
                          </w:rPr>
                          <w:t>21</w:t>
                        </w:r>
                      </w:fldSimple>
                      <w:r>
                        <w:t xml:space="preserve">. </w:t>
                      </w:r>
                      <w:r w:rsidRPr="001F4BBC">
                        <w:rPr>
                          <w:b w:val="0"/>
                        </w:rPr>
                        <w:t>Effect of 70 KDa PSS on dynamic surfactant adsorption in Brea sandstone packed b</w:t>
                      </w:r>
                      <w:r>
                        <w:rPr>
                          <w:b w:val="0"/>
                        </w:rPr>
                        <w:t>ed at reservoir brine. PSS and s</w:t>
                      </w:r>
                      <w:r w:rsidRPr="001F4BBC">
                        <w:rPr>
                          <w:b w:val="0"/>
                        </w:rPr>
                        <w:t>urfactant were injected sequentially</w:t>
                      </w:r>
                      <w:bookmarkEnd w:id="141"/>
                    </w:p>
                    <w:p w:rsidR="005C410D" w:rsidRPr="00FC0EF9" w:rsidRDefault="005C410D" w:rsidP="001F4BBC">
                      <w:pPr>
                        <w:pStyle w:val="Caption"/>
                        <w:rPr>
                          <w:szCs w:val="24"/>
                          <w:lang w:bidi="en-US"/>
                        </w:rPr>
                      </w:pPr>
                    </w:p>
                  </w:txbxContent>
                </v:textbox>
                <w10:wrap type="topAndBottom"/>
              </v:shape>
            </w:pict>
          </mc:Fallback>
        </mc:AlternateContent>
      </w:r>
      <w:r w:rsidR="001F4BBC" w:rsidRPr="0083671E">
        <w:rPr>
          <w:rFonts w:ascii="Times New Roman" w:hAnsi="Times New Roman"/>
          <w:noProof/>
        </w:rPr>
        <w:drawing>
          <wp:anchor distT="0" distB="0" distL="114300" distR="114300" simplePos="0" relativeHeight="251744256" behindDoc="0" locked="0" layoutInCell="1" allowOverlap="1" wp14:anchorId="0CC10E42" wp14:editId="654CAB21">
            <wp:simplePos x="0" y="0"/>
            <wp:positionH relativeFrom="column">
              <wp:posOffset>127635</wp:posOffset>
            </wp:positionH>
            <wp:positionV relativeFrom="page">
              <wp:posOffset>2762250</wp:posOffset>
            </wp:positionV>
            <wp:extent cx="5172075" cy="2943225"/>
            <wp:effectExtent l="0" t="0" r="9525" b="9525"/>
            <wp:wrapTopAndBottom/>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14:sizeRelH relativeFrom="margin">
              <wp14:pctWidth>0</wp14:pctWidth>
            </wp14:sizeRelH>
            <wp14:sizeRelV relativeFrom="margin">
              <wp14:pctHeight>0</wp14:pctHeight>
            </wp14:sizeRelV>
          </wp:anchor>
        </w:drawing>
      </w:r>
      <w:r w:rsidRPr="002B4F80">
        <w:rPr>
          <w:lang w:bidi="en-US"/>
        </w:rPr>
        <w:t>adsorption by adsorbing on solid surfaces.</w:t>
      </w:r>
    </w:p>
    <w:p w:rsidR="002B4F80" w:rsidRDefault="00CC15C3" w:rsidP="002B4F80">
      <w:pPr>
        <w:jc w:val="both"/>
        <w:rPr>
          <w:lang w:bidi="en-US"/>
        </w:rPr>
      </w:pPr>
      <w:r>
        <w:rPr>
          <w:lang w:bidi="en-US"/>
        </w:rPr>
        <w:t>Figure 22</w:t>
      </w:r>
      <w:r w:rsidR="002B4F80" w:rsidRPr="002B4F80">
        <w:rPr>
          <w:lang w:bidi="en-US"/>
        </w:rPr>
        <w:t xml:space="preserve"> also shows the effect of surfactant/PSS addition techniques, sequential and simultaneous, on dynamic adsorptions of both surfactant and PSS. It is observed that the PSS adsorption is almost 2 times higher in sequential addition, about 0.50 mg/g sand, than in simultaneous addition, about 0.26 mg/g sand. This is because in sequential addition PSS may not have to compete with surfactant to adsorb on metal oxides. Normally, we expect higher PSS adsorption to lower surfactant adsorption and this corresponds very well with the ob</w:t>
      </w:r>
      <w:r>
        <w:rPr>
          <w:lang w:bidi="en-US"/>
        </w:rPr>
        <w:t>servation made in Figure 22</w:t>
      </w:r>
      <w:r w:rsidR="002B4F80" w:rsidRPr="002B4F80">
        <w:rPr>
          <w:lang w:bidi="en-US"/>
        </w:rPr>
        <w:t xml:space="preserve">. It is observed that the </w:t>
      </w:r>
      <w:r w:rsidR="002B4F80" w:rsidRPr="002B4F80">
        <w:rPr>
          <w:lang w:bidi="en-US"/>
        </w:rPr>
        <w:lastRenderedPageBreak/>
        <w:t>surfactant adsorption is about 1 mg/g sand in sequential addition and about 1.2 mg/g sand in simultaneous</w:t>
      </w:r>
      <w:r w:rsidR="002B4F80">
        <w:rPr>
          <w:lang w:bidi="en-US"/>
        </w:rPr>
        <w:t xml:space="preserve"> addition</w:t>
      </w:r>
      <w:r w:rsidR="001F4BBC">
        <w:rPr>
          <w:lang w:bidi="en-US"/>
        </w:rPr>
        <w:t>.</w:t>
      </w:r>
    </w:p>
    <w:p w:rsidR="001F4BBC" w:rsidRPr="002B4F80" w:rsidRDefault="00791072" w:rsidP="002B4F80">
      <w:pPr>
        <w:jc w:val="both"/>
        <w:rPr>
          <w:lang w:bidi="en-US"/>
        </w:rPr>
      </w:pPr>
      <w:r>
        <w:rPr>
          <w:noProof/>
        </w:rPr>
        <mc:AlternateContent>
          <mc:Choice Requires="wps">
            <w:drawing>
              <wp:anchor distT="0" distB="0" distL="114300" distR="114300" simplePos="0" relativeHeight="251767808" behindDoc="0" locked="0" layoutInCell="1" allowOverlap="1" wp14:anchorId="494DF0D2" wp14:editId="4E1C8E57">
                <wp:simplePos x="0" y="0"/>
                <wp:positionH relativeFrom="column">
                  <wp:posOffset>85725</wp:posOffset>
                </wp:positionH>
                <wp:positionV relativeFrom="paragraph">
                  <wp:posOffset>2990215</wp:posOffset>
                </wp:positionV>
                <wp:extent cx="5295900" cy="635"/>
                <wp:effectExtent l="0" t="0" r="0" b="0"/>
                <wp:wrapTopAndBottom/>
                <wp:docPr id="28" name="Text Box 28"/>
                <wp:cNvGraphicFramePr/>
                <a:graphic xmlns:a="http://schemas.openxmlformats.org/drawingml/2006/main">
                  <a:graphicData uri="http://schemas.microsoft.com/office/word/2010/wordprocessingShape">
                    <wps:wsp>
                      <wps:cNvSpPr txBox="1"/>
                      <wps:spPr>
                        <a:xfrm>
                          <a:off x="0" y="0"/>
                          <a:ext cx="5295900" cy="635"/>
                        </a:xfrm>
                        <a:prstGeom prst="rect">
                          <a:avLst/>
                        </a:prstGeom>
                        <a:solidFill>
                          <a:prstClr val="white"/>
                        </a:solidFill>
                        <a:ln>
                          <a:noFill/>
                        </a:ln>
                        <a:effectLst/>
                      </wps:spPr>
                      <wps:txbx>
                        <w:txbxContent>
                          <w:p w:rsidR="005C410D" w:rsidRPr="00791072" w:rsidRDefault="005C410D" w:rsidP="00791072">
                            <w:pPr>
                              <w:pStyle w:val="Caption"/>
                              <w:rPr>
                                <w:b w:val="0"/>
                                <w:i/>
                                <w:iCs/>
                              </w:rPr>
                            </w:pPr>
                            <w:bookmarkStart w:id="121" w:name="_Toc426967314"/>
                            <w:r>
                              <w:t xml:space="preserve">Figure </w:t>
                            </w:r>
                            <w:r w:rsidR="001C58A2">
                              <w:fldChar w:fldCharType="begin"/>
                            </w:r>
                            <w:r w:rsidR="001C58A2">
                              <w:instrText xml:space="preserve"> SEQ Figure \* ARABIC </w:instrText>
                            </w:r>
                            <w:r w:rsidR="001C58A2">
                              <w:fldChar w:fldCharType="separate"/>
                            </w:r>
                            <w:r w:rsidR="003F7947">
                              <w:rPr>
                                <w:noProof/>
                              </w:rPr>
                              <w:t>22</w:t>
                            </w:r>
                            <w:r w:rsidR="001C58A2">
                              <w:rPr>
                                <w:noProof/>
                              </w:rPr>
                              <w:fldChar w:fldCharType="end"/>
                            </w:r>
                            <w:r>
                              <w:t xml:space="preserve">. </w:t>
                            </w:r>
                            <w:r w:rsidRPr="00791072">
                              <w:rPr>
                                <w:b w:val="0"/>
                              </w:rPr>
                              <w:t>Effect of PSS/surfactant addition techniques on dynamic adsorption of surfactant and 70 KDa PSS in Brea sandstone packed bed at reservoir temperature</w:t>
                            </w:r>
                            <w:bookmarkEnd w:id="121"/>
                          </w:p>
                          <w:p w:rsidR="005C410D" w:rsidRPr="009A06BB" w:rsidRDefault="005C410D" w:rsidP="00791072">
                            <w:pPr>
                              <w:pStyle w:val="Caption"/>
                              <w:rPr>
                                <w:noProof/>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4DF0D2" id="Text Box 28" o:spid="_x0000_s1046" type="#_x0000_t202" style="position:absolute;left:0;text-align:left;margin-left:6.75pt;margin-top:235.45pt;width:417pt;height:.0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" stroked="f">
                <v:textbox style="mso-fit-shape-to-text:t" inset="0,0,0,0">
                  <w:txbxContent>
                    <w:p w:rsidR="005C410D" w:rsidRPr="00791072" w:rsidRDefault="005C410D" w:rsidP="00791072">
                      <w:pPr>
                        <w:pStyle w:val="Caption"/>
                        <w:rPr>
                          <w:b w:val="0"/>
                          <w:i/>
                          <w:iCs/>
                        </w:rPr>
                      </w:pPr>
                      <w:bookmarkStart w:id="143" w:name="_Toc426967314"/>
                      <w:r>
                        <w:t xml:space="preserve">Figure </w:t>
                      </w:r>
                      <w:fldSimple w:instr=" SEQ Figure \* ARABIC ">
                        <w:r w:rsidR="003F7947">
                          <w:rPr>
                            <w:noProof/>
                          </w:rPr>
                          <w:t>22</w:t>
                        </w:r>
                      </w:fldSimple>
                      <w:r>
                        <w:t xml:space="preserve">. </w:t>
                      </w:r>
                      <w:r w:rsidRPr="00791072">
                        <w:rPr>
                          <w:b w:val="0"/>
                        </w:rPr>
                        <w:t>Effect of PSS/surfactant addition techniques on dynamic adsorption of surfactant and 70 KDa PSS in Brea sandstone packed bed at reservoir temperature</w:t>
                      </w:r>
                      <w:bookmarkEnd w:id="143"/>
                    </w:p>
                    <w:p w:rsidR="005C410D" w:rsidRPr="009A06BB" w:rsidRDefault="005C410D" w:rsidP="00791072">
                      <w:pPr>
                        <w:pStyle w:val="Caption"/>
                        <w:rPr>
                          <w:noProof/>
                          <w:szCs w:val="24"/>
                        </w:rPr>
                      </w:pPr>
                    </w:p>
                  </w:txbxContent>
                </v:textbox>
                <w10:wrap type="topAndBottom"/>
              </v:shape>
            </w:pict>
          </mc:Fallback>
        </mc:AlternateContent>
      </w:r>
      <w:r w:rsidR="001F4BBC" w:rsidRPr="001F4BBC">
        <w:rPr>
          <w:noProof/>
        </w:rPr>
        <w:drawing>
          <wp:anchor distT="0" distB="0" distL="114300" distR="114300" simplePos="0" relativeHeight="251748352" behindDoc="0" locked="0" layoutInCell="1" allowOverlap="1" wp14:anchorId="388D8895" wp14:editId="28BD81F7">
            <wp:simplePos x="0" y="0"/>
            <wp:positionH relativeFrom="column">
              <wp:posOffset>85725</wp:posOffset>
            </wp:positionH>
            <wp:positionV relativeFrom="paragraph">
              <wp:posOffset>189865</wp:posOffset>
            </wp:positionV>
            <wp:extent cx="5295900" cy="2743200"/>
            <wp:effectExtent l="0" t="0" r="0" b="0"/>
            <wp:wrapTopAndBottom/>
            <wp:docPr id="61" name="Chart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anchor>
        </w:drawing>
      </w:r>
    </w:p>
    <w:p w:rsidR="002B4F80" w:rsidRDefault="00CF5567" w:rsidP="00BF7BCE">
      <w:pPr>
        <w:pStyle w:val="Heading3"/>
      </w:pPr>
      <w:bookmarkStart w:id="122" w:name="_Toc426374054"/>
      <w:r>
        <w:t>Oil M</w:t>
      </w:r>
      <w:r w:rsidR="001F4BBC" w:rsidRPr="001F4BBC">
        <w:t xml:space="preserve">obilization in </w:t>
      </w:r>
      <w:r>
        <w:t>Sand Packs without P</w:t>
      </w:r>
      <w:r w:rsidR="001F4BBC" w:rsidRPr="001F4BBC">
        <w:t>olyelectrolyte</w:t>
      </w:r>
      <w:bookmarkEnd w:id="122"/>
    </w:p>
    <w:p w:rsidR="001F4BBC" w:rsidRDefault="001F4BBC" w:rsidP="001F4BBC">
      <w:pPr>
        <w:jc w:val="both"/>
        <w:rPr>
          <w:lang w:bidi="en-US"/>
        </w:rPr>
      </w:pPr>
      <w:r w:rsidRPr="001F4BBC">
        <w:rPr>
          <w:lang w:bidi="en-US"/>
        </w:rPr>
        <w:t>Two sand pack studies are conducted at reservoir conditions without polyelectrolyte in Ottawa and Brea packed beds to evaluate the effect of surfactant adsorption on oil mobilization. The tests include surfactant injection protoco</w:t>
      </w:r>
      <w:r w:rsidR="00CC15C3">
        <w:rPr>
          <w:lang w:bidi="en-US"/>
        </w:rPr>
        <w:t>l of 1 PV, 0.75 wt %. Figures 23A and 23</w:t>
      </w:r>
      <w:r w:rsidR="00DA4B96">
        <w:rPr>
          <w:lang w:bidi="en-US"/>
        </w:rPr>
        <w:t>B compare</w:t>
      </w:r>
      <w:r w:rsidRPr="001F4BBC">
        <w:rPr>
          <w:lang w:bidi="en-US"/>
        </w:rPr>
        <w:t xml:space="preserve"> the oil mobilization processes during surfactant injection in both Ottawa and Brea sand beds.</w:t>
      </w:r>
      <w:r w:rsidR="00DA4B96">
        <w:rPr>
          <w:lang w:bidi="en-US"/>
        </w:rPr>
        <w:t xml:space="preserve"> It can be observed in Figure 23</w:t>
      </w:r>
      <w:r w:rsidRPr="001F4BBC">
        <w:rPr>
          <w:lang w:bidi="en-US"/>
        </w:rPr>
        <w:t xml:space="preserve">A that in the Ottawa sand packed bed, a distinct oil bank is formed after injecting 0.25 PV of surfactant. The oil bank continues to move towards the exit of the packed bed with the surfactant injection. Eventually, a clean sand pack is observed after post chemical water flooding, indicating mobilization of a majority of the trapped oil. </w:t>
      </w:r>
      <w:r w:rsidR="0092759C">
        <w:rPr>
          <w:lang w:bidi="en-US"/>
        </w:rPr>
        <w:t>However, a similar phenomenon is</w:t>
      </w:r>
      <w:r w:rsidRPr="001F4BBC">
        <w:rPr>
          <w:lang w:bidi="en-US"/>
        </w:rPr>
        <w:t xml:space="preserve"> not observed in the case of the Brea sand packe</w:t>
      </w:r>
      <w:r w:rsidR="0092759C">
        <w:rPr>
          <w:lang w:bidi="en-US"/>
        </w:rPr>
        <w:t>d bed. As shown in Figure 23</w:t>
      </w:r>
      <w:r w:rsidRPr="001F4BBC">
        <w:rPr>
          <w:lang w:bidi="en-US"/>
        </w:rPr>
        <w:t xml:space="preserve">B, even though </w:t>
      </w:r>
      <w:r w:rsidRPr="001F4BBC">
        <w:rPr>
          <w:lang w:bidi="en-US"/>
        </w:rPr>
        <w:lastRenderedPageBreak/>
        <w:t xml:space="preserve">the formation of an oil bank is observed in Brea sand packed bed, it is not as distinct as the one observed in Ottawa sand packed bed and the oil bank stops moving towards the </w:t>
      </w:r>
      <w:r w:rsidR="00791072">
        <w:rPr>
          <w:noProof/>
        </w:rPr>
        <mc:AlternateContent>
          <mc:Choice Requires="wps">
            <w:drawing>
              <wp:anchor distT="0" distB="0" distL="114300" distR="114300" simplePos="0" relativeHeight="251769856" behindDoc="0" locked="0" layoutInCell="1" allowOverlap="1" wp14:anchorId="092F9F4D" wp14:editId="02FEF3CA">
                <wp:simplePos x="0" y="0"/>
                <wp:positionH relativeFrom="column">
                  <wp:posOffset>-49530</wp:posOffset>
                </wp:positionH>
                <wp:positionV relativeFrom="paragraph">
                  <wp:posOffset>5060950</wp:posOffset>
                </wp:positionV>
                <wp:extent cx="5560695" cy="635"/>
                <wp:effectExtent l="0" t="0" r="1905" b="3810"/>
                <wp:wrapTopAndBottom/>
                <wp:docPr id="33" name="Text Box 33"/>
                <wp:cNvGraphicFramePr/>
                <a:graphic xmlns:a="http://schemas.openxmlformats.org/drawingml/2006/main">
                  <a:graphicData uri="http://schemas.microsoft.com/office/word/2010/wordprocessingShape">
                    <wps:wsp>
                      <wps:cNvSpPr txBox="1"/>
                      <wps:spPr>
                        <a:xfrm>
                          <a:off x="0" y="0"/>
                          <a:ext cx="5560695" cy="635"/>
                        </a:xfrm>
                        <a:prstGeom prst="rect">
                          <a:avLst/>
                        </a:prstGeom>
                        <a:solidFill>
                          <a:prstClr val="white"/>
                        </a:solidFill>
                        <a:ln>
                          <a:noFill/>
                        </a:ln>
                        <a:effectLst/>
                      </wps:spPr>
                      <wps:txbx>
                        <w:txbxContent>
                          <w:p w:rsidR="005C410D" w:rsidRPr="00791072" w:rsidRDefault="005C410D" w:rsidP="00791072">
                            <w:pPr>
                              <w:pStyle w:val="Caption"/>
                              <w:rPr>
                                <w:b w:val="0"/>
                              </w:rPr>
                            </w:pPr>
                            <w:bookmarkStart w:id="123" w:name="_Toc426967315"/>
                            <w:r>
                              <w:t xml:space="preserve">Figure </w:t>
                            </w:r>
                            <w:r w:rsidR="001C58A2">
                              <w:fldChar w:fldCharType="begin"/>
                            </w:r>
                            <w:r w:rsidR="001C58A2">
                              <w:instrText xml:space="preserve"> SEQ Figure \* ARABIC </w:instrText>
                            </w:r>
                            <w:r w:rsidR="001C58A2">
                              <w:fldChar w:fldCharType="separate"/>
                            </w:r>
                            <w:r w:rsidR="003F7947">
                              <w:rPr>
                                <w:noProof/>
                              </w:rPr>
                              <w:t>23</w:t>
                            </w:r>
                            <w:r w:rsidR="001C58A2">
                              <w:rPr>
                                <w:noProof/>
                              </w:rPr>
                              <w:fldChar w:fldCharType="end"/>
                            </w:r>
                            <w:r w:rsidRPr="00791072">
                              <w:rPr>
                                <w:b w:val="0"/>
                              </w:rPr>
                              <w:t>. Sand pack studies conducted in (A) Ottawa sand and (B) Brea sandstone packed beds at the reservoir conditions (52° C) without polyelectrolyte. Surfactant injection protocol: 1 PV, 0.75 wt. %</w:t>
                            </w:r>
                            <w:bookmarkEnd w:id="123"/>
                          </w:p>
                          <w:p w:rsidR="005C410D" w:rsidRPr="00851A6A" w:rsidRDefault="005C410D" w:rsidP="00791072">
                            <w:pPr>
                              <w:pStyle w:val="Caption"/>
                              <w:rPr>
                                <w:szCs w:val="24"/>
                                <w:lang w:bidi="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92F9F4D" id="Text Box 33" o:spid="_x0000_s1047" type="#_x0000_t202" style="position:absolute;left:0;text-align:left;margin-left:-3.9pt;margin-top:398.5pt;width:437.85pt;height:.05pt;z-index:251769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" stroked="f">
                <v:textbox style="mso-fit-shape-to-text:t" inset="0,0,0,0">
                  <w:txbxContent>
                    <w:p w:rsidR="005C410D" w:rsidRPr="00791072" w:rsidRDefault="005C410D" w:rsidP="00791072">
                      <w:pPr>
                        <w:pStyle w:val="Caption"/>
                        <w:rPr>
                          <w:b w:val="0"/>
                        </w:rPr>
                      </w:pPr>
                      <w:bookmarkStart w:id="146" w:name="_Toc426967315"/>
                      <w:r>
                        <w:t xml:space="preserve">Figure </w:t>
                      </w:r>
                      <w:fldSimple w:instr=" SEQ Figure \* ARABIC ">
                        <w:r w:rsidR="003F7947">
                          <w:rPr>
                            <w:noProof/>
                          </w:rPr>
                          <w:t>23</w:t>
                        </w:r>
                      </w:fldSimple>
                      <w:r w:rsidRPr="00791072">
                        <w:rPr>
                          <w:b w:val="0"/>
                        </w:rPr>
                        <w:t>. Sand pack studies conducted in (A) Ottawa sand and (B) Brea sandstone packed beds at the reservoir conditions (52° C) without polyelectrolyte. Surfactant injection protocol: 1 PV, 0.75 wt. %</w:t>
                      </w:r>
                      <w:bookmarkEnd w:id="146"/>
                    </w:p>
                    <w:p w:rsidR="005C410D" w:rsidRPr="00851A6A" w:rsidRDefault="005C410D" w:rsidP="00791072">
                      <w:pPr>
                        <w:pStyle w:val="Caption"/>
                        <w:rPr>
                          <w:szCs w:val="24"/>
                          <w:lang w:bidi="en-US"/>
                        </w:rPr>
                      </w:pPr>
                    </w:p>
                  </w:txbxContent>
                </v:textbox>
                <w10:wrap type="topAndBottom"/>
              </v:shape>
            </w:pict>
          </mc:Fallback>
        </mc:AlternateContent>
      </w:r>
      <w:r w:rsidRPr="001F4BBC">
        <w:rPr>
          <w:noProof/>
        </w:rPr>
        <w:drawing>
          <wp:anchor distT="0" distB="0" distL="114300" distR="114300" simplePos="0" relativeHeight="251751424" behindDoc="0" locked="0" layoutInCell="1" allowOverlap="1" wp14:anchorId="09DB434F" wp14:editId="3BB1E6A6">
            <wp:simplePos x="0" y="0"/>
            <wp:positionH relativeFrom="column">
              <wp:posOffset>-53340</wp:posOffset>
            </wp:positionH>
            <wp:positionV relativeFrom="paragraph">
              <wp:posOffset>1123950</wp:posOffset>
            </wp:positionV>
            <wp:extent cx="5211323" cy="3876675"/>
            <wp:effectExtent l="0" t="0" r="0" b="0"/>
            <wp:wrapTopAndBottom/>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BEBA8EAE-BF5A-486C-A8C5-ECC9F3942E4B}">
                          <a14:imgProps xmlns:a14="http://schemas.microsoft.com/office/drawing/2010/main">
                            <a14:imgLayer r:embed="rId65">
                              <a14:imgEffect>
                                <a14:sharpenSoften amount="35000"/>
                              </a14:imgEffect>
                              <a14:imgEffect>
                                <a14:brightnessContrast bright="5000"/>
                              </a14:imgEffect>
                            </a14:imgLayer>
                          </a14:imgProps>
                        </a:ext>
                        <a:ext uri="{28A0092B-C50C-407E-A947-70E740481C1C}">
                          <a14:useLocalDpi xmlns:a14="http://schemas.microsoft.com/office/drawing/2010/main" val="0"/>
                        </a:ext>
                      </a:extLst>
                    </a:blip>
                    <a:srcRect/>
                    <a:stretch>
                      <a:fillRect/>
                    </a:stretch>
                  </pic:blipFill>
                  <pic:spPr bwMode="auto">
                    <a:xfrm>
                      <a:off x="0" y="0"/>
                      <a:ext cx="5211323" cy="3876675"/>
                    </a:xfrm>
                    <a:prstGeom prst="rect">
                      <a:avLst/>
                    </a:prstGeom>
                    <a:noFill/>
                  </pic:spPr>
                </pic:pic>
              </a:graphicData>
            </a:graphic>
            <wp14:sizeRelH relativeFrom="margin">
              <wp14:pctWidth>0</wp14:pctWidth>
            </wp14:sizeRelH>
            <wp14:sizeRelV relativeFrom="margin">
              <wp14:pctHeight>0</wp14:pctHeight>
            </wp14:sizeRelV>
          </wp:anchor>
        </w:drawing>
      </w:r>
      <w:r w:rsidRPr="001F4BBC">
        <w:rPr>
          <w:lang w:bidi="en-US"/>
        </w:rPr>
        <w:t xml:space="preserve">end of surfactant injection and doesn’t move even after post surfactant water flooding. </w:t>
      </w:r>
    </w:p>
    <w:p w:rsidR="001F4BBC" w:rsidRPr="001F4BBC" w:rsidRDefault="001F4BBC" w:rsidP="001F4BBC">
      <w:pPr>
        <w:jc w:val="both"/>
        <w:rPr>
          <w:lang w:bidi="en-US"/>
        </w:rPr>
      </w:pPr>
      <w:r w:rsidRPr="001F4BBC">
        <w:rPr>
          <w:lang w:bidi="en-US"/>
        </w:rPr>
        <w:t xml:space="preserve">Moreover, the amount of oil in effluents of each test is quantified. The results show about 60 % and 27% oil recovery from Ottawa bed and Brea bed respectively. Such difference in oil mobilization in two different sand packed beds is credited to the severe surfactant adsorption in Brea sandstone compared to Ottawa sand, which has been verified by both equilibrium and dynamic adsorption studies. Increased surfactant adsorption on soil/metal oxides negatively impacts oil displacement from porous media because the </w:t>
      </w:r>
      <w:r w:rsidRPr="001F4BBC">
        <w:rPr>
          <w:lang w:bidi="en-US"/>
        </w:rPr>
        <w:lastRenderedPageBreak/>
        <w:t>adsorbed surfactant is not available to participate at oil-water interfaces to lower the</w:t>
      </w:r>
      <w:r>
        <w:rPr>
          <w:lang w:bidi="en-US"/>
        </w:rPr>
        <w:t xml:space="preserve"> IFT, which is the basis of cEOR.</w:t>
      </w:r>
    </w:p>
    <w:bookmarkStart w:id="124" w:name="_Toc426374055"/>
    <w:p w:rsidR="001F4BBC" w:rsidRDefault="00517E33" w:rsidP="00BF7BCE">
      <w:pPr>
        <w:pStyle w:val="Heading3"/>
      </w:pPr>
      <w:r w:rsidRPr="00517E33">
        <w:rPr>
          <w:rFonts w:ascii="Calibri" w:eastAsia="Calibri" w:hAnsi="Calibri"/>
          <w:noProof/>
          <w:sz w:val="22"/>
          <w:szCs w:val="22"/>
          <w:lang w:bidi="ar-SA"/>
        </w:rPr>
        <mc:AlternateContent>
          <mc:Choice Requires="wps">
            <w:drawing>
              <wp:anchor distT="0" distB="0" distL="114300" distR="114300" simplePos="0" relativeHeight="251757568" behindDoc="0" locked="0" layoutInCell="1" allowOverlap="1" wp14:anchorId="32EA3A93" wp14:editId="5ED5E082">
                <wp:simplePos x="0" y="0"/>
                <wp:positionH relativeFrom="column">
                  <wp:posOffset>3810</wp:posOffset>
                </wp:positionH>
                <wp:positionV relativeFrom="paragraph">
                  <wp:posOffset>3680460</wp:posOffset>
                </wp:positionV>
                <wp:extent cx="5362575" cy="647700"/>
                <wp:effectExtent l="0" t="0" r="9525" b="0"/>
                <wp:wrapTopAndBottom/>
                <wp:docPr id="47" name="Text Box 47"/>
                <wp:cNvGraphicFramePr/>
                <a:graphic xmlns:a="http://schemas.openxmlformats.org/drawingml/2006/main">
                  <a:graphicData uri="http://schemas.microsoft.com/office/word/2010/wordprocessingShape">
                    <wps:wsp>
                      <wps:cNvSpPr txBox="1"/>
                      <wps:spPr>
                        <a:xfrm>
                          <a:off x="0" y="0"/>
                          <a:ext cx="5362575" cy="647700"/>
                        </a:xfrm>
                        <a:prstGeom prst="rect">
                          <a:avLst/>
                        </a:prstGeom>
                        <a:solidFill>
                          <a:prstClr val="white"/>
                        </a:solidFill>
                        <a:ln>
                          <a:noFill/>
                        </a:ln>
                        <a:effectLst/>
                      </wps:spPr>
                      <wps:txbx>
                        <w:txbxContent>
                          <w:p w:rsidR="005C410D" w:rsidRPr="00517E33" w:rsidRDefault="005C410D" w:rsidP="00517E33">
                            <w:pPr>
                              <w:pStyle w:val="Caption"/>
                              <w:rPr>
                                <w:rFonts w:ascii="Times New Roman" w:hAnsi="Times New Roman"/>
                                <w:b w:val="0"/>
                                <w:i/>
                                <w:iCs/>
                                <w:szCs w:val="22"/>
                              </w:rPr>
                            </w:pPr>
                            <w:bookmarkStart w:id="125" w:name="_Toc426967316"/>
                            <w:r w:rsidRPr="00801281">
                              <w:rPr>
                                <w:rFonts w:ascii="Times New Roman" w:hAnsi="Times New Roman"/>
                                <w:szCs w:val="22"/>
                              </w:rPr>
                              <w:t xml:space="preserve">Figure </w:t>
                            </w:r>
                            <w:r w:rsidRPr="00801281">
                              <w:rPr>
                                <w:rFonts w:ascii="Times New Roman" w:hAnsi="Times New Roman"/>
                                <w:b w:val="0"/>
                                <w:i/>
                                <w:iCs/>
                                <w:szCs w:val="22"/>
                              </w:rPr>
                              <w:fldChar w:fldCharType="begin"/>
                            </w:r>
                            <w:r w:rsidRPr="00801281">
                              <w:rPr>
                                <w:rFonts w:ascii="Times New Roman" w:hAnsi="Times New Roman"/>
                                <w:szCs w:val="22"/>
                              </w:rPr>
                              <w:instrText xml:space="preserve"> SEQ Figure \* ARABIC </w:instrText>
                            </w:r>
                            <w:r w:rsidRPr="00801281">
                              <w:rPr>
                                <w:rFonts w:ascii="Times New Roman" w:hAnsi="Times New Roman"/>
                                <w:b w:val="0"/>
                                <w:i/>
                                <w:iCs/>
                                <w:szCs w:val="22"/>
                              </w:rPr>
                              <w:fldChar w:fldCharType="separate"/>
                            </w:r>
                            <w:r w:rsidR="003F7947">
                              <w:rPr>
                                <w:rFonts w:ascii="Times New Roman" w:hAnsi="Times New Roman"/>
                                <w:noProof/>
                                <w:szCs w:val="22"/>
                              </w:rPr>
                              <w:t>24</w:t>
                            </w:r>
                            <w:r w:rsidRPr="00801281">
                              <w:rPr>
                                <w:rFonts w:ascii="Times New Roman" w:hAnsi="Times New Roman"/>
                                <w:b w:val="0"/>
                                <w:i/>
                                <w:iCs/>
                                <w:szCs w:val="22"/>
                              </w:rPr>
                              <w:fldChar w:fldCharType="end"/>
                            </w:r>
                            <w:r w:rsidRPr="00801281">
                              <w:rPr>
                                <w:rFonts w:ascii="Times New Roman" w:hAnsi="Times New Roman"/>
                                <w:szCs w:val="22"/>
                              </w:rPr>
                              <w:t xml:space="preserve">. </w:t>
                            </w:r>
                            <w:r w:rsidRPr="00517E33">
                              <w:rPr>
                                <w:rFonts w:ascii="Times New Roman" w:hAnsi="Times New Roman"/>
                                <w:b w:val="0"/>
                                <w:szCs w:val="22"/>
                              </w:rPr>
                              <w:t>Sand pack studies in the presence of PSSs (1 PV, 0.4 wt. %) and Surfactant (1 PV, 0.75 wt. %) in Brea sandstone packed beds. Studies performed with reservoir brine at reservoir temperature of 52° C</w:t>
                            </w:r>
                            <w:bookmarkEnd w:id="125"/>
                          </w:p>
                          <w:p w:rsidR="005C410D" w:rsidRPr="00517E33" w:rsidRDefault="005C410D" w:rsidP="00517E33">
                            <w:pPr>
                              <w:pStyle w:val="Caption"/>
                              <w:rPr>
                                <w:rFonts w:ascii="Times New Roman" w:eastAsia="MS Gothic" w:hAnsi="Times New Roman"/>
                                <w:b w:val="0"/>
                                <w:color w:val="000000"/>
                                <w:szCs w:val="2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EA3A93" id="Text Box 47" o:spid="_x0000_s1048" type="#_x0000_t202" style="position:absolute;left:0;text-align:left;margin-left:.3pt;margin-top:289.8pt;width:422.25pt;height:5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" stroked="f">
                <v:textbox inset="0,0,0,0">
                  <w:txbxContent>
                    <w:p w:rsidR="005C410D" w:rsidRPr="00517E33" w:rsidRDefault="005C410D" w:rsidP="00517E33">
                      <w:pPr>
                        <w:pStyle w:val="Caption"/>
                        <w:rPr>
                          <w:rFonts w:ascii="Times New Roman" w:hAnsi="Times New Roman"/>
                          <w:b w:val="0"/>
                          <w:i/>
                          <w:iCs/>
                          <w:szCs w:val="22"/>
                        </w:rPr>
                      </w:pPr>
                      <w:bookmarkStart w:id="149" w:name="_Toc426967316"/>
                      <w:r w:rsidRPr="00801281">
                        <w:rPr>
                          <w:rFonts w:ascii="Times New Roman" w:hAnsi="Times New Roman"/>
                          <w:szCs w:val="22"/>
                        </w:rPr>
                        <w:t xml:space="preserve">Figure </w:t>
                      </w:r>
                      <w:r w:rsidRPr="00801281">
                        <w:rPr>
                          <w:rFonts w:ascii="Times New Roman" w:hAnsi="Times New Roman"/>
                          <w:b w:val="0"/>
                          <w:i/>
                          <w:iCs/>
                          <w:szCs w:val="22"/>
                        </w:rPr>
                        <w:fldChar w:fldCharType="begin"/>
                      </w:r>
                      <w:r w:rsidRPr="00801281">
                        <w:rPr>
                          <w:rFonts w:ascii="Times New Roman" w:hAnsi="Times New Roman"/>
                          <w:szCs w:val="22"/>
                        </w:rPr>
                        <w:instrText xml:space="preserve"> SEQ Figure \* ARABIC </w:instrText>
                      </w:r>
                      <w:r w:rsidRPr="00801281">
                        <w:rPr>
                          <w:rFonts w:ascii="Times New Roman" w:hAnsi="Times New Roman"/>
                          <w:b w:val="0"/>
                          <w:i/>
                          <w:iCs/>
                          <w:szCs w:val="22"/>
                        </w:rPr>
                        <w:fldChar w:fldCharType="separate"/>
                      </w:r>
                      <w:r w:rsidR="003F7947">
                        <w:rPr>
                          <w:rFonts w:ascii="Times New Roman" w:hAnsi="Times New Roman"/>
                          <w:noProof/>
                          <w:szCs w:val="22"/>
                        </w:rPr>
                        <w:t>24</w:t>
                      </w:r>
                      <w:r w:rsidRPr="00801281">
                        <w:rPr>
                          <w:rFonts w:ascii="Times New Roman" w:hAnsi="Times New Roman"/>
                          <w:b w:val="0"/>
                          <w:i/>
                          <w:iCs/>
                          <w:szCs w:val="22"/>
                        </w:rPr>
                        <w:fldChar w:fldCharType="end"/>
                      </w:r>
                      <w:r w:rsidRPr="00801281">
                        <w:rPr>
                          <w:rFonts w:ascii="Times New Roman" w:hAnsi="Times New Roman"/>
                          <w:szCs w:val="22"/>
                        </w:rPr>
                        <w:t xml:space="preserve">. </w:t>
                      </w:r>
                      <w:r w:rsidRPr="00517E33">
                        <w:rPr>
                          <w:rFonts w:ascii="Times New Roman" w:hAnsi="Times New Roman"/>
                          <w:b w:val="0"/>
                          <w:szCs w:val="22"/>
                        </w:rPr>
                        <w:t>Sand pack studies in the presence of PSSs (1 PV, 0.4 wt. %) and Surfactant (1 PV, 0.75 wt. %) in Brea sandstone packed beds. Studies performed with reservoir brine at reservoir temperature of 52° C</w:t>
                      </w:r>
                      <w:bookmarkEnd w:id="149"/>
                    </w:p>
                    <w:p w:rsidR="005C410D" w:rsidRPr="00517E33" w:rsidRDefault="005C410D" w:rsidP="00517E33">
                      <w:pPr>
                        <w:pStyle w:val="Caption"/>
                        <w:rPr>
                          <w:rFonts w:ascii="Times New Roman" w:eastAsia="MS Gothic" w:hAnsi="Times New Roman"/>
                          <w:b w:val="0"/>
                          <w:color w:val="000000"/>
                          <w:szCs w:val="26"/>
                        </w:rPr>
                      </w:pPr>
                    </w:p>
                  </w:txbxContent>
                </v:textbox>
                <w10:wrap type="topAndBottom"/>
              </v:shape>
            </w:pict>
          </mc:Fallback>
        </mc:AlternateContent>
      </w:r>
      <w:r w:rsidRPr="00517E33">
        <w:rPr>
          <w:rFonts w:ascii="Times New Roman" w:eastAsia="Calibri" w:hAnsi="Times New Roman"/>
          <w:noProof/>
          <w:szCs w:val="22"/>
          <w:lang w:bidi="ar-SA"/>
        </w:rPr>
        <w:drawing>
          <wp:anchor distT="0" distB="0" distL="114300" distR="114300" simplePos="0" relativeHeight="251755520" behindDoc="0" locked="0" layoutInCell="1" allowOverlap="1" wp14:anchorId="4E12C387" wp14:editId="40E3E5E3">
            <wp:simplePos x="0" y="0"/>
            <wp:positionH relativeFrom="column">
              <wp:posOffset>143510</wp:posOffset>
            </wp:positionH>
            <wp:positionV relativeFrom="page">
              <wp:posOffset>2047875</wp:posOffset>
            </wp:positionV>
            <wp:extent cx="5089525" cy="3114675"/>
            <wp:effectExtent l="0" t="0" r="0" b="9525"/>
            <wp:wrapTopAndBottom/>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089525" cy="3114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5567">
        <w:t>Oil M</w:t>
      </w:r>
      <w:r w:rsidR="001F4BBC" w:rsidRPr="001F4BBC">
        <w:t xml:space="preserve">obilization in </w:t>
      </w:r>
      <w:r w:rsidR="00CF5567">
        <w:t>Sand P</w:t>
      </w:r>
      <w:r w:rsidR="001F4BBC">
        <w:t>ack</w:t>
      </w:r>
      <w:r w:rsidR="00CF5567">
        <w:t>s</w:t>
      </w:r>
      <w:r w:rsidR="001F4BBC">
        <w:t xml:space="preserve"> with</w:t>
      </w:r>
      <w:r w:rsidR="00CF5567">
        <w:t xml:space="preserve"> P</w:t>
      </w:r>
      <w:r w:rsidR="001F4BBC" w:rsidRPr="001F4BBC">
        <w:t>olyelectrolyte</w:t>
      </w:r>
      <w:bookmarkEnd w:id="124"/>
    </w:p>
    <w:p w:rsidR="001F4BBC" w:rsidRDefault="001F4BBC" w:rsidP="001F4BBC">
      <w:pPr>
        <w:jc w:val="both"/>
        <w:rPr>
          <w:lang w:bidi="en-US"/>
        </w:rPr>
      </w:pPr>
      <w:r w:rsidRPr="001F4BBC">
        <w:rPr>
          <w:lang w:bidi="en-US"/>
        </w:rPr>
        <w:t>The effect of PSSs on oil displacement by lowering surfactant adsorption is demonstrated through sand pack studies conducted in Brea packed beds. All four MW PSSs are evaluated and the sequential PSS/surfactant addition techni</w:t>
      </w:r>
      <w:r w:rsidR="0092759C">
        <w:rPr>
          <w:lang w:bidi="en-US"/>
        </w:rPr>
        <w:t>que is employed for two reasons:</w:t>
      </w:r>
      <w:r w:rsidRPr="001F4BBC">
        <w:rPr>
          <w:lang w:bidi="en-US"/>
        </w:rPr>
        <w:t xml:space="preserve"> First, both equilibrium and dynamic adsorption studies showed the sequential addition technique to be more effective in lowering surfactant adsorption. Second, </w:t>
      </w:r>
      <w:r w:rsidR="0092759C">
        <w:rPr>
          <w:lang w:bidi="en-US"/>
        </w:rPr>
        <w:t>PSS may interfere</w:t>
      </w:r>
      <w:r w:rsidRPr="001F4BBC">
        <w:rPr>
          <w:lang w:bidi="en-US"/>
        </w:rPr>
        <w:t xml:space="preserve"> </w:t>
      </w:r>
      <w:r w:rsidR="0092759C">
        <w:rPr>
          <w:lang w:bidi="en-US"/>
        </w:rPr>
        <w:t>with the s</w:t>
      </w:r>
      <w:r w:rsidRPr="001F4BBC">
        <w:rPr>
          <w:lang w:bidi="en-US"/>
        </w:rPr>
        <w:t>urfactant formulation. PSS is a hydrophilic compound and its addition to optimized surfactant formulation that is designed to form Type III microemulsion at reservoir conditions may shift the system towards Type I microemulsion</w:t>
      </w:r>
      <w:r w:rsidR="0092759C">
        <w:rPr>
          <w:lang w:bidi="en-US"/>
        </w:rPr>
        <w:t>,</w:t>
      </w:r>
      <w:r w:rsidRPr="001F4BBC">
        <w:rPr>
          <w:lang w:bidi="en-US"/>
        </w:rPr>
        <w:t xml:space="preserve"> which is not desirable for</w:t>
      </w:r>
      <w:r w:rsidR="0092759C">
        <w:rPr>
          <w:lang w:bidi="en-US"/>
        </w:rPr>
        <w:t xml:space="preserve"> cEOR</w:t>
      </w:r>
      <w:r w:rsidR="00517E33">
        <w:rPr>
          <w:lang w:bidi="en-US"/>
        </w:rPr>
        <w:t xml:space="preserve">. Therefore, after injecting PSS slug of 1 </w:t>
      </w:r>
      <w:r w:rsidR="00517E33">
        <w:rPr>
          <w:lang w:bidi="en-US"/>
        </w:rPr>
        <w:lastRenderedPageBreak/>
        <w:t>PV, 0.4 wt. %</w:t>
      </w:r>
      <w:r w:rsidR="00517E33" w:rsidRPr="00517E33">
        <w:rPr>
          <w:lang w:bidi="en-US"/>
        </w:rPr>
        <w:t xml:space="preserve">, sand packed beds are flushed with </w:t>
      </w:r>
      <w:r w:rsidR="0092759C">
        <w:rPr>
          <w:lang w:bidi="en-US"/>
        </w:rPr>
        <w:t>1 PV of brine before injecting s</w:t>
      </w:r>
      <w:r w:rsidR="00517E33" w:rsidRPr="00517E33">
        <w:rPr>
          <w:lang w:bidi="en-US"/>
        </w:rPr>
        <w:t xml:space="preserve">urfactant slug </w:t>
      </w:r>
      <w:r w:rsidR="00791072">
        <w:rPr>
          <w:noProof/>
        </w:rPr>
        <mc:AlternateContent>
          <mc:Choice Requires="wps">
            <w:drawing>
              <wp:anchor distT="0" distB="0" distL="114300" distR="114300" simplePos="0" relativeHeight="251771904" behindDoc="0" locked="0" layoutInCell="1" allowOverlap="1" wp14:anchorId="01F71920" wp14:editId="7F8B8410">
                <wp:simplePos x="0" y="0"/>
                <wp:positionH relativeFrom="column">
                  <wp:posOffset>216535</wp:posOffset>
                </wp:positionH>
                <wp:positionV relativeFrom="paragraph">
                  <wp:posOffset>3168015</wp:posOffset>
                </wp:positionV>
                <wp:extent cx="5109845" cy="659130"/>
                <wp:effectExtent l="0" t="0" r="0" b="7620"/>
                <wp:wrapTopAndBottom/>
                <wp:docPr id="34" name="Text Box 34"/>
                <wp:cNvGraphicFramePr/>
                <a:graphic xmlns:a="http://schemas.openxmlformats.org/drawingml/2006/main">
                  <a:graphicData uri="http://schemas.microsoft.com/office/word/2010/wordprocessingShape">
                    <wps:wsp>
                      <wps:cNvSpPr txBox="1"/>
                      <wps:spPr>
                        <a:xfrm>
                          <a:off x="0" y="0"/>
                          <a:ext cx="5109845" cy="659130"/>
                        </a:xfrm>
                        <a:prstGeom prst="rect">
                          <a:avLst/>
                        </a:prstGeom>
                        <a:solidFill>
                          <a:prstClr val="white"/>
                        </a:solidFill>
                        <a:ln>
                          <a:noFill/>
                        </a:ln>
                        <a:effectLst/>
                      </wps:spPr>
                      <wps:txbx>
                        <w:txbxContent>
                          <w:p w:rsidR="005C410D" w:rsidRPr="00791072" w:rsidRDefault="005C410D" w:rsidP="00791072">
                            <w:pPr>
                              <w:pStyle w:val="Caption"/>
                              <w:rPr>
                                <w:b w:val="0"/>
                              </w:rPr>
                            </w:pPr>
                            <w:bookmarkStart w:id="126" w:name="_Toc426967317"/>
                            <w:r>
                              <w:t xml:space="preserve">Figure </w:t>
                            </w:r>
                            <w:r w:rsidR="001C58A2">
                              <w:fldChar w:fldCharType="begin"/>
                            </w:r>
                            <w:r w:rsidR="001C58A2">
                              <w:instrText xml:space="preserve"> SEQ Figure \* ARABIC </w:instrText>
                            </w:r>
                            <w:r w:rsidR="001C58A2">
                              <w:fldChar w:fldCharType="separate"/>
                            </w:r>
                            <w:r w:rsidR="003F7947">
                              <w:rPr>
                                <w:noProof/>
                              </w:rPr>
                              <w:t>25</w:t>
                            </w:r>
                            <w:r w:rsidR="001C58A2">
                              <w:rPr>
                                <w:noProof/>
                              </w:rPr>
                              <w:fldChar w:fldCharType="end"/>
                            </w:r>
                            <w:r w:rsidRPr="00791072">
                              <w:rPr>
                                <w:b w:val="0"/>
                              </w:rPr>
                              <w:t>.</w:t>
                            </w:r>
                            <w:r w:rsidRPr="00791072">
                              <w:rPr>
                                <w:b w:val="0"/>
                                <w:szCs w:val="22"/>
                              </w:rPr>
                              <w:t xml:space="preserve"> </w:t>
                            </w:r>
                            <w:r w:rsidRPr="00791072">
                              <w:rPr>
                                <w:b w:val="0"/>
                              </w:rPr>
                              <w:t>Effect of 70 KDa PSS (1 PV, 0.4 wt. %) on oil mobilization in Brea sandstone packed bed at reservoir condition (52° C). Surfactant injection protocol: 1 PV, 0.75 wt. %</w:t>
                            </w:r>
                            <w:bookmarkEnd w:id="126"/>
                          </w:p>
                          <w:p w:rsidR="005C410D" w:rsidRPr="00791072" w:rsidRDefault="005C410D" w:rsidP="00791072">
                            <w:pPr>
                              <w:pStyle w:val="Caption"/>
                              <w:rPr>
                                <w:b w:val="0"/>
                              </w:rPr>
                            </w:pPr>
                          </w:p>
                          <w:p w:rsidR="005C410D" w:rsidRPr="00574BE0" w:rsidRDefault="005C410D" w:rsidP="00791072">
                            <w:pPr>
                              <w:pStyle w:val="Caption"/>
                              <w:rPr>
                                <w:szCs w:val="24"/>
                                <w:lang w:bidi="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F71920" id="Text Box 34" o:spid="_x0000_s1049" type="#_x0000_t202" style="position:absolute;left:0;text-align:left;margin-left:17.05pt;margin-top:249.45pt;width:402.35pt;height:51.9pt;z-index:251771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" stroked="f">
                <v:textbox inset="0,0,0,0">
                  <w:txbxContent>
                    <w:p w:rsidR="005C410D" w:rsidRPr="00791072" w:rsidRDefault="005C410D" w:rsidP="00791072">
                      <w:pPr>
                        <w:pStyle w:val="Caption"/>
                        <w:rPr>
                          <w:b w:val="0"/>
                        </w:rPr>
                      </w:pPr>
                      <w:bookmarkStart w:id="151" w:name="_Toc426967317"/>
                      <w:r>
                        <w:t xml:space="preserve">Figure </w:t>
                      </w:r>
                      <w:fldSimple w:instr=" SEQ Figure \* ARABIC ">
                        <w:r w:rsidR="003F7947">
                          <w:rPr>
                            <w:noProof/>
                          </w:rPr>
                          <w:t>25</w:t>
                        </w:r>
                      </w:fldSimple>
                      <w:r w:rsidRPr="00791072">
                        <w:rPr>
                          <w:b w:val="0"/>
                        </w:rPr>
                        <w:t>.</w:t>
                      </w:r>
                      <w:r w:rsidRPr="00791072">
                        <w:rPr>
                          <w:b w:val="0"/>
                          <w:szCs w:val="22"/>
                        </w:rPr>
                        <w:t xml:space="preserve"> </w:t>
                      </w:r>
                      <w:r w:rsidRPr="00791072">
                        <w:rPr>
                          <w:b w:val="0"/>
                        </w:rPr>
                        <w:t>Effect of 70 KDa PSS (1 PV, 0.4 wt. %) on oil mobilization in Brea sandstone packed bed at reservoir condition (52° C). Surfactant injection protocol: 1 PV, 0.75 wt. %</w:t>
                      </w:r>
                      <w:bookmarkEnd w:id="151"/>
                    </w:p>
                    <w:p w:rsidR="005C410D" w:rsidRPr="00791072" w:rsidRDefault="005C410D" w:rsidP="00791072">
                      <w:pPr>
                        <w:pStyle w:val="Caption"/>
                        <w:rPr>
                          <w:b w:val="0"/>
                        </w:rPr>
                      </w:pPr>
                    </w:p>
                    <w:p w:rsidR="005C410D" w:rsidRPr="00574BE0" w:rsidRDefault="005C410D" w:rsidP="00791072">
                      <w:pPr>
                        <w:pStyle w:val="Caption"/>
                        <w:rPr>
                          <w:szCs w:val="24"/>
                          <w:lang w:bidi="en-US"/>
                        </w:rPr>
                      </w:pPr>
                    </w:p>
                  </w:txbxContent>
                </v:textbox>
                <w10:wrap type="topAndBottom"/>
              </v:shape>
            </w:pict>
          </mc:Fallback>
        </mc:AlternateContent>
      </w:r>
      <w:r w:rsidR="00517E33" w:rsidRPr="00517E33">
        <w:rPr>
          <w:noProof/>
        </w:rPr>
        <w:drawing>
          <wp:anchor distT="0" distB="0" distL="114300" distR="114300" simplePos="0" relativeHeight="251759616" behindDoc="0" locked="0" layoutInCell="1" allowOverlap="1" wp14:anchorId="265656CC" wp14:editId="594C99C3">
            <wp:simplePos x="0" y="0"/>
            <wp:positionH relativeFrom="column">
              <wp:posOffset>213360</wp:posOffset>
            </wp:positionH>
            <wp:positionV relativeFrom="page">
              <wp:posOffset>1676400</wp:posOffset>
            </wp:positionV>
            <wp:extent cx="5109845" cy="2352675"/>
            <wp:effectExtent l="0" t="0" r="0" b="9525"/>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a:extLst>
                        <a:ext uri="{BEBA8EAE-BF5A-486C-A8C5-ECC9F3942E4B}">
                          <a14:imgProps xmlns:a14="http://schemas.microsoft.com/office/drawing/2010/main">
                            <a14:imgLayer r:embed="rId68">
                              <a14:imgEffect>
                                <a14:sharpenSoften amount="35000"/>
                              </a14:imgEffect>
                            </a14:imgLayer>
                          </a14:imgProps>
                        </a:ext>
                        <a:ext uri="{28A0092B-C50C-407E-A947-70E740481C1C}">
                          <a14:useLocalDpi xmlns:a14="http://schemas.microsoft.com/office/drawing/2010/main" val="0"/>
                        </a:ext>
                      </a:extLst>
                    </a:blip>
                    <a:srcRect/>
                    <a:stretch>
                      <a:fillRect/>
                    </a:stretch>
                  </pic:blipFill>
                  <pic:spPr bwMode="auto">
                    <a:xfrm>
                      <a:off x="0" y="0"/>
                      <a:ext cx="5109845" cy="2352675"/>
                    </a:xfrm>
                    <a:prstGeom prst="rect">
                      <a:avLst/>
                    </a:prstGeom>
                    <a:noFill/>
                  </pic:spPr>
                </pic:pic>
              </a:graphicData>
            </a:graphic>
            <wp14:sizeRelH relativeFrom="margin">
              <wp14:pctWidth>0</wp14:pctWidth>
            </wp14:sizeRelH>
            <wp14:sizeRelV relativeFrom="margin">
              <wp14:pctHeight>0</wp14:pctHeight>
            </wp14:sizeRelV>
          </wp:anchor>
        </w:drawing>
      </w:r>
      <w:r w:rsidR="00517E33">
        <w:rPr>
          <w:lang w:bidi="en-US"/>
        </w:rPr>
        <w:t>of 1 PV, 0.75 wt. %</w:t>
      </w:r>
      <w:r w:rsidR="00517E33" w:rsidRPr="00517E33">
        <w:rPr>
          <w:lang w:bidi="en-US"/>
        </w:rPr>
        <w:t>.</w:t>
      </w:r>
    </w:p>
    <w:p w:rsidR="00517E33" w:rsidRDefault="00CC15C3" w:rsidP="001F4BBC">
      <w:pPr>
        <w:jc w:val="both"/>
        <w:rPr>
          <w:lang w:bidi="en-US"/>
        </w:rPr>
      </w:pPr>
      <w:r>
        <w:rPr>
          <w:lang w:bidi="en-US"/>
        </w:rPr>
        <w:t>Figure 24</w:t>
      </w:r>
      <w:r w:rsidR="00517E33" w:rsidRPr="00517E33">
        <w:rPr>
          <w:lang w:bidi="en-US"/>
        </w:rPr>
        <w:t xml:space="preserve">, shows the effect of PSS addition on cumulative oil recovery. It can be observed that in the case of 70 KDa PSS, the cumulative oil recovery is about 50 % which is almost two times more than the test without PSS. The observations made during oil displacement process of the test that includes 70 KDa PSS is shown in </w:t>
      </w:r>
      <w:r>
        <w:rPr>
          <w:lang w:bidi="en-US"/>
        </w:rPr>
        <w:t>Figure 25</w:t>
      </w:r>
      <w:r w:rsidR="00517E33" w:rsidRPr="00517E33">
        <w:rPr>
          <w:lang w:bidi="en-US"/>
        </w:rPr>
        <w:t xml:space="preserve">. As observed in </w:t>
      </w:r>
      <w:r>
        <w:rPr>
          <w:lang w:bidi="en-US"/>
        </w:rPr>
        <w:t>Figure 25</w:t>
      </w:r>
      <w:r w:rsidR="00517E33" w:rsidRPr="00517E33">
        <w:rPr>
          <w:lang w:bidi="en-US"/>
        </w:rPr>
        <w:t xml:space="preserve">, the formed oil bank continues to move with the surfactant injection and ultimately reaches the exit of the sand packed after post surfactant water flooding. This behavior is attributed to the role of 70 KDa PSS as a sacrificial agent in lowering surfactant adsorption. </w:t>
      </w:r>
      <w:r>
        <w:rPr>
          <w:lang w:bidi="en-US"/>
        </w:rPr>
        <w:t>Figure 24</w:t>
      </w:r>
      <w:r w:rsidR="00517E33" w:rsidRPr="00517E33">
        <w:rPr>
          <w:lang w:bidi="en-US"/>
        </w:rPr>
        <w:t xml:space="preserve"> also shows that both 250 KDa and 1 MDa PSSs are nearly as effective as 70 KDa PSS in positively impacting oil recovery. These observations are consistent with equilibrium adsorption studies where all three PSSs lowered the surfactant adsorption by similar quantities as shown in </w:t>
      </w:r>
      <w:r>
        <w:rPr>
          <w:lang w:bidi="en-US"/>
        </w:rPr>
        <w:t>Figure 18</w:t>
      </w:r>
      <w:r w:rsidR="00517E33" w:rsidRPr="00517E33">
        <w:rPr>
          <w:lang w:bidi="en-US"/>
        </w:rPr>
        <w:t xml:space="preserve">. In addition, </w:t>
      </w:r>
      <w:r>
        <w:rPr>
          <w:lang w:bidi="en-US"/>
        </w:rPr>
        <w:t>Figure 25</w:t>
      </w:r>
      <w:r w:rsidR="00517E33" w:rsidRPr="00517E33">
        <w:rPr>
          <w:lang w:bidi="en-US"/>
        </w:rPr>
        <w:t xml:space="preserve"> shows that 20 KDa SSMA negatively impacts oil recovery. This behavior is unusual because equilibrium adsorption studies show that 20 KDa SSMA lowers surfactant adsorption </w:t>
      </w:r>
      <w:r w:rsidR="00517E33" w:rsidRPr="00517E33">
        <w:rPr>
          <w:lang w:bidi="en-US"/>
        </w:rPr>
        <w:lastRenderedPageBreak/>
        <w:t xml:space="preserve">even though it is not as effective as other three MW PSSs. A possible explanation may be the wettability alteration. Addition of a thousand ppm of 20 KDa SSMA in brine is found to decrease brine pH from 6.5 to 5.6. It is reported that decrease in pH makes sandstone rock more oil wet which negatively impacts oil recovery </w:t>
      </w:r>
      <w:r w:rsidR="00517E33" w:rsidRPr="00517E33">
        <w:rPr>
          <w:lang w:bidi="en-US"/>
        </w:rPr>
        <w:fldChar w:fldCharType="begin"/>
      </w:r>
      <w:r w:rsidR="00332C11">
        <w:rPr>
          <w:lang w:bidi="en-US"/>
        </w:rPr>
        <w:instrText xml:space="preserve"> ADDIN EN.CITE &lt;EndNote&gt;&lt;Cite&gt;&lt;Author&gt;Aksulu&lt;/Author&gt;&lt;Year&gt;2012&lt;/Year&gt;&lt;RecNum&gt;115&lt;/RecNum&gt;&lt;DisplayText&gt;&lt;style face="superscript"&gt;87&lt;/style&gt;&lt;/DisplayText&gt;&lt;record&gt;&lt;rec-number&gt;115&lt;/rec-number&gt;&lt;foreign-keys&gt;&lt;key app="EN" db-id="a5zz9zdsp2tzdiedrdov0ztx9zwzps0patvs" timestamp="1436128839"&gt;115&lt;/key&gt;&lt;/foreign-keys&gt;&lt;ref-type name="Journal Article"&gt;17&lt;/ref-type&gt;&lt;contributors&gt;&lt;authors&gt;&lt;author&gt;Aksulu, Hakan&lt;/author&gt;&lt;author&gt;Håmsø, Dagny&lt;/author&gt;&lt;author&gt;Strand, Skule&lt;/author&gt;&lt;author&gt;Puntervold, Tina&lt;/author&gt;&lt;author&gt;Austad, Tor&lt;/author&gt;&lt;/authors&gt;&lt;/contributors&gt;&lt;titles&gt;&lt;title&gt;Evaluation of low-salinity enhanced oil recovery effects in sandstone: effects of the temperature and pH gradient&lt;/title&gt;&lt;secondary-title&gt;Energy &amp;amp; Fuels&lt;/secondary-title&gt;&lt;/titles&gt;&lt;periodical&gt;&lt;full-title&gt;Energy &amp;amp; Fuels&lt;/full-title&gt;&lt;/periodical&gt;&lt;pages&gt;3497-3503&lt;/pages&gt;&lt;volume&gt;26&lt;/volume&gt;&lt;number&gt;6&lt;/number&gt;&lt;dates&gt;&lt;year&gt;2012&lt;/year&gt;&lt;/dates&gt;&lt;isbn&gt;0887-0624&lt;/isbn&gt;&lt;urls&gt;&lt;/urls&gt;&lt;/record&gt;&lt;/Cite&gt;&lt;/EndNote&gt;</w:instrText>
      </w:r>
      <w:r w:rsidR="00517E33" w:rsidRPr="00517E33">
        <w:rPr>
          <w:lang w:bidi="en-US"/>
        </w:rPr>
        <w:fldChar w:fldCharType="separate"/>
      </w:r>
      <w:r w:rsidR="00332C11" w:rsidRPr="00332C11">
        <w:rPr>
          <w:noProof/>
          <w:vertAlign w:val="superscript"/>
          <w:lang w:bidi="en-US"/>
        </w:rPr>
        <w:t>87</w:t>
      </w:r>
      <w:r w:rsidR="00517E33" w:rsidRPr="00517E33">
        <w:rPr>
          <w:lang w:bidi="en-US"/>
        </w:rPr>
        <w:fldChar w:fldCharType="end"/>
      </w:r>
      <w:r w:rsidR="00517E33" w:rsidRPr="00517E33">
        <w:rPr>
          <w:lang w:bidi="en-US"/>
        </w:rPr>
        <w:t xml:space="preserve">. Therefore, the pH decreasing tendency of 20 KDa SSMA may have made sandstone rock more oil wet and </w:t>
      </w:r>
      <w:r w:rsidR="00517E33" w:rsidRPr="00517E33">
        <w:rPr>
          <w:noProof/>
        </w:rPr>
        <w:drawing>
          <wp:anchor distT="0" distB="0" distL="114300" distR="114300" simplePos="0" relativeHeight="251762688" behindDoc="0" locked="0" layoutInCell="1" allowOverlap="1" wp14:anchorId="6AB3BCE2" wp14:editId="0C620B49">
            <wp:simplePos x="0" y="0"/>
            <wp:positionH relativeFrom="column">
              <wp:posOffset>60325</wp:posOffset>
            </wp:positionH>
            <wp:positionV relativeFrom="paragraph">
              <wp:posOffset>2505075</wp:posOffset>
            </wp:positionV>
            <wp:extent cx="4991735" cy="3054383"/>
            <wp:effectExtent l="0" t="0" r="0" b="0"/>
            <wp:wrapTopAndBottom/>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991735" cy="30543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7E33" w:rsidRPr="00517E33">
        <w:rPr>
          <w:lang w:bidi="en-US"/>
        </w:rPr>
        <w:t>thus may have negatively affected oil recovery</w:t>
      </w:r>
      <w:r w:rsidR="00517E33">
        <w:rPr>
          <w:lang w:bidi="en-US"/>
        </w:rPr>
        <w:t>.</w:t>
      </w:r>
    </w:p>
    <w:p w:rsidR="00517E33" w:rsidRDefault="00791072" w:rsidP="00517E33">
      <w:pPr>
        <w:jc w:val="both"/>
        <w:rPr>
          <w:lang w:bidi="en-US"/>
        </w:rPr>
      </w:pPr>
      <w:r>
        <w:rPr>
          <w:noProof/>
        </w:rPr>
        <mc:AlternateContent>
          <mc:Choice Requires="wps">
            <w:drawing>
              <wp:anchor distT="0" distB="0" distL="114300" distR="114300" simplePos="0" relativeHeight="251773952" behindDoc="0" locked="0" layoutInCell="1" allowOverlap="1" wp14:anchorId="2857B98D" wp14:editId="48761B62">
                <wp:simplePos x="0" y="0"/>
                <wp:positionH relativeFrom="column">
                  <wp:posOffset>57150</wp:posOffset>
                </wp:positionH>
                <wp:positionV relativeFrom="paragraph">
                  <wp:posOffset>3510280</wp:posOffset>
                </wp:positionV>
                <wp:extent cx="5305425" cy="648335"/>
                <wp:effectExtent l="0" t="0" r="9525" b="0"/>
                <wp:wrapTopAndBottom/>
                <wp:docPr id="36" name="Text Box 36"/>
                <wp:cNvGraphicFramePr/>
                <a:graphic xmlns:a="http://schemas.openxmlformats.org/drawingml/2006/main">
                  <a:graphicData uri="http://schemas.microsoft.com/office/word/2010/wordprocessingShape">
                    <wps:wsp>
                      <wps:cNvSpPr txBox="1"/>
                      <wps:spPr>
                        <a:xfrm>
                          <a:off x="0" y="0"/>
                          <a:ext cx="5305425" cy="648335"/>
                        </a:xfrm>
                        <a:prstGeom prst="rect">
                          <a:avLst/>
                        </a:prstGeom>
                        <a:solidFill>
                          <a:prstClr val="white"/>
                        </a:solidFill>
                        <a:ln>
                          <a:noFill/>
                        </a:ln>
                        <a:effectLst/>
                      </wps:spPr>
                      <wps:txbx>
                        <w:txbxContent>
                          <w:p w:rsidR="005C410D" w:rsidRPr="00791072" w:rsidRDefault="005C410D" w:rsidP="00791072">
                            <w:pPr>
                              <w:pStyle w:val="Caption"/>
                              <w:rPr>
                                <w:b w:val="0"/>
                                <w:szCs w:val="24"/>
                                <w:lang w:bidi="en-US"/>
                              </w:rPr>
                            </w:pPr>
                            <w:bookmarkStart w:id="127" w:name="_Toc426967318"/>
                            <w:r>
                              <w:t xml:space="preserve">Figure </w:t>
                            </w:r>
                            <w:r w:rsidR="001C58A2">
                              <w:fldChar w:fldCharType="begin"/>
                            </w:r>
                            <w:r w:rsidR="001C58A2">
                              <w:instrText xml:space="preserve"> SEQ Figure \* ARABIC </w:instrText>
                            </w:r>
                            <w:r w:rsidR="001C58A2">
                              <w:fldChar w:fldCharType="separate"/>
                            </w:r>
                            <w:r w:rsidR="003F7947">
                              <w:rPr>
                                <w:noProof/>
                              </w:rPr>
                              <w:t>26</w:t>
                            </w:r>
                            <w:r w:rsidR="001C58A2">
                              <w:rPr>
                                <w:noProof/>
                              </w:rPr>
                              <w:fldChar w:fldCharType="end"/>
                            </w:r>
                            <w:r>
                              <w:t xml:space="preserve">. </w:t>
                            </w:r>
                            <w:r w:rsidRPr="00791072">
                              <w:rPr>
                                <w:b w:val="0"/>
                              </w:rPr>
                              <w:t>Effect of PSS (70 KDa) concentration on oil recovery from Brea sandstone packed beds at reservoir condition (52° C). Surfactant injection protocol: 1 PV, 0.75 wt. %</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7B98D" id="Text Box 36" o:spid="_x0000_s1050" type="#_x0000_t202" style="position:absolute;left:0;text-align:left;margin-left:4.5pt;margin-top:276.4pt;width:417.75pt;height:51.0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" stroked="f">
                <v:textbox inset="0,0,0,0">
                  <w:txbxContent>
                    <w:p w:rsidR="005C410D" w:rsidRPr="00791072" w:rsidRDefault="005C410D" w:rsidP="00791072">
                      <w:pPr>
                        <w:pStyle w:val="Caption"/>
                        <w:rPr>
                          <w:b w:val="0"/>
                          <w:szCs w:val="24"/>
                          <w:lang w:bidi="en-US"/>
                        </w:rPr>
                      </w:pPr>
                      <w:bookmarkStart w:id="153" w:name="_Toc426967318"/>
                      <w:r>
                        <w:t xml:space="preserve">Figure </w:t>
                      </w:r>
                      <w:fldSimple w:instr=" SEQ Figure \* ARABIC ">
                        <w:r w:rsidR="003F7947">
                          <w:rPr>
                            <w:noProof/>
                          </w:rPr>
                          <w:t>26</w:t>
                        </w:r>
                      </w:fldSimple>
                      <w:r>
                        <w:t xml:space="preserve">. </w:t>
                      </w:r>
                      <w:r w:rsidRPr="00791072">
                        <w:rPr>
                          <w:b w:val="0"/>
                        </w:rPr>
                        <w:t>Effect of PSS (70 KDa) concentration on oil recovery from Brea sandstone packed beds at reservoir condition (52° C). Surfactant injection protocol: 1 PV, 0.75 wt. %</w:t>
                      </w:r>
                      <w:bookmarkEnd w:id="153"/>
                    </w:p>
                  </w:txbxContent>
                </v:textbox>
                <w10:wrap type="topAndBottom"/>
              </v:shape>
            </w:pict>
          </mc:Fallback>
        </mc:AlternateContent>
      </w:r>
      <w:r w:rsidR="00517E33" w:rsidRPr="00517E33">
        <w:rPr>
          <w:lang w:bidi="en-US"/>
        </w:rPr>
        <w:t xml:space="preserve">The effect of PSS concentration on oil recovery is also studied and is shown in </w:t>
      </w:r>
      <w:r w:rsidR="00CC15C3">
        <w:rPr>
          <w:lang w:bidi="en-US"/>
        </w:rPr>
        <w:t>Figure 26</w:t>
      </w:r>
      <w:r w:rsidR="00517E33" w:rsidRPr="00517E33">
        <w:rPr>
          <w:lang w:bidi="en-US"/>
        </w:rPr>
        <w:t xml:space="preserve">. It is observed that the oil recovery increases with the 70 KDa PSS concentration. However, no significant difference in oil recovery is observed in the cases of 0.4 wt % and 0.8 wt %. This suggest that injecting PSS slug that contains more than 0.4 wt % of PSS does not make a significant difference in lowering surfactant adsorption. A similar observation is also made in equilibrium adsorption studies. </w:t>
      </w:r>
    </w:p>
    <w:p w:rsidR="00517E33" w:rsidRDefault="00517E33" w:rsidP="00517E33">
      <w:pPr>
        <w:pStyle w:val="Heading2"/>
      </w:pPr>
      <w:bookmarkStart w:id="128" w:name="_Toc426374056"/>
      <w:r w:rsidRPr="00517E33">
        <w:lastRenderedPageBreak/>
        <w:t>Conclusions</w:t>
      </w:r>
      <w:bookmarkEnd w:id="128"/>
    </w:p>
    <w:p w:rsidR="00517E33" w:rsidRPr="00517E33" w:rsidRDefault="00517E33" w:rsidP="00517E33">
      <w:pPr>
        <w:jc w:val="both"/>
        <w:rPr>
          <w:lang w:bidi="en-US"/>
        </w:rPr>
      </w:pPr>
      <w:r w:rsidRPr="00517E33">
        <w:rPr>
          <w:lang w:bidi="en-US"/>
        </w:rPr>
        <w:t xml:space="preserve">This work demonstrates the polyelectrolyte, polystyrene sulfonate, to be a promising sacrificial agent for reservoirs containing extremely high TDS brine. The equilibrium surfactant adsorption studies without PSS show severe surfactant adsorption on Brea sandstone under high saline environment. However, after adding PSS, the surfactant adsorption is decreased by more than half. Among four different MW PSSs, the 70 KDa is found to be the most effective while 20 KDa SSMA is the least effective in decreasing surfactant adsorption. The presence of MA block in 20 KDa SSMA is thought to decrease its overall effectiveness by lowering the solution pH. The equilibrium adsorption studies also illustrate that even though 250 KDa and 1 MDa PSSs adsorb less on Brea sandstone compared to 70 KDa PSS, they are as effective as 70 KDa PSS in lowering surfactant adsorption. High surface charge density of high MW polymers is attributed for such observation. </w:t>
      </w:r>
    </w:p>
    <w:p w:rsidR="00517E33" w:rsidRPr="00517E33" w:rsidRDefault="00517E33" w:rsidP="00517E33">
      <w:pPr>
        <w:jc w:val="both"/>
        <w:rPr>
          <w:lang w:bidi="en-US"/>
        </w:rPr>
      </w:pPr>
      <w:r w:rsidRPr="00517E33">
        <w:rPr>
          <w:lang w:bidi="en-US"/>
        </w:rPr>
        <w:t>The dynamic adsorption tests show lower surfactant adsorption compared to equilibrium adsorption studies. This could be the result of short surfactant-sand contact time of about 2 h in dynamic tests. Additionally, the sequential surfactant/PSS addition technique is found to be more effective than the simultaneous addition technique. This observation further verifies the hypothesis proposed by Weston et al. that during sequential addition, PSS does not have to compete with surfactant to adsorb on solid surfaces.</w:t>
      </w:r>
    </w:p>
    <w:p w:rsidR="004511BE" w:rsidRDefault="00517E33" w:rsidP="004511BE">
      <w:pPr>
        <w:jc w:val="both"/>
        <w:rPr>
          <w:lang w:bidi="en-US"/>
        </w:rPr>
      </w:pPr>
      <w:r w:rsidRPr="00517E33">
        <w:rPr>
          <w:lang w:bidi="en-US"/>
        </w:rPr>
        <w:t xml:space="preserve">The sand pack study performed without PSS in a crushed Brea sandstone packed bed shows less than half the recovery compared to the test performed in Ottawa sand packed bed. Also, the oil recovery is found to double in a Brea sand packed bed in the presence of PSS indicating its effectiveness in lowering surfactant adsorption resulting in improved oil recoveries. However, 20 KDa SSMA is found to negatively impact oil recovery. The </w:t>
      </w:r>
      <w:r w:rsidRPr="00517E33">
        <w:rPr>
          <w:lang w:bidi="en-US"/>
        </w:rPr>
        <w:lastRenderedPageBreak/>
        <w:t>hypothesis proposed for such observation is that 20 KDa SSMA</w:t>
      </w:r>
      <w:r w:rsidR="00115BED">
        <w:rPr>
          <w:lang w:bidi="en-US"/>
        </w:rPr>
        <w:t>,</w:t>
      </w:r>
      <w:r w:rsidRPr="00517E33">
        <w:rPr>
          <w:lang w:bidi="en-US"/>
        </w:rPr>
        <w:t xml:space="preserve"> which lowers </w:t>
      </w:r>
      <w:r w:rsidR="00115BED">
        <w:rPr>
          <w:lang w:bidi="en-US"/>
        </w:rPr>
        <w:t xml:space="preserve">the </w:t>
      </w:r>
      <w:r w:rsidRPr="00517E33">
        <w:rPr>
          <w:lang w:bidi="en-US"/>
        </w:rPr>
        <w:t>brine pH</w:t>
      </w:r>
      <w:r w:rsidR="00115BED">
        <w:rPr>
          <w:lang w:bidi="en-US"/>
        </w:rPr>
        <w:t>,</w:t>
      </w:r>
      <w:r w:rsidRPr="00517E33">
        <w:rPr>
          <w:lang w:bidi="en-US"/>
        </w:rPr>
        <w:t xml:space="preserve"> could have increased the oil wet nature of Brea sandstone. Additionally, 70 KDa, 250 KDa, and 1 M PSSs are found to have similar effect on oil recovery suggesting their</w:t>
      </w:r>
      <w:r w:rsidR="00115BED" w:rsidRPr="00115BED">
        <w:rPr>
          <w:lang w:bidi="en-US"/>
        </w:rPr>
        <w:t xml:space="preserve"> potential application in cEOR as a sacrificial agent</w:t>
      </w:r>
      <w:r w:rsidR="00115BED">
        <w:rPr>
          <w:lang w:bidi="en-US"/>
        </w:rPr>
        <w:t>.</w:t>
      </w:r>
    </w:p>
    <w:p w:rsidR="004511BE" w:rsidRDefault="004511BE" w:rsidP="004511BE">
      <w:pPr>
        <w:jc w:val="both"/>
        <w:sectPr w:rsidR="004511BE" w:rsidSect="00270087">
          <w:type w:val="continuous"/>
          <w:pgSz w:w="12240" w:h="15840" w:code="1"/>
          <w:pgMar w:top="1440" w:right="1440" w:bottom="1440" w:left="2304" w:header="720" w:footer="720" w:gutter="0"/>
          <w:cols w:space="720"/>
          <w:docGrid w:linePitch="360"/>
        </w:sectPr>
      </w:pPr>
    </w:p>
    <w:p w:rsidR="002C134D" w:rsidRDefault="002C134D" w:rsidP="004511BE">
      <w:pPr>
        <w:pStyle w:val="Heading1"/>
      </w:pPr>
      <w:bookmarkStart w:id="129" w:name="_Toc426374057"/>
      <w:r w:rsidRPr="002C134D">
        <w:lastRenderedPageBreak/>
        <w:t xml:space="preserve">CHAPTER </w:t>
      </w:r>
      <w:r>
        <w:t>5</w:t>
      </w:r>
      <w:r w:rsidRPr="002C134D">
        <w:t xml:space="preserve">: </w:t>
      </w:r>
      <w:r w:rsidR="008A6857">
        <w:t>Conclusion</w:t>
      </w:r>
      <w:r w:rsidR="00555F51">
        <w:t>s</w:t>
      </w:r>
      <w:r w:rsidR="008A6857">
        <w:t>, Implication</w:t>
      </w:r>
      <w:r w:rsidR="00555F51">
        <w:t>s</w:t>
      </w:r>
      <w:r w:rsidR="008A6857">
        <w:t xml:space="preserve"> and Future Work</w:t>
      </w:r>
      <w:r w:rsidR="00555F51">
        <w:t>s</w:t>
      </w:r>
      <w:bookmarkEnd w:id="129"/>
    </w:p>
    <w:p w:rsidR="008A6857" w:rsidRPr="008A6857" w:rsidRDefault="008A6857" w:rsidP="008A6857">
      <w:pPr>
        <w:jc w:val="both"/>
        <w:rPr>
          <w:lang w:bidi="en-US"/>
        </w:rPr>
      </w:pPr>
      <w:r w:rsidRPr="008A6857">
        <w:rPr>
          <w:lang w:bidi="en-US"/>
        </w:rPr>
        <w:t>The motivation of</w:t>
      </w:r>
      <w:r w:rsidR="0092759C">
        <w:rPr>
          <w:lang w:bidi="en-US"/>
        </w:rPr>
        <w:t xml:space="preserve"> this chapter is to highlight </w:t>
      </w:r>
      <w:r w:rsidR="0092759C" w:rsidRPr="008A6857">
        <w:rPr>
          <w:lang w:bidi="en-US"/>
        </w:rPr>
        <w:t>important</w:t>
      </w:r>
      <w:r w:rsidRPr="008A6857">
        <w:rPr>
          <w:lang w:bidi="en-US"/>
        </w:rPr>
        <w:t xml:space="preserve"> findings of previous three chapters and to show how those findings </w:t>
      </w:r>
      <w:r w:rsidR="00121440">
        <w:rPr>
          <w:lang w:bidi="en-US"/>
        </w:rPr>
        <w:t>relate</w:t>
      </w:r>
      <w:r w:rsidRPr="008A6857">
        <w:rPr>
          <w:lang w:bidi="en-US"/>
        </w:rPr>
        <w:t xml:space="preserve"> to the objective</w:t>
      </w:r>
      <w:r w:rsidR="00424980">
        <w:rPr>
          <w:lang w:bidi="en-US"/>
        </w:rPr>
        <w:t>s</w:t>
      </w:r>
      <w:r w:rsidRPr="008A6857">
        <w:rPr>
          <w:lang w:bidi="en-US"/>
        </w:rPr>
        <w:t xml:space="preserve"> of this dissertation. This chapter also addresses any shortcomings</w:t>
      </w:r>
      <w:r>
        <w:rPr>
          <w:lang w:bidi="en-US"/>
        </w:rPr>
        <w:t xml:space="preserve"> </w:t>
      </w:r>
      <w:r w:rsidRPr="008A6857">
        <w:rPr>
          <w:lang w:bidi="en-US"/>
        </w:rPr>
        <w:t>or limitations of the techniques/principles observed during this research</w:t>
      </w:r>
      <w:r>
        <w:rPr>
          <w:lang w:bidi="en-US"/>
        </w:rPr>
        <w:t xml:space="preserve"> and recommends</w:t>
      </w:r>
      <w:r w:rsidR="0092759C">
        <w:rPr>
          <w:lang w:bidi="en-US"/>
        </w:rPr>
        <w:t xml:space="preserve"> future work</w:t>
      </w:r>
      <w:r w:rsidRPr="008A6857">
        <w:rPr>
          <w:lang w:bidi="en-US"/>
        </w:rPr>
        <w:t xml:space="preserve"> that needs to be done in order to understand or overcome those limitations. Additionally, the potential uses and implications of these findings in other areas of research are also discussed. The overall objectives of this research were to develop a robust surfactant formulation for reservoir containing extremely high TDS brine, to study the viability of HLD method in cEOR, and to test PSSs as a sacrificial agent in minimizing surfactant adsorption on rock surfaces in high TDS Brine.</w:t>
      </w:r>
    </w:p>
    <w:p w:rsidR="008A6857" w:rsidRPr="008A6857" w:rsidRDefault="0092759C" w:rsidP="008A6857">
      <w:pPr>
        <w:jc w:val="both"/>
        <w:rPr>
          <w:lang w:bidi="en-US"/>
        </w:rPr>
      </w:pPr>
      <w:r>
        <w:rPr>
          <w:lang w:bidi="en-US"/>
        </w:rPr>
        <w:t xml:space="preserve">In Chapter 2, </w:t>
      </w:r>
      <w:r w:rsidR="008A6857" w:rsidRPr="008A6857">
        <w:rPr>
          <w:lang w:bidi="en-US"/>
        </w:rPr>
        <w:t xml:space="preserve">alcohol free binary mixtures of sodium alkyl alkoxy sulfates, extended surfactant, and sodium alkyl ethoxy sulfates, SAES, are demonstrated to be a promising basis for surfactant formulation for an extremely high TDS brine. The proposed surfactant formulations meet several criteria of a robust cEOR surfactant formulations. The only limitation of these formulations is that they can only be used in low temperature (&lt; 60°C) reservoirs because the sulfate head groups of both extended and SAES hydrolyzes above 60°C. Therefore, future work is recommended to explore surfactants that are suitable for both extremely high TDS and high temperature reservoir conditions. One possible alternative is to use surfactants that have high temperature resistant sulfonate or carboxylate head groups coupled with high salinity resistant polar groups (ethylene oxides and propylene oxides).  </w:t>
      </w:r>
    </w:p>
    <w:p w:rsidR="008A6857" w:rsidRPr="008A6857" w:rsidRDefault="008A6857" w:rsidP="008A6857">
      <w:pPr>
        <w:jc w:val="both"/>
        <w:rPr>
          <w:lang w:bidi="en-US"/>
        </w:rPr>
      </w:pPr>
      <w:r w:rsidRPr="008A6857">
        <w:rPr>
          <w:lang w:bidi="en-US"/>
        </w:rPr>
        <w:t xml:space="preserve">Chapter 2 also shows that the HLD method can be used as a surfactant pre-screening tool for cEOR. Unlike </w:t>
      </w:r>
      <w:r w:rsidR="00E96C8E" w:rsidRPr="00E96C8E">
        <w:rPr>
          <w:lang w:bidi="en-US"/>
        </w:rPr>
        <w:t xml:space="preserve">quantitative structure-property relationship </w:t>
      </w:r>
      <w:r w:rsidR="00E96C8E">
        <w:rPr>
          <w:lang w:bidi="en-US"/>
        </w:rPr>
        <w:t>(</w:t>
      </w:r>
      <w:r w:rsidRPr="008A6857">
        <w:rPr>
          <w:lang w:bidi="en-US"/>
        </w:rPr>
        <w:t>QSPR</w:t>
      </w:r>
      <w:r w:rsidR="00E96C8E">
        <w:rPr>
          <w:lang w:bidi="en-US"/>
        </w:rPr>
        <w:t>)</w:t>
      </w:r>
      <w:r w:rsidRPr="008A6857">
        <w:rPr>
          <w:lang w:bidi="en-US"/>
        </w:rPr>
        <w:t xml:space="preserve"> technique, the </w:t>
      </w:r>
      <w:r w:rsidRPr="008A6857">
        <w:rPr>
          <w:lang w:bidi="en-US"/>
        </w:rPr>
        <w:lastRenderedPageBreak/>
        <w:t>H</w:t>
      </w:r>
      <w:r w:rsidR="0092759C">
        <w:rPr>
          <w:lang w:bidi="en-US"/>
        </w:rPr>
        <w:t xml:space="preserve">LD method takes into account </w:t>
      </w:r>
      <w:r w:rsidRPr="008A6857">
        <w:rPr>
          <w:lang w:bidi="en-US"/>
        </w:rPr>
        <w:t>the reservoir conditions and accurately predicts ratio between two surfactant at which the optimal Type III microemulsion could form. The only drawback of the HLD method is that it cannot determine the aqueous phase stability of the proposed formulation at the formulation condition. Therefore further study is recommend</w:t>
      </w:r>
      <w:r w:rsidR="0092759C">
        <w:rPr>
          <w:lang w:bidi="en-US"/>
        </w:rPr>
        <w:t>ed</w:t>
      </w:r>
      <w:r w:rsidRPr="008A6857">
        <w:rPr>
          <w:lang w:bidi="en-US"/>
        </w:rPr>
        <w:t xml:space="preserve"> and perhaps the separate studies of surfactant precipitation boundaries and coacervation may provide some insight. In addition, the correct determination of the HLD parameters such as surfactant head constant, K-value, and temperature parameter, αT, are found to govern the accuracy of such correlation. As discussed in chapter 2, it is not possible to determine such parameters for surfactants that do not form clear middle phase microemulsion. Therefore, further study is recommended to explore the techniques that can precisely determine the K-value and α</w:t>
      </w:r>
      <w:r w:rsidRPr="008A6857">
        <w:rPr>
          <w:vertAlign w:val="subscript"/>
          <w:lang w:bidi="en-US"/>
        </w:rPr>
        <w:t>T</w:t>
      </w:r>
      <w:r w:rsidRPr="008A6857">
        <w:rPr>
          <w:lang w:bidi="en-US"/>
        </w:rPr>
        <w:t xml:space="preserve"> value of all surfactant class/family. Perhaps, in theory, this issue could be addressed by mixing surfactant of interest with reference surfactant, AMA, that can form middle phase with variety of oils, constructing graphs of lnS*</w:t>
      </w:r>
      <w:r w:rsidRPr="008A6857">
        <w:rPr>
          <w:vertAlign w:val="subscript"/>
          <w:lang w:bidi="en-US"/>
        </w:rPr>
        <w:t>mix</w:t>
      </w:r>
      <w:r w:rsidRPr="008A6857">
        <w:rPr>
          <w:lang w:bidi="en-US"/>
        </w:rPr>
        <w:t xml:space="preserve"> against EACN and lnS*</w:t>
      </w:r>
      <w:r w:rsidRPr="008A6857">
        <w:rPr>
          <w:vertAlign w:val="subscript"/>
          <w:lang w:bidi="en-US"/>
        </w:rPr>
        <w:t>mix</w:t>
      </w:r>
      <w:r w:rsidRPr="008A6857">
        <w:rPr>
          <w:lang w:bidi="en-US"/>
        </w:rPr>
        <w:t xml:space="preserve"> against </w:t>
      </w:r>
      <w:r w:rsidRPr="008A6857">
        <w:rPr>
          <w:rFonts w:ascii="Cambria Math" w:hAnsi="Cambria Math" w:cs="Cambria Math"/>
          <w:lang w:bidi="en-US"/>
        </w:rPr>
        <w:t>𝛥</w:t>
      </w:r>
      <w:r w:rsidRPr="008A6857">
        <w:rPr>
          <w:lang w:bidi="en-US"/>
        </w:rPr>
        <w:t xml:space="preserve">T, and applying linear surfactant mixing rule as reported by Acosta </w:t>
      </w:r>
      <w:r w:rsidRPr="00C02634">
        <w:rPr>
          <w:i/>
          <w:lang w:bidi="en-US"/>
        </w:rPr>
        <w:t>et al</w:t>
      </w:r>
      <w:r w:rsidRPr="008A6857">
        <w:rPr>
          <w:lang w:bidi="en-US"/>
        </w:rPr>
        <w:t>.</w:t>
      </w:r>
      <w:r w:rsidR="00C02634">
        <w:rPr>
          <w:lang w:bidi="en-US"/>
        </w:rPr>
        <w:fldChar w:fldCharType="begin"/>
      </w:r>
      <w:r w:rsidR="00C02634">
        <w:rPr>
          <w:lang w:bidi="en-US"/>
        </w:rPr>
        <w:instrText xml:space="preserve"> ADDIN EN.CITE &lt;EndNote&gt;&lt;Cite&gt;&lt;Author&gt;Acosta&lt;/Author&gt;&lt;Year&gt;2008&lt;/Year&gt;&lt;RecNum&gt;49&lt;/RecNum&gt;&lt;DisplayText&gt;&lt;style face="superscript"&gt;45&lt;/style&gt;&lt;/DisplayText&gt;&lt;record&gt;&lt;rec-number&gt;49&lt;/rec-number&gt;&lt;foreign-keys&gt;&lt;key app="EN" db-id="a5zz9zdsp2tzdiedrdov0ztx9zwzps0patvs" timestamp="1424742346"&gt;49&lt;/key&gt;&lt;/foreign-keys&gt;&lt;ref-type name="Journal Article"&gt;17&lt;/ref-type&gt;&lt;contributors&gt;&lt;authors&gt;&lt;author&gt;Acosta, Edgar J&lt;/author&gt;&lt;author&gt;Yuan, Jessica Sh&lt;/author&gt;&lt;author&gt;Bhakta, Arti Sh&lt;/author&gt;&lt;/authors&gt;&lt;/contributors&gt;&lt;titles&gt;&lt;title&gt;The characteristic curvature of ionic surfactants&lt;/title&gt;&lt;secondary-title&gt;Journal of Surfactants and Detergents&lt;/secondary-title&gt;&lt;/titles&gt;&lt;periodical&gt;&lt;full-title&gt;Journal of Surfactants and Detergents&lt;/full-title&gt;&lt;/periodical&gt;&lt;pages&gt;145-158&lt;/pages&gt;&lt;volume&gt;11&lt;/volume&gt;&lt;number&gt;2&lt;/number&gt;&lt;dates&gt;&lt;year&gt;2008&lt;/year&gt;&lt;/dates&gt;&lt;isbn&gt;1097-3958&lt;/isbn&gt;&lt;urls&gt;&lt;/urls&gt;&lt;/record&gt;&lt;/Cite&gt;&lt;/EndNote&gt;</w:instrText>
      </w:r>
      <w:r w:rsidR="00C02634">
        <w:rPr>
          <w:lang w:bidi="en-US"/>
        </w:rPr>
        <w:fldChar w:fldCharType="separate"/>
      </w:r>
      <w:r w:rsidR="00C02634" w:rsidRPr="00C02634">
        <w:rPr>
          <w:noProof/>
          <w:vertAlign w:val="superscript"/>
          <w:lang w:bidi="en-US"/>
        </w:rPr>
        <w:t>45</w:t>
      </w:r>
      <w:r w:rsidR="00C02634">
        <w:rPr>
          <w:lang w:bidi="en-US"/>
        </w:rPr>
        <w:fldChar w:fldCharType="end"/>
      </w:r>
      <w:r w:rsidR="00C02634">
        <w:rPr>
          <w:lang w:bidi="en-US"/>
        </w:rPr>
        <w:t>.</w:t>
      </w:r>
      <w:r w:rsidRPr="008A6857">
        <w:rPr>
          <w:lang w:bidi="en-US"/>
        </w:rPr>
        <w:t xml:space="preserve"> Moreover, the HLD concept, which describes microemulsion systems, has been around for nearly three decades but its practical application is still limited. One possible reason </w:t>
      </w:r>
      <w:r w:rsidR="0092759C">
        <w:rPr>
          <w:lang w:bidi="en-US"/>
        </w:rPr>
        <w:t>for</w:t>
      </w:r>
      <w:r w:rsidRPr="008A6857">
        <w:rPr>
          <w:lang w:bidi="en-US"/>
        </w:rPr>
        <w:t xml:space="preserve"> this may be the lack of technique which can accurately determine HLD parameters of majority of surfactants. Therefore, developing such a method may also expand the implication of HLD method in other areas of microemulsions such as drug delivery, detergency, personal care products, and so forth. </w:t>
      </w:r>
    </w:p>
    <w:p w:rsidR="008A6857" w:rsidRPr="008A6857" w:rsidRDefault="008A6857" w:rsidP="008A6857">
      <w:pPr>
        <w:jc w:val="both"/>
        <w:rPr>
          <w:lang w:bidi="en-US"/>
        </w:rPr>
      </w:pPr>
      <w:r w:rsidRPr="008A6857">
        <w:rPr>
          <w:lang w:bidi="en-US"/>
        </w:rPr>
        <w:t xml:space="preserve">Chapter 3 investigates the field feasibility of the surfactant formulations discussed in chapter 2. The field test was conducted at the oil field site located near Guymon, </w:t>
      </w:r>
      <w:r w:rsidRPr="008A6857">
        <w:rPr>
          <w:lang w:bidi="en-US"/>
        </w:rPr>
        <w:lastRenderedPageBreak/>
        <w:t xml:space="preserve">Oklahoma. During this test, SWTTs were implemented before and after surfactant injection to assess the effectiveness of laboratory optimized surfactant formulation. The numerical simulation method applied to interpret field data show 73% Sor reduction after surfactant injection suggesting the viability of proposed formulation in high TDS condition. Although the single well field test is found to be successful in mobilizing residual oil, some unpublished data show a very low success rate of the surfactant-only flooding in full scale inter-well tests. A possible explanation may be the severe surfactant adsorption onto the reservoir rocks which is further addressed in chapter 4.   </w:t>
      </w:r>
    </w:p>
    <w:p w:rsidR="008A6857" w:rsidRPr="008A6857" w:rsidRDefault="008A6857" w:rsidP="008A6857">
      <w:pPr>
        <w:jc w:val="both"/>
        <w:rPr>
          <w:lang w:bidi="en-US"/>
        </w:rPr>
      </w:pPr>
      <w:r w:rsidRPr="008A6857">
        <w:rPr>
          <w:lang w:bidi="en-US"/>
        </w:rPr>
        <w:t>Finally, chapter 4 relates the surfactant adsorption with the high salinity brine</w:t>
      </w:r>
      <w:r>
        <w:rPr>
          <w:lang w:bidi="en-US"/>
        </w:rPr>
        <w:t xml:space="preserve"> and its impact</w:t>
      </w:r>
      <w:r w:rsidRPr="008A6857">
        <w:rPr>
          <w:lang w:bidi="en-US"/>
        </w:rPr>
        <w:t xml:space="preserve"> on oil mobilization. It also investigates the effectiveness of polyelectrolyte, PSS, as a sacrificial agent to minimize adsorption of anionic surfactant on oppositely charged rock surface in high salinity brine. Results show that after adding PSS, the surfactant adsorption on Brea sandstone is significantly minimized. In addition, sand pack studies conducted in the presence of PSS show improved oil recovery with surfactant-only flooding in high TDS brine suggesting the future of PSS as a promising sacrificial agent for cEOR. The other factor that could improve oil recovery is the viscosity of injection slug. Increasing the viscosity of injection solution reduces the fingering effect, improves mobility ratio, and ensure uniform oil displacement which ultimately increases oil recovery. Traditionally, bio-polymers and polyacrylamide are used to increase the viscosity of the injection water/surfactant slug in cEOR. However, these polymers cannot withstand high TDS brine. Therefore, further research needs to be done to explore polyel</w:t>
      </w:r>
      <w:r w:rsidR="0092759C">
        <w:rPr>
          <w:lang w:bidi="en-US"/>
        </w:rPr>
        <w:t>ectrolytes that not only reduce</w:t>
      </w:r>
      <w:r w:rsidRPr="008A6857">
        <w:rPr>
          <w:lang w:bidi="en-US"/>
        </w:rPr>
        <w:t xml:space="preserve"> surfactant adsorption but also increase viscosity at high salinity condition.</w:t>
      </w:r>
    </w:p>
    <w:p w:rsidR="008A6857" w:rsidRPr="008A6857" w:rsidRDefault="008A6857" w:rsidP="008A6857">
      <w:pPr>
        <w:jc w:val="both"/>
        <w:rPr>
          <w:lang w:bidi="en-US"/>
        </w:rPr>
      </w:pPr>
      <w:r w:rsidRPr="008A6857">
        <w:rPr>
          <w:lang w:bidi="en-US"/>
        </w:rPr>
        <w:lastRenderedPageBreak/>
        <w:t>In chapter 4, the efficiency of PSS in reducing the surfactant adsorption and its effect on oil mobilization are evaluated through sand pack studies. These sand pack studies are c</w:t>
      </w:r>
      <w:r w:rsidR="0092759C">
        <w:rPr>
          <w:lang w:bidi="en-US"/>
        </w:rPr>
        <w:t xml:space="preserve">onducted by taking into account </w:t>
      </w:r>
      <w:r w:rsidRPr="008A6857">
        <w:rPr>
          <w:lang w:bidi="en-US"/>
        </w:rPr>
        <w:t xml:space="preserve">two reservoir properties such as temperature and brine salinity. However other properties such as formation rock permeability and pressure may affect the performance of both surfactant formulation and PSS. Therefore, coreflood studies, which can simulate the reservoir conditions, are recommend in order to gain in-depth understanding of the proposed systems.  </w:t>
      </w:r>
    </w:p>
    <w:p w:rsidR="004511BE" w:rsidRDefault="008A6857" w:rsidP="004511BE">
      <w:pPr>
        <w:jc w:val="both"/>
        <w:rPr>
          <w:lang w:bidi="en-US"/>
        </w:rPr>
      </w:pPr>
      <w:r w:rsidRPr="008A6857">
        <w:rPr>
          <w:lang w:bidi="en-US"/>
        </w:rPr>
        <w:t>Currently, there is a growing interest and need for a chelating agent, which is inexpensive and effective, for oil field applications</w:t>
      </w:r>
      <w:r w:rsidR="00FA3A9D">
        <w:rPr>
          <w:lang w:bidi="en-US"/>
        </w:rPr>
        <w:t>,</w:t>
      </w:r>
      <w:r w:rsidRPr="008A6857">
        <w:rPr>
          <w:lang w:bidi="en-US"/>
        </w:rPr>
        <w:t xml:space="preserve"> especially in offshore opportunities. This is because industries prefer to make use of seawater and avoid installation of water hardness softening facility to lower the overall cost of project. Usually seawater contains high amount </w:t>
      </w:r>
      <w:r w:rsidR="0092759C">
        <w:rPr>
          <w:lang w:bidi="en-US"/>
        </w:rPr>
        <w:t xml:space="preserve">of </w:t>
      </w:r>
      <w:r w:rsidRPr="008A6857">
        <w:rPr>
          <w:lang w:bidi="en-US"/>
        </w:rPr>
        <w:t xml:space="preserve">divalent and monovalent metal ions which may lead to the precipitation of vital components such as alkali, surfactant, polymers, and so forth from the injection fluid and thus makes it ineffective. As discussed in chapter 4, PSSs show increased hardness tolerance and </w:t>
      </w:r>
      <w:r w:rsidR="00C02634">
        <w:rPr>
          <w:lang w:bidi="en-US"/>
        </w:rPr>
        <w:t>have high charge density</w:t>
      </w:r>
      <w:r w:rsidRPr="008A6857">
        <w:rPr>
          <w:lang w:bidi="en-US"/>
        </w:rPr>
        <w:t xml:space="preserve"> especially </w:t>
      </w:r>
      <w:r w:rsidR="00FA3A9D">
        <w:rPr>
          <w:lang w:bidi="en-US"/>
        </w:rPr>
        <w:t xml:space="preserve">in </w:t>
      </w:r>
      <w:r w:rsidRPr="008A6857">
        <w:rPr>
          <w:lang w:bidi="en-US"/>
        </w:rPr>
        <w:t>high molecular weight PSS. The high molecular weight PSSs, 250 KDa and 1 MDa, are relatively cheaper, about $1.75/lb, compared to low molecular weight PSS, 70 KDA, which is about $5.0/lb</w:t>
      </w:r>
      <w:r w:rsidR="00E33FB5">
        <w:rPr>
          <w:lang w:bidi="en-US"/>
        </w:rPr>
        <w:t xml:space="preserve"> (information provided by the supplier)</w:t>
      </w:r>
      <w:r w:rsidRPr="008A6857">
        <w:rPr>
          <w:lang w:bidi="en-US"/>
        </w:rPr>
        <w:t>. Therefore, future study is recommended to evaluate the effectiveness of high molecular weight PSS as a chelating agent in hard water. Applications such as offshore hydraulic fracking</w:t>
      </w:r>
      <w:r w:rsidR="00594433">
        <w:rPr>
          <w:lang w:bidi="en-US"/>
        </w:rPr>
        <w:fldChar w:fldCharType="begin"/>
      </w:r>
      <w:r w:rsidR="00332C11">
        <w:rPr>
          <w:lang w:bidi="en-US"/>
        </w:rPr>
        <w:instrText xml:space="preserve"> ADDIN EN.CITE &lt;EndNote&gt;&lt;Cite&gt;&lt;Author&gt;Gidley&lt;/Author&gt;&lt;Year&gt;1989&lt;/Year&gt;&lt;RecNum&gt;146&lt;/RecNum&gt;&lt;DisplayText&gt;&lt;style face="superscript"&gt;88&lt;/style&gt;&lt;/DisplayText&gt;&lt;record&gt;&lt;rec-number&gt;146&lt;/rec-number&gt;&lt;foreign-keys&gt;&lt;key app="EN" db-id="a5zz9zdsp2tzdiedrdov0ztx9zwzps0patvs" timestamp="1437579457"&gt;146&lt;/key&gt;&lt;/foreign-keys&gt;&lt;ref-type name="Journal Article"&gt;17&lt;/ref-type&gt;&lt;contributors&gt;&lt;authors&gt;&lt;author&gt;Gidley, John L&lt;/author&gt;&lt;/authors&gt;&lt;/contributors&gt;&lt;titles&gt;&lt;title&gt;Recent advances in hydraulic fracturing&lt;/title&gt;&lt;/titles&gt;&lt;dates&gt;&lt;year&gt;1989&lt;/year&gt;&lt;/dates&gt;&lt;urls&gt;&lt;/urls&gt;&lt;/record&gt;&lt;/Cite&gt;&lt;/EndNote&gt;</w:instrText>
      </w:r>
      <w:r w:rsidR="00594433">
        <w:rPr>
          <w:lang w:bidi="en-US"/>
        </w:rPr>
        <w:fldChar w:fldCharType="separate"/>
      </w:r>
      <w:r w:rsidR="00332C11" w:rsidRPr="00332C11">
        <w:rPr>
          <w:noProof/>
          <w:vertAlign w:val="superscript"/>
          <w:lang w:bidi="en-US"/>
        </w:rPr>
        <w:t>88</w:t>
      </w:r>
      <w:r w:rsidR="00594433">
        <w:rPr>
          <w:lang w:bidi="en-US"/>
        </w:rPr>
        <w:fldChar w:fldCharType="end"/>
      </w:r>
      <w:r w:rsidRPr="008A6857">
        <w:rPr>
          <w:lang w:bidi="en-US"/>
        </w:rPr>
        <w:t xml:space="preserve"> and flow assurance</w:t>
      </w:r>
      <w:r w:rsidR="00594433">
        <w:rPr>
          <w:lang w:bidi="en-US"/>
        </w:rPr>
        <w:fldChar w:fldCharType="begin"/>
      </w:r>
      <w:r w:rsidR="00332C11">
        <w:rPr>
          <w:lang w:bidi="en-US"/>
        </w:rPr>
        <w:instrText xml:space="preserve"> ADDIN EN.CITE &lt;EndNote&gt;&lt;Cite&gt;&lt;Author&gt;Islam&lt;/Author&gt;&lt;Year&gt;2015&lt;/Year&gt;&lt;RecNum&gt;147&lt;/RecNum&gt;&lt;DisplayText&gt;&lt;style face="superscript"&gt;89&lt;/style&gt;&lt;/DisplayText&gt;&lt;record&gt;&lt;rec-number&gt;147&lt;/rec-number&gt;&lt;foreign-keys&gt;&lt;key app="EN" db-id="a5zz9zdsp2tzdiedrdov0ztx9zwzps0patvs" timestamp="1437579548"&gt;147&lt;/key&gt;&lt;/foreign-keys&gt;&lt;ref-type name="Book"&gt;6&lt;/ref-type&gt;&lt;contributors&gt;&lt;authors&gt;&lt;author&gt;Islam, R.&lt;/author&gt;&lt;/authors&gt;&lt;/contributors&gt;&lt;titles&gt;&lt;title&gt;Flow Assurance&lt;/title&gt;&lt;/titles&gt;&lt;dates&gt;&lt;year&gt;2015&lt;/year&gt;&lt;/dates&gt;&lt;publisher&gt;Wiley&lt;/publisher&gt;&lt;isbn&gt;9780470626085&lt;/isbn&gt;&lt;urls&gt;&lt;related-urls&gt;&lt;url&gt;https://books.google.com/books?id=sGCVuAAACAAJ&lt;/url&gt;&lt;/related-urls&gt;&lt;/urls&gt;&lt;/record&gt;&lt;/Cite&gt;&lt;/EndNote&gt;</w:instrText>
      </w:r>
      <w:r w:rsidR="00594433">
        <w:rPr>
          <w:lang w:bidi="en-US"/>
        </w:rPr>
        <w:fldChar w:fldCharType="separate"/>
      </w:r>
      <w:r w:rsidR="00332C11" w:rsidRPr="00332C11">
        <w:rPr>
          <w:noProof/>
          <w:vertAlign w:val="superscript"/>
          <w:lang w:bidi="en-US"/>
        </w:rPr>
        <w:t>89</w:t>
      </w:r>
      <w:r w:rsidR="00594433">
        <w:rPr>
          <w:lang w:bidi="en-US"/>
        </w:rPr>
        <w:fldChar w:fldCharType="end"/>
      </w:r>
      <w:r w:rsidR="00C02634">
        <w:rPr>
          <w:lang w:bidi="en-US"/>
        </w:rPr>
        <w:t xml:space="preserve"> could benefit from</w:t>
      </w:r>
      <w:r w:rsidRPr="008A6857">
        <w:rPr>
          <w:lang w:bidi="en-US"/>
        </w:rPr>
        <w:t xml:space="preserve"> this research</w:t>
      </w:r>
      <w:bookmarkStart w:id="130" w:name="_Toc310579474"/>
      <w:bookmarkEnd w:id="72"/>
      <w:r w:rsidR="004511BE">
        <w:rPr>
          <w:lang w:bidi="en-US"/>
        </w:rPr>
        <w:t>.</w:t>
      </w:r>
    </w:p>
    <w:p w:rsidR="004511BE" w:rsidRDefault="004511BE" w:rsidP="004511BE">
      <w:pPr>
        <w:jc w:val="both"/>
        <w:rPr>
          <w:lang w:bidi="en-US"/>
        </w:rPr>
        <w:sectPr w:rsidR="004511BE" w:rsidSect="004511BE">
          <w:pgSz w:w="12240" w:h="15840" w:code="1"/>
          <w:pgMar w:top="1440" w:right="1440" w:bottom="1440" w:left="2304" w:header="720" w:footer="720" w:gutter="0"/>
          <w:cols w:space="720"/>
          <w:docGrid w:linePitch="360"/>
        </w:sectPr>
      </w:pPr>
    </w:p>
    <w:p w:rsidR="009B0C46" w:rsidRDefault="00AA0B13" w:rsidP="00836589">
      <w:pPr>
        <w:pStyle w:val="Heading1"/>
      </w:pPr>
      <w:bookmarkStart w:id="131" w:name="_Toc426374058"/>
      <w:r>
        <w:lastRenderedPageBreak/>
        <w:t>References</w:t>
      </w:r>
      <w:bookmarkEnd w:id="130"/>
      <w:bookmarkEnd w:id="131"/>
    </w:p>
    <w:p w:rsidR="00C02634" w:rsidRPr="00C02634" w:rsidRDefault="009B0C46" w:rsidP="00C02634">
      <w:pPr>
        <w:pStyle w:val="EndNoteBibliography"/>
      </w:pPr>
      <w:r>
        <w:fldChar w:fldCharType="begin"/>
      </w:r>
      <w:r>
        <w:instrText xml:space="preserve"> ADDIN EN.REFLIST </w:instrText>
      </w:r>
      <w:r>
        <w:fldChar w:fldCharType="separate"/>
      </w:r>
      <w:r w:rsidR="00C02634" w:rsidRPr="00C02634">
        <w:t xml:space="preserve">(1).  Zitha, P.; Felder, R.; Zornes, D.; Brown, K.; Mohanty, K., Increasing hydrocarbon recovery factors. </w:t>
      </w:r>
      <w:r w:rsidR="00C02634" w:rsidRPr="00C02634">
        <w:rPr>
          <w:i/>
        </w:rPr>
        <w:t xml:space="preserve">SPE Technol. Updates </w:t>
      </w:r>
      <w:r w:rsidR="00C02634" w:rsidRPr="00C02634">
        <w:rPr>
          <w:b/>
        </w:rPr>
        <w:t>2011</w:t>
      </w:r>
      <w:r w:rsidR="00C02634" w:rsidRPr="00C02634">
        <w:t>.</w:t>
      </w:r>
    </w:p>
    <w:p w:rsidR="00C02634" w:rsidRPr="00C02634" w:rsidRDefault="00C02634" w:rsidP="00C02634">
      <w:pPr>
        <w:pStyle w:val="EndNoteBibliography"/>
      </w:pPr>
    </w:p>
    <w:p w:rsidR="00C02634" w:rsidRPr="00C02634" w:rsidRDefault="00C02634" w:rsidP="00C02634">
      <w:pPr>
        <w:pStyle w:val="EndNoteBibliography"/>
      </w:pPr>
      <w:r w:rsidRPr="00C02634">
        <w:t xml:space="preserve">(2).  Lake, L. W.; Venuto, P. B., A niche for enhanced oil recovery in the 1990s. </w:t>
      </w:r>
      <w:r w:rsidRPr="00C02634">
        <w:rPr>
          <w:i/>
        </w:rPr>
        <w:t xml:space="preserve">Oil &amp; Gas Journal </w:t>
      </w:r>
      <w:r w:rsidRPr="00C02634">
        <w:rPr>
          <w:b/>
        </w:rPr>
        <w:t>1990,</w:t>
      </w:r>
      <w:r w:rsidRPr="00C02634">
        <w:t xml:space="preserve"> </w:t>
      </w:r>
      <w:r w:rsidRPr="00C02634">
        <w:rPr>
          <w:i/>
        </w:rPr>
        <w:t>88</w:t>
      </w:r>
      <w:r w:rsidRPr="00C02634">
        <w:t xml:space="preserve"> (17), 62-67.</w:t>
      </w:r>
    </w:p>
    <w:p w:rsidR="00C02634" w:rsidRPr="00C02634" w:rsidRDefault="00C02634" w:rsidP="00C02634">
      <w:pPr>
        <w:pStyle w:val="EndNoteBibliography"/>
      </w:pPr>
    </w:p>
    <w:p w:rsidR="00C02634" w:rsidRPr="00C02634" w:rsidRDefault="00C02634" w:rsidP="00C02634">
      <w:pPr>
        <w:pStyle w:val="EndNoteBibliography"/>
      </w:pPr>
      <w:r w:rsidRPr="00C02634">
        <w:t xml:space="preserve">(3).  Melrose, J., Role of capillary forces in detennining microscopic displacement efficiency for oil recovery by waterflooding. </w:t>
      </w:r>
      <w:r w:rsidRPr="00C02634">
        <w:rPr>
          <w:i/>
        </w:rPr>
        <w:t xml:space="preserve">Journal of Canadian Petroleum Technology </w:t>
      </w:r>
      <w:r w:rsidRPr="00C02634">
        <w:rPr>
          <w:b/>
        </w:rPr>
        <w:t>1974,</w:t>
      </w:r>
      <w:r w:rsidRPr="00C02634">
        <w:t xml:space="preserve"> </w:t>
      </w:r>
      <w:r w:rsidRPr="00C02634">
        <w:rPr>
          <w:i/>
        </w:rPr>
        <w:t>13</w:t>
      </w:r>
      <w:r w:rsidRPr="00C02634">
        <w:t xml:space="preserve"> (04).</w:t>
      </w:r>
    </w:p>
    <w:p w:rsidR="00C02634" w:rsidRPr="00C02634" w:rsidRDefault="00C02634" w:rsidP="00C02634">
      <w:pPr>
        <w:pStyle w:val="EndNoteBibliography"/>
      </w:pPr>
    </w:p>
    <w:p w:rsidR="00C02634" w:rsidRPr="00C02634" w:rsidRDefault="00C02634" w:rsidP="00C02634">
      <w:pPr>
        <w:pStyle w:val="EndNoteBibliography"/>
      </w:pPr>
      <w:r w:rsidRPr="00C02634">
        <w:t xml:space="preserve">(4).  Morrow, N. R., Interplay of capillary, viscous and buoyancy forces in the mobilization of residual oil. </w:t>
      </w:r>
      <w:r w:rsidRPr="00C02634">
        <w:rPr>
          <w:i/>
        </w:rPr>
        <w:t xml:space="preserve">Journal of Canadian Petroleum Technology </w:t>
      </w:r>
      <w:r w:rsidRPr="00C02634">
        <w:rPr>
          <w:b/>
        </w:rPr>
        <w:t>1979,</w:t>
      </w:r>
      <w:r w:rsidRPr="00C02634">
        <w:t xml:space="preserve"> </w:t>
      </w:r>
      <w:r w:rsidRPr="00C02634">
        <w:rPr>
          <w:i/>
        </w:rPr>
        <w:t>18</w:t>
      </w:r>
      <w:r w:rsidRPr="00C02634">
        <w:t xml:space="preserve"> (03).</w:t>
      </w:r>
    </w:p>
    <w:p w:rsidR="00C02634" w:rsidRPr="00C02634" w:rsidRDefault="00C02634" w:rsidP="00C02634">
      <w:pPr>
        <w:pStyle w:val="EndNoteBibliography"/>
      </w:pPr>
    </w:p>
    <w:p w:rsidR="00C02634" w:rsidRPr="00C02634" w:rsidRDefault="00C02634" w:rsidP="00C02634">
      <w:pPr>
        <w:pStyle w:val="EndNoteBibliography"/>
      </w:pPr>
      <w:r w:rsidRPr="00C02634">
        <w:t xml:space="preserve">(5).  Morrow, N.; Chatzis, I.; Taber, J., Entrapment and mobilization of residual oil in bead packs. </w:t>
      </w:r>
      <w:r w:rsidRPr="00C02634">
        <w:rPr>
          <w:i/>
        </w:rPr>
        <w:t xml:space="preserve">SPE Reservoir Engineering </w:t>
      </w:r>
      <w:r w:rsidRPr="00C02634">
        <w:rPr>
          <w:b/>
        </w:rPr>
        <w:t>1988,</w:t>
      </w:r>
      <w:r w:rsidRPr="00C02634">
        <w:t xml:space="preserve"> </w:t>
      </w:r>
      <w:r w:rsidRPr="00C02634">
        <w:rPr>
          <w:i/>
        </w:rPr>
        <w:t>3</w:t>
      </w:r>
      <w:r w:rsidRPr="00C02634">
        <w:t xml:space="preserve"> (03), 927-934.</w:t>
      </w:r>
    </w:p>
    <w:p w:rsidR="00C02634" w:rsidRPr="00C02634" w:rsidRDefault="00C02634" w:rsidP="00C02634">
      <w:pPr>
        <w:pStyle w:val="EndNoteBibliography"/>
      </w:pPr>
    </w:p>
    <w:p w:rsidR="00C02634" w:rsidRPr="00C02634" w:rsidRDefault="00C02634" w:rsidP="00C02634">
      <w:pPr>
        <w:pStyle w:val="EndNoteBibliography"/>
      </w:pPr>
      <w:r w:rsidRPr="00C02634">
        <w:t xml:space="preserve">(6).  Schramm, L. L., </w:t>
      </w:r>
      <w:r w:rsidRPr="00C02634">
        <w:rPr>
          <w:i/>
        </w:rPr>
        <w:t>Surfactants: fundamentals and applications in the petroleum industry</w:t>
      </w:r>
      <w:r w:rsidRPr="00C02634">
        <w:t>. Cambridge University Press: 2000.</w:t>
      </w:r>
    </w:p>
    <w:p w:rsidR="00C02634" w:rsidRPr="00C02634" w:rsidRDefault="00C02634" w:rsidP="00C02634">
      <w:pPr>
        <w:pStyle w:val="EndNoteBibliography"/>
      </w:pPr>
    </w:p>
    <w:p w:rsidR="00C02634" w:rsidRPr="00C02634" w:rsidRDefault="00C02634" w:rsidP="00C02634">
      <w:pPr>
        <w:pStyle w:val="EndNoteBibliography"/>
      </w:pPr>
      <w:r w:rsidRPr="00C02634">
        <w:t xml:space="preserve">(7).  Hirasaki, G.; Miller, C. A.; Puerto, M., Recent advances in surfactant EOR. </w:t>
      </w:r>
      <w:r w:rsidRPr="00C02634">
        <w:rPr>
          <w:i/>
        </w:rPr>
        <w:t xml:space="preserve">SPE Journal </w:t>
      </w:r>
      <w:r w:rsidRPr="00C02634">
        <w:rPr>
          <w:b/>
        </w:rPr>
        <w:t>2011,</w:t>
      </w:r>
      <w:r w:rsidRPr="00C02634">
        <w:t xml:space="preserve"> </w:t>
      </w:r>
      <w:r w:rsidRPr="00C02634">
        <w:rPr>
          <w:i/>
        </w:rPr>
        <w:t>16</w:t>
      </w:r>
      <w:r w:rsidRPr="00C02634">
        <w:t xml:space="preserve"> (04), 889-907.</w:t>
      </w:r>
    </w:p>
    <w:p w:rsidR="00C02634" w:rsidRPr="00C02634" w:rsidRDefault="00C02634" w:rsidP="00C02634">
      <w:pPr>
        <w:pStyle w:val="EndNoteBibliography"/>
      </w:pPr>
    </w:p>
    <w:p w:rsidR="00C02634" w:rsidRPr="00C02634" w:rsidRDefault="00C02634" w:rsidP="00C02634">
      <w:pPr>
        <w:pStyle w:val="EndNoteBibliography"/>
      </w:pPr>
      <w:r w:rsidRPr="00C02634">
        <w:t xml:space="preserve">(8).  Möbius, D.; Miller, R.; Fainerman, V. B., </w:t>
      </w:r>
      <w:r w:rsidRPr="00C02634">
        <w:rPr>
          <w:i/>
        </w:rPr>
        <w:t>Surfactants: chemistry, interfacial properties, applications: chemistry, interfacial properties, applications</w:t>
      </w:r>
      <w:r w:rsidRPr="00C02634">
        <w:t>. Elsevier: 2001; Vol. 13.</w:t>
      </w:r>
    </w:p>
    <w:p w:rsidR="00C02634" w:rsidRPr="00C02634" w:rsidRDefault="00C02634" w:rsidP="00C02634">
      <w:pPr>
        <w:pStyle w:val="EndNoteBibliography"/>
      </w:pPr>
    </w:p>
    <w:p w:rsidR="00C02634" w:rsidRPr="00C02634" w:rsidRDefault="00C02634" w:rsidP="00C02634">
      <w:pPr>
        <w:pStyle w:val="EndNoteBibliography"/>
      </w:pPr>
      <w:r w:rsidRPr="00C02634">
        <w:t xml:space="preserve">(9).  Romsted, L. S., </w:t>
      </w:r>
      <w:r w:rsidRPr="00C02634">
        <w:rPr>
          <w:i/>
        </w:rPr>
        <w:t>Surfactant Science and Technology: Retrospects and Prospects</w:t>
      </w:r>
      <w:r w:rsidRPr="00C02634">
        <w:t>. CRC Press: 2014.</w:t>
      </w:r>
    </w:p>
    <w:p w:rsidR="00C02634" w:rsidRPr="00C02634" w:rsidRDefault="00C02634" w:rsidP="00C02634">
      <w:pPr>
        <w:pStyle w:val="EndNoteBibliography"/>
      </w:pPr>
    </w:p>
    <w:p w:rsidR="00C02634" w:rsidRPr="00C02634" w:rsidRDefault="00C02634" w:rsidP="00C02634">
      <w:pPr>
        <w:pStyle w:val="EndNoteBibliography"/>
      </w:pPr>
      <w:r w:rsidRPr="00C02634">
        <w:t xml:space="preserve">(10).  Ben Shiau, S.; Tzu-Ping Hsu, S.; Prapas Lohateeraparp, M. R.; Mahesh Budhathoki, A. R., Recovery of Oil from High Salinity Reservoir Using Chemical Flooding: From Laboratory to Field Tests. </w:t>
      </w:r>
      <w:r w:rsidRPr="00C02634">
        <w:rPr>
          <w:b/>
        </w:rPr>
        <w:t>2013</w:t>
      </w:r>
      <w:r w:rsidRPr="00C02634">
        <w:t>.</w:t>
      </w:r>
    </w:p>
    <w:p w:rsidR="00C02634" w:rsidRPr="00C02634" w:rsidRDefault="00C02634" w:rsidP="00C02634">
      <w:pPr>
        <w:pStyle w:val="EndNoteBibliography"/>
      </w:pPr>
    </w:p>
    <w:p w:rsidR="00C02634" w:rsidRPr="00C02634" w:rsidRDefault="00C02634" w:rsidP="00C02634">
      <w:pPr>
        <w:pStyle w:val="EndNoteBibliography"/>
      </w:pPr>
      <w:r w:rsidRPr="00C02634">
        <w:t xml:space="preserve">(11).  Puerto, M.; Hirasaki, G. J.; Miller, C. A.; Barnes, J. R., Surfactant systems for EOR in high-temperature, high-salinity environments. </w:t>
      </w:r>
      <w:r w:rsidRPr="00C02634">
        <w:rPr>
          <w:i/>
        </w:rPr>
        <w:t xml:space="preserve">SPE J </w:t>
      </w:r>
      <w:r w:rsidRPr="00C02634">
        <w:rPr>
          <w:b/>
        </w:rPr>
        <w:t>2012,</w:t>
      </w:r>
      <w:r w:rsidRPr="00C02634">
        <w:t xml:space="preserve"> </w:t>
      </w:r>
      <w:r w:rsidRPr="00C02634">
        <w:rPr>
          <w:i/>
        </w:rPr>
        <w:t>17</w:t>
      </w:r>
      <w:r w:rsidRPr="00C02634">
        <w:t xml:space="preserve"> (1), 11-19.</w:t>
      </w:r>
    </w:p>
    <w:p w:rsidR="00C02634" w:rsidRPr="00C02634" w:rsidRDefault="00C02634" w:rsidP="00C02634">
      <w:pPr>
        <w:pStyle w:val="EndNoteBibliography"/>
      </w:pPr>
    </w:p>
    <w:p w:rsidR="00C02634" w:rsidRPr="00C02634" w:rsidRDefault="00C02634" w:rsidP="00C02634">
      <w:pPr>
        <w:pStyle w:val="EndNoteBibliography"/>
      </w:pPr>
      <w:r w:rsidRPr="00C02634">
        <w:t xml:space="preserve">(12).  Levitt, D. B.; Jackson;, A. C.; Heinson, C.; Britton, L. N.; Malik, T.; Dwarakanath, V.; Pope, G. A., Identification and evaluation of high-performance EOR surfactants. </w:t>
      </w:r>
      <w:r w:rsidRPr="00C02634">
        <w:rPr>
          <w:i/>
        </w:rPr>
        <w:t xml:space="preserve">SPE Reservoir Evaluation &amp; Engineering </w:t>
      </w:r>
      <w:r w:rsidRPr="00C02634">
        <w:rPr>
          <w:b/>
        </w:rPr>
        <w:t>2009,</w:t>
      </w:r>
      <w:r w:rsidRPr="00C02634">
        <w:t xml:space="preserve"> </w:t>
      </w:r>
      <w:r w:rsidRPr="00C02634">
        <w:rPr>
          <w:i/>
        </w:rPr>
        <w:t>2</w:t>
      </w:r>
      <w:r w:rsidRPr="00C02634">
        <w:t xml:space="preserve"> (12), 243-253.</w:t>
      </w:r>
    </w:p>
    <w:p w:rsidR="00C02634" w:rsidRPr="00C02634" w:rsidRDefault="00C02634" w:rsidP="00C02634">
      <w:pPr>
        <w:pStyle w:val="EndNoteBibliography"/>
      </w:pPr>
    </w:p>
    <w:p w:rsidR="00C02634" w:rsidRPr="00C02634" w:rsidRDefault="00C02634" w:rsidP="00C02634">
      <w:pPr>
        <w:pStyle w:val="EndNoteBibliography"/>
      </w:pPr>
      <w:r w:rsidRPr="00C02634">
        <w:t xml:space="preserve">(13).  Sahni, V.; Dean, R. M.; Britton, C.; Kim, D. H.; Weerasooriya, U.; Pope, G. A. In </w:t>
      </w:r>
      <w:r w:rsidRPr="00C02634">
        <w:rPr>
          <w:i/>
        </w:rPr>
        <w:t>The role of co-solvents and co-surfactants in making chemical floods robust</w:t>
      </w:r>
      <w:r w:rsidRPr="00C02634">
        <w:t>, SPE Improved Oil Recovery Symposium, Society of Petroleum Engineers: 2010.</w:t>
      </w:r>
    </w:p>
    <w:p w:rsidR="00C02634" w:rsidRPr="00C02634" w:rsidRDefault="00C02634" w:rsidP="00C02634">
      <w:pPr>
        <w:pStyle w:val="EndNoteBibliography"/>
      </w:pPr>
    </w:p>
    <w:p w:rsidR="00C02634" w:rsidRPr="00C02634" w:rsidRDefault="00C02634" w:rsidP="00C02634">
      <w:pPr>
        <w:pStyle w:val="EndNoteBibliography"/>
      </w:pPr>
      <w:r w:rsidRPr="00C02634">
        <w:lastRenderedPageBreak/>
        <w:t xml:space="preserve">(14).  Noïk, C.; Bavière, M.; Defives, D., Anionic surfactant precipitation in hard water. </w:t>
      </w:r>
      <w:r w:rsidRPr="00C02634">
        <w:rPr>
          <w:i/>
        </w:rPr>
        <w:t xml:space="preserve">Journal of colloid and interface science </w:t>
      </w:r>
      <w:r w:rsidRPr="00C02634">
        <w:rPr>
          <w:b/>
        </w:rPr>
        <w:t>1987,</w:t>
      </w:r>
      <w:r w:rsidRPr="00C02634">
        <w:t xml:space="preserve"> </w:t>
      </w:r>
      <w:r w:rsidRPr="00C02634">
        <w:rPr>
          <w:i/>
        </w:rPr>
        <w:t>115</w:t>
      </w:r>
      <w:r w:rsidRPr="00C02634">
        <w:t xml:space="preserve"> (1), 36-45.</w:t>
      </w:r>
    </w:p>
    <w:p w:rsidR="00C02634" w:rsidRPr="00C02634" w:rsidRDefault="00C02634" w:rsidP="00C02634">
      <w:pPr>
        <w:pStyle w:val="EndNoteBibliography"/>
      </w:pPr>
    </w:p>
    <w:p w:rsidR="00C02634" w:rsidRPr="00C02634" w:rsidRDefault="00C02634" w:rsidP="00C02634">
      <w:pPr>
        <w:pStyle w:val="EndNoteBibliography"/>
      </w:pPr>
      <w:r w:rsidRPr="00C02634">
        <w:t xml:space="preserve">(15).  Bansal, V.; Shah, D., The effect of divalent cations (Ca++ and Mg++) on the optimal salinity and salt tolerance of petroleum sulfonate and ethoxylated sulfonate mixtures in relation to improved oil recovery. </w:t>
      </w:r>
      <w:r w:rsidRPr="00C02634">
        <w:rPr>
          <w:i/>
        </w:rPr>
        <w:t xml:space="preserve">Journal of the American Oil Chemists’ Society </w:t>
      </w:r>
      <w:r w:rsidRPr="00C02634">
        <w:rPr>
          <w:b/>
        </w:rPr>
        <w:t>1978,</w:t>
      </w:r>
      <w:r w:rsidRPr="00C02634">
        <w:t xml:space="preserve"> </w:t>
      </w:r>
      <w:r w:rsidRPr="00C02634">
        <w:rPr>
          <w:i/>
        </w:rPr>
        <w:t>55</w:t>
      </w:r>
      <w:r w:rsidRPr="00C02634">
        <w:t xml:space="preserve"> (3), 367-370.</w:t>
      </w:r>
    </w:p>
    <w:p w:rsidR="00C02634" w:rsidRPr="00C02634" w:rsidRDefault="00C02634" w:rsidP="00C02634">
      <w:pPr>
        <w:pStyle w:val="EndNoteBibliography"/>
      </w:pPr>
    </w:p>
    <w:p w:rsidR="00C02634" w:rsidRPr="00C02634" w:rsidRDefault="00C02634" w:rsidP="00C02634">
      <w:pPr>
        <w:pStyle w:val="EndNoteBibliography"/>
      </w:pPr>
      <w:r w:rsidRPr="00C02634">
        <w:t xml:space="preserve">(16).  Tabary, R.; Bazin, B.; Douarche, F.; Moreau, P.; Oukhemanou-Destremaut, F. In </w:t>
      </w:r>
      <w:r w:rsidRPr="00C02634">
        <w:rPr>
          <w:i/>
        </w:rPr>
        <w:t>Surfactant flooding in challenging conditions: Towards hard brines and high temperatures</w:t>
      </w:r>
      <w:r w:rsidRPr="00C02634">
        <w:t>, SPE Middle East Oil and Gas Show and Conference, Society of Petroleum Engineers: 2013.</w:t>
      </w:r>
    </w:p>
    <w:p w:rsidR="00C02634" w:rsidRPr="00C02634" w:rsidRDefault="00C02634" w:rsidP="00C02634">
      <w:pPr>
        <w:pStyle w:val="EndNoteBibliography"/>
      </w:pPr>
    </w:p>
    <w:p w:rsidR="00C02634" w:rsidRPr="00C02634" w:rsidRDefault="00C02634" w:rsidP="00C02634">
      <w:pPr>
        <w:pStyle w:val="EndNoteBibliography"/>
      </w:pPr>
      <w:r w:rsidRPr="00C02634">
        <w:t xml:space="preserve">(17).  Puerto, M. C.; Hirasaki, G. J.; Miller, C. A.; Reznik, C.; Dubey, S.; Barnes, J. R.; vanKuijk, S. In </w:t>
      </w:r>
      <w:r w:rsidRPr="00C02634">
        <w:rPr>
          <w:i/>
        </w:rPr>
        <w:t>Effects of Hardness and Cosurfactant on Phase Behavior of Alcohol-free Alkyl Propoxylated Sulfate Systems</w:t>
      </w:r>
      <w:r w:rsidRPr="00C02634">
        <w:t>, SPE Improved Oil Recovery Symposium, Society of Petroleum Engineers: 2014.</w:t>
      </w:r>
    </w:p>
    <w:p w:rsidR="00C02634" w:rsidRPr="00C02634" w:rsidRDefault="00C02634" w:rsidP="00C02634">
      <w:pPr>
        <w:pStyle w:val="EndNoteBibliography"/>
      </w:pPr>
    </w:p>
    <w:p w:rsidR="00C02634" w:rsidRPr="00C02634" w:rsidRDefault="00C02634" w:rsidP="00C02634">
      <w:pPr>
        <w:pStyle w:val="EndNoteBibliography"/>
      </w:pPr>
      <w:r w:rsidRPr="00C02634">
        <w:t xml:space="preserve">(18).  Krumrine, P. H.; Falcone Jr, J. S.; Campbell, T. C., Surfactant flooding 1: the effect of alkaline additives on IFT, surfactant adsorption, and recovery efficiency. </w:t>
      </w:r>
      <w:r w:rsidRPr="00C02634">
        <w:rPr>
          <w:i/>
        </w:rPr>
        <w:t xml:space="preserve">Society of Petroleum Engineers Journal </w:t>
      </w:r>
      <w:r w:rsidRPr="00C02634">
        <w:rPr>
          <w:b/>
        </w:rPr>
        <w:t>1982,</w:t>
      </w:r>
      <w:r w:rsidRPr="00C02634">
        <w:t xml:space="preserve"> </w:t>
      </w:r>
      <w:r w:rsidRPr="00C02634">
        <w:rPr>
          <w:i/>
        </w:rPr>
        <w:t>22</w:t>
      </w:r>
      <w:r w:rsidRPr="00C02634">
        <w:t xml:space="preserve"> (04), 503-513.</w:t>
      </w:r>
    </w:p>
    <w:p w:rsidR="00C02634" w:rsidRPr="00C02634" w:rsidRDefault="00C02634" w:rsidP="00C02634">
      <w:pPr>
        <w:pStyle w:val="EndNoteBibliography"/>
      </w:pPr>
    </w:p>
    <w:p w:rsidR="00C02634" w:rsidRPr="00C02634" w:rsidRDefault="00C02634" w:rsidP="00C02634">
      <w:pPr>
        <w:pStyle w:val="EndNoteBibliography"/>
      </w:pPr>
      <w:r w:rsidRPr="00C02634">
        <w:t xml:space="preserve">(19).  ShamsiJazeyi, H.; Hirasaki, G. J.; Verduzco, R., Sacrificial Agent for Reducing Adsorption of Anionic Surfactants. </w:t>
      </w:r>
      <w:r w:rsidRPr="00C02634">
        <w:rPr>
          <w:i/>
        </w:rPr>
        <w:t xml:space="preserve">SPE-164061-MS </w:t>
      </w:r>
      <w:r w:rsidRPr="00C02634">
        <w:rPr>
          <w:b/>
        </w:rPr>
        <w:t>2013</w:t>
      </w:r>
      <w:r w:rsidRPr="00C02634">
        <w:t>.</w:t>
      </w:r>
    </w:p>
    <w:p w:rsidR="00C02634" w:rsidRPr="00C02634" w:rsidRDefault="00C02634" w:rsidP="00C02634">
      <w:pPr>
        <w:pStyle w:val="EndNoteBibliography"/>
      </w:pPr>
    </w:p>
    <w:p w:rsidR="00C02634" w:rsidRPr="00C02634" w:rsidRDefault="00C02634" w:rsidP="00C02634">
      <w:pPr>
        <w:pStyle w:val="EndNoteBibliography"/>
      </w:pPr>
      <w:r w:rsidRPr="00C02634">
        <w:t xml:space="preserve">(20).  Wang, D.; Liu, C.; Wu, W.; Wang, G. In </w:t>
      </w:r>
      <w:r w:rsidRPr="00C02634">
        <w:rPr>
          <w:i/>
        </w:rPr>
        <w:t>Novel Surfactants that Attain Ultra-Low Interfacial Tension between Oil and High Salinity Formation Water without adding Alkali, Salts, Co-surfactants, Alcohols and Solvents</w:t>
      </w:r>
      <w:r w:rsidRPr="00C02634">
        <w:t>, SPE EOR Conference at Oil &amp; Gas West Asia, Society of Petroleum Engineers: 2010.</w:t>
      </w:r>
    </w:p>
    <w:p w:rsidR="00C02634" w:rsidRPr="00C02634" w:rsidRDefault="00C02634" w:rsidP="00C02634">
      <w:pPr>
        <w:pStyle w:val="EndNoteBibliography"/>
      </w:pPr>
    </w:p>
    <w:p w:rsidR="00C02634" w:rsidRPr="00C02634" w:rsidRDefault="00C02634" w:rsidP="00C02634">
      <w:pPr>
        <w:pStyle w:val="EndNoteBibliography"/>
      </w:pPr>
      <w:r w:rsidRPr="00C02634">
        <w:t xml:space="preserve">(21).  ShamsiJazeyi, H.; Verduzco, R.; Hirasaki, G. J., Reducing adsorption of anionic surfactant for enhanced oil recovery: Part I. Competitive adsorption mechanism. </w:t>
      </w:r>
      <w:r w:rsidRPr="00C02634">
        <w:rPr>
          <w:i/>
        </w:rPr>
        <w:t xml:space="preserve">Colloids and Surfaces A: Physicochemical and Engineering Aspects </w:t>
      </w:r>
      <w:r w:rsidRPr="00C02634">
        <w:rPr>
          <w:b/>
        </w:rPr>
        <w:t>2014,</w:t>
      </w:r>
      <w:r w:rsidRPr="00C02634">
        <w:t xml:space="preserve"> </w:t>
      </w:r>
      <w:r w:rsidRPr="00C02634">
        <w:rPr>
          <w:i/>
        </w:rPr>
        <w:t>453</w:t>
      </w:r>
      <w:r w:rsidRPr="00C02634">
        <w:t>, 162-167.</w:t>
      </w:r>
    </w:p>
    <w:p w:rsidR="00C02634" w:rsidRPr="00C02634" w:rsidRDefault="00C02634" w:rsidP="00C02634">
      <w:pPr>
        <w:pStyle w:val="EndNoteBibliography"/>
      </w:pPr>
    </w:p>
    <w:p w:rsidR="00C02634" w:rsidRPr="00C02634" w:rsidRDefault="00C02634" w:rsidP="00C02634">
      <w:pPr>
        <w:pStyle w:val="EndNoteBibliography"/>
      </w:pPr>
      <w:r w:rsidRPr="00C02634">
        <w:t xml:space="preserve">(22).  Moreau, P.; Maldonado, A.; Oukhemanou, F.; Creton, B. In </w:t>
      </w:r>
      <w:r w:rsidRPr="00C02634">
        <w:rPr>
          <w:i/>
        </w:rPr>
        <w:t>Application of Quantitative Structure-Property Relationship (QSPR) Method for Chemical EOR Surfactant Selection</w:t>
      </w:r>
      <w:r w:rsidRPr="00C02634">
        <w:t>, SPE International Symposium on Oilfield Chemistry, Society of Petroleum Engineers: 2013.</w:t>
      </w:r>
    </w:p>
    <w:p w:rsidR="00C02634" w:rsidRPr="00C02634" w:rsidRDefault="00C02634" w:rsidP="00C02634">
      <w:pPr>
        <w:pStyle w:val="EndNoteBibliography"/>
      </w:pPr>
    </w:p>
    <w:p w:rsidR="00C02634" w:rsidRPr="00C02634" w:rsidRDefault="00C02634" w:rsidP="00C02634">
      <w:pPr>
        <w:pStyle w:val="EndNoteBibliography"/>
      </w:pPr>
      <w:r w:rsidRPr="00C02634">
        <w:t xml:space="preserve">(23).  Muller, C.; Maldonado, A. G.; Varnek, A.; Creton, B., Prediction of optimal salinities for surfactant formulations using a QSPR approach. </w:t>
      </w:r>
      <w:r w:rsidRPr="00C02634">
        <w:rPr>
          <w:i/>
        </w:rPr>
        <w:t xml:space="preserve">Energy &amp; Fuels </w:t>
      </w:r>
      <w:r w:rsidRPr="00C02634">
        <w:rPr>
          <w:b/>
        </w:rPr>
        <w:t>2015</w:t>
      </w:r>
      <w:r w:rsidRPr="00C02634">
        <w:t>.</w:t>
      </w:r>
    </w:p>
    <w:p w:rsidR="00C02634" w:rsidRPr="00C02634" w:rsidRDefault="00C02634" w:rsidP="00C02634">
      <w:pPr>
        <w:pStyle w:val="EndNoteBibliography"/>
      </w:pPr>
    </w:p>
    <w:p w:rsidR="00C02634" w:rsidRPr="00C02634" w:rsidRDefault="00C02634" w:rsidP="00C02634">
      <w:pPr>
        <w:pStyle w:val="EndNoteBibliography"/>
      </w:pPr>
      <w:r w:rsidRPr="00C02634">
        <w:t xml:space="preserve">(24).  Salager, J.; Morgan, J.; Schechter, R.; Wade, W.; Vasquez, E., Optimum formulation of surfactant/water/oil systems for minimum interfacial tension or phase behavior. </w:t>
      </w:r>
      <w:r w:rsidRPr="00C02634">
        <w:rPr>
          <w:i/>
        </w:rPr>
        <w:t xml:space="preserve">Soc. Pet. Eng. J </w:t>
      </w:r>
      <w:r w:rsidRPr="00C02634">
        <w:rPr>
          <w:b/>
        </w:rPr>
        <w:t>1979,</w:t>
      </w:r>
      <w:r w:rsidRPr="00C02634">
        <w:t xml:space="preserve"> </w:t>
      </w:r>
      <w:r w:rsidRPr="00C02634">
        <w:rPr>
          <w:i/>
        </w:rPr>
        <w:t>19</w:t>
      </w:r>
      <w:r w:rsidRPr="00C02634">
        <w:t xml:space="preserve"> (2), 107-115.</w:t>
      </w:r>
    </w:p>
    <w:p w:rsidR="00C02634" w:rsidRPr="00C02634" w:rsidRDefault="00C02634" w:rsidP="00C02634">
      <w:pPr>
        <w:pStyle w:val="EndNoteBibliography"/>
      </w:pPr>
    </w:p>
    <w:p w:rsidR="00C02634" w:rsidRPr="00C02634" w:rsidRDefault="00C02634" w:rsidP="00C02634">
      <w:pPr>
        <w:pStyle w:val="EndNoteBibliography"/>
      </w:pPr>
      <w:r w:rsidRPr="00C02634">
        <w:t xml:space="preserve">(25).  Deans, H.; Carlisle, C. In </w:t>
      </w:r>
      <w:r w:rsidRPr="00C02634">
        <w:rPr>
          <w:i/>
        </w:rPr>
        <w:t>Single-well tracer test in complex pore systems</w:t>
      </w:r>
      <w:r w:rsidRPr="00C02634">
        <w:t>, SPE Enhanced Oil Recovery Symposium, Society of Petroleum Engineers: 1986.</w:t>
      </w:r>
    </w:p>
    <w:p w:rsidR="00C02634" w:rsidRPr="00C02634" w:rsidRDefault="00C02634" w:rsidP="00C02634">
      <w:pPr>
        <w:pStyle w:val="EndNoteBibliography"/>
      </w:pPr>
    </w:p>
    <w:p w:rsidR="00C02634" w:rsidRPr="00C02634" w:rsidRDefault="00C02634" w:rsidP="00C02634">
      <w:pPr>
        <w:pStyle w:val="EndNoteBibliography"/>
      </w:pPr>
      <w:r w:rsidRPr="00C02634">
        <w:t xml:space="preserve">(26).  Dobrynin, A. V.; Deshkovski, A.; Rubinstein, M., Adsorption of polyelectrolytes at an oppositely charged surface. </w:t>
      </w:r>
      <w:r w:rsidRPr="00C02634">
        <w:rPr>
          <w:i/>
        </w:rPr>
        <w:t xml:space="preserve">Physical review letters </w:t>
      </w:r>
      <w:r w:rsidRPr="00C02634">
        <w:rPr>
          <w:b/>
        </w:rPr>
        <w:t>2000,</w:t>
      </w:r>
      <w:r w:rsidRPr="00C02634">
        <w:t xml:space="preserve"> </w:t>
      </w:r>
      <w:r w:rsidRPr="00C02634">
        <w:rPr>
          <w:i/>
        </w:rPr>
        <w:t>84</w:t>
      </w:r>
      <w:r w:rsidRPr="00C02634">
        <w:t xml:space="preserve"> (14), 3101.</w:t>
      </w:r>
    </w:p>
    <w:p w:rsidR="00C02634" w:rsidRPr="00C02634" w:rsidRDefault="00C02634" w:rsidP="00C02634">
      <w:pPr>
        <w:pStyle w:val="EndNoteBibliography"/>
      </w:pPr>
    </w:p>
    <w:p w:rsidR="00C02634" w:rsidRPr="00C02634" w:rsidRDefault="00C02634" w:rsidP="00C02634">
      <w:pPr>
        <w:pStyle w:val="EndNoteBibliography"/>
      </w:pPr>
      <w:r w:rsidRPr="00C02634">
        <w:t xml:space="preserve">(27).  Weston, J. S.; Harwell, J. H.; Shiau, B. J.; Kabir, M., Disrupting admicelle formation and preventing surfactant adsorption on metal oxide surfaces using sacrificial polyelectrolytes. </w:t>
      </w:r>
      <w:r w:rsidRPr="00C02634">
        <w:rPr>
          <w:i/>
        </w:rPr>
        <w:t xml:space="preserve">Langmuir </w:t>
      </w:r>
      <w:r w:rsidRPr="00C02634">
        <w:rPr>
          <w:b/>
        </w:rPr>
        <w:t>2014,</w:t>
      </w:r>
      <w:r w:rsidRPr="00C02634">
        <w:t xml:space="preserve"> </w:t>
      </w:r>
      <w:r w:rsidRPr="00C02634">
        <w:rPr>
          <w:i/>
        </w:rPr>
        <w:t>30</w:t>
      </w:r>
      <w:r w:rsidRPr="00C02634">
        <w:t xml:space="preserve"> (22), 6384-6388.</w:t>
      </w:r>
    </w:p>
    <w:p w:rsidR="00C02634" w:rsidRPr="00C02634" w:rsidRDefault="00C02634" w:rsidP="00C02634">
      <w:pPr>
        <w:pStyle w:val="EndNoteBibliography"/>
      </w:pPr>
    </w:p>
    <w:p w:rsidR="00C02634" w:rsidRPr="00C02634" w:rsidRDefault="00C02634" w:rsidP="00C02634">
      <w:pPr>
        <w:pStyle w:val="EndNoteBibliography"/>
      </w:pPr>
      <w:r w:rsidRPr="00C02634">
        <w:t xml:space="preserve">(28).  Salager, J.-L.; Forgiarini, A. M.; Bullón, J., How to attain ultralow interfacial tension and three-phase behavior with surfactant formulation for enhanced oil recovery: a review. Part 1. Optimum formulation for simple surfactant–oil–water ternary systems. </w:t>
      </w:r>
      <w:r w:rsidRPr="00C02634">
        <w:rPr>
          <w:i/>
        </w:rPr>
        <w:t xml:space="preserve">Journal of Surfactants and Detergents </w:t>
      </w:r>
      <w:r w:rsidRPr="00C02634">
        <w:rPr>
          <w:b/>
        </w:rPr>
        <w:t>2013,</w:t>
      </w:r>
      <w:r w:rsidRPr="00C02634">
        <w:t xml:space="preserve"> </w:t>
      </w:r>
      <w:r w:rsidRPr="00C02634">
        <w:rPr>
          <w:i/>
        </w:rPr>
        <w:t>16</w:t>
      </w:r>
      <w:r w:rsidRPr="00C02634">
        <w:t xml:space="preserve"> (4), 449-472.</w:t>
      </w:r>
    </w:p>
    <w:p w:rsidR="00C02634" w:rsidRPr="00C02634" w:rsidRDefault="00C02634" w:rsidP="00C02634">
      <w:pPr>
        <w:pStyle w:val="EndNoteBibliography"/>
      </w:pPr>
    </w:p>
    <w:p w:rsidR="00C02634" w:rsidRPr="00C02634" w:rsidRDefault="00C02634" w:rsidP="00C02634">
      <w:pPr>
        <w:pStyle w:val="EndNoteBibliography"/>
      </w:pPr>
      <w:r w:rsidRPr="00C02634">
        <w:t xml:space="preserve">(29).  Salager, J.-L.; Antón, R. E.; Sabatini, D. A.; Harwell, J. H.; Acosta, E. J.; Tolosa, L. I., Enhancing solubilization in microemulsions—state of the art and current trends. </w:t>
      </w:r>
      <w:r w:rsidRPr="00C02634">
        <w:rPr>
          <w:i/>
        </w:rPr>
        <w:t xml:space="preserve">Journal of surfactants and detergents </w:t>
      </w:r>
      <w:r w:rsidRPr="00C02634">
        <w:rPr>
          <w:b/>
        </w:rPr>
        <w:t>2005,</w:t>
      </w:r>
      <w:r w:rsidRPr="00C02634">
        <w:t xml:space="preserve"> </w:t>
      </w:r>
      <w:r w:rsidRPr="00C02634">
        <w:rPr>
          <w:i/>
        </w:rPr>
        <w:t>8</w:t>
      </w:r>
      <w:r w:rsidRPr="00C02634">
        <w:t xml:space="preserve"> (1), 3-21.</w:t>
      </w:r>
    </w:p>
    <w:p w:rsidR="00C02634" w:rsidRPr="00C02634" w:rsidRDefault="00C02634" w:rsidP="00C02634">
      <w:pPr>
        <w:pStyle w:val="EndNoteBibliography"/>
      </w:pPr>
    </w:p>
    <w:p w:rsidR="00C02634" w:rsidRPr="00C02634" w:rsidRDefault="00C02634" w:rsidP="00C02634">
      <w:pPr>
        <w:pStyle w:val="EndNoteBibliography"/>
      </w:pPr>
      <w:r w:rsidRPr="00C02634">
        <w:t xml:space="preserve">(30).  Chiu, Y.; Hwang, H., The use of carboxymethyl ethoxylates in enhanced oil recovery. </w:t>
      </w:r>
      <w:r w:rsidRPr="00C02634">
        <w:rPr>
          <w:i/>
        </w:rPr>
        <w:t xml:space="preserve">Colloids and surfaces </w:t>
      </w:r>
      <w:r w:rsidRPr="00C02634">
        <w:rPr>
          <w:b/>
        </w:rPr>
        <w:t>1987,</w:t>
      </w:r>
      <w:r w:rsidRPr="00C02634">
        <w:t xml:space="preserve"> </w:t>
      </w:r>
      <w:r w:rsidRPr="00C02634">
        <w:rPr>
          <w:i/>
        </w:rPr>
        <w:t>28</w:t>
      </w:r>
      <w:r w:rsidRPr="00C02634">
        <w:t>, 53-65.</w:t>
      </w:r>
    </w:p>
    <w:p w:rsidR="00C02634" w:rsidRPr="00C02634" w:rsidRDefault="00C02634" w:rsidP="00C02634">
      <w:pPr>
        <w:pStyle w:val="EndNoteBibliography"/>
      </w:pPr>
    </w:p>
    <w:p w:rsidR="00C02634" w:rsidRPr="00C02634" w:rsidRDefault="00C02634" w:rsidP="00C02634">
      <w:pPr>
        <w:pStyle w:val="EndNoteBibliography"/>
      </w:pPr>
      <w:r w:rsidRPr="00C02634">
        <w:t xml:space="preserve">(31).  Stellner, K. L.; Scamehorn, J. F., Hardness tolerance of anionic surfactant solutions. 2. Effect of added nonionic surfactant. </w:t>
      </w:r>
      <w:r w:rsidRPr="00C02634">
        <w:rPr>
          <w:i/>
        </w:rPr>
        <w:t xml:space="preserve">Langmuir </w:t>
      </w:r>
      <w:r w:rsidRPr="00C02634">
        <w:rPr>
          <w:b/>
        </w:rPr>
        <w:t>1989,</w:t>
      </w:r>
      <w:r w:rsidRPr="00C02634">
        <w:t xml:space="preserve"> </w:t>
      </w:r>
      <w:r w:rsidRPr="00C02634">
        <w:rPr>
          <w:i/>
        </w:rPr>
        <w:t>5</w:t>
      </w:r>
      <w:r w:rsidRPr="00C02634">
        <w:t xml:space="preserve"> (1), 77-84.</w:t>
      </w:r>
    </w:p>
    <w:p w:rsidR="00C02634" w:rsidRPr="00C02634" w:rsidRDefault="00C02634" w:rsidP="00C02634">
      <w:pPr>
        <w:pStyle w:val="EndNoteBibliography"/>
      </w:pPr>
    </w:p>
    <w:p w:rsidR="00C02634" w:rsidRPr="00C02634" w:rsidRDefault="00C02634" w:rsidP="00C02634">
      <w:pPr>
        <w:pStyle w:val="EndNoteBibliography"/>
      </w:pPr>
      <w:r w:rsidRPr="00C02634">
        <w:t xml:space="preserve">(32).  Cacace, M.; Landau, E.; Ramsden, J., The Hofmeister series: salt and solvent effects on interfacial phenomena. </w:t>
      </w:r>
      <w:r w:rsidRPr="00C02634">
        <w:rPr>
          <w:i/>
        </w:rPr>
        <w:t xml:space="preserve">Quarterly reviews of biophysics </w:t>
      </w:r>
      <w:r w:rsidRPr="00C02634">
        <w:rPr>
          <w:b/>
        </w:rPr>
        <w:t>1997,</w:t>
      </w:r>
      <w:r w:rsidRPr="00C02634">
        <w:t xml:space="preserve"> </w:t>
      </w:r>
      <w:r w:rsidRPr="00C02634">
        <w:rPr>
          <w:i/>
        </w:rPr>
        <w:t>30</w:t>
      </w:r>
      <w:r w:rsidRPr="00C02634">
        <w:t xml:space="preserve"> (03), 241-277.</w:t>
      </w:r>
    </w:p>
    <w:p w:rsidR="00C02634" w:rsidRPr="00C02634" w:rsidRDefault="00C02634" w:rsidP="00C02634">
      <w:pPr>
        <w:pStyle w:val="EndNoteBibliography"/>
      </w:pPr>
    </w:p>
    <w:p w:rsidR="00C02634" w:rsidRPr="00C02634" w:rsidRDefault="00C02634" w:rsidP="00C02634">
      <w:pPr>
        <w:pStyle w:val="EndNoteBibliography"/>
      </w:pPr>
      <w:r w:rsidRPr="00C02634">
        <w:t xml:space="preserve">(33).  Minana-Perez, M.; Graciaa, A.; Lachaise, J.; Salager, J. In </w:t>
      </w:r>
      <w:r w:rsidRPr="00C02634">
        <w:rPr>
          <w:i/>
        </w:rPr>
        <w:t>Systems containing mixtures of extended surfactants and conventional nonionics. Phase behavior and solubilization in microemulsion</w:t>
      </w:r>
      <w:r w:rsidRPr="00C02634">
        <w:t>, Proceedings of 4th World surfactants congress, 1996; pp 226-234.</w:t>
      </w:r>
    </w:p>
    <w:p w:rsidR="00C02634" w:rsidRPr="00C02634" w:rsidRDefault="00C02634" w:rsidP="00C02634">
      <w:pPr>
        <w:pStyle w:val="EndNoteBibliography"/>
      </w:pPr>
    </w:p>
    <w:p w:rsidR="00C02634" w:rsidRPr="00C02634" w:rsidRDefault="00C02634" w:rsidP="00C02634">
      <w:pPr>
        <w:pStyle w:val="EndNoteBibliography"/>
      </w:pPr>
      <w:r w:rsidRPr="00C02634">
        <w:t xml:space="preserve">(34).  Witthayapanyanon, A.; Acosta, E.; Harwell, J.; Sabatini, D., Formulation of ultralow interfacial tension systems using extended surfactants. </w:t>
      </w:r>
      <w:r w:rsidRPr="00C02634">
        <w:rPr>
          <w:i/>
        </w:rPr>
        <w:t xml:space="preserve">Journal of surfactants and detergents </w:t>
      </w:r>
      <w:r w:rsidRPr="00C02634">
        <w:rPr>
          <w:b/>
        </w:rPr>
        <w:t>2006,</w:t>
      </w:r>
      <w:r w:rsidRPr="00C02634">
        <w:t xml:space="preserve"> </w:t>
      </w:r>
      <w:r w:rsidRPr="00C02634">
        <w:rPr>
          <w:i/>
        </w:rPr>
        <w:t>9</w:t>
      </w:r>
      <w:r w:rsidRPr="00C02634">
        <w:t xml:space="preserve"> (4), 331-339.</w:t>
      </w:r>
    </w:p>
    <w:p w:rsidR="00C02634" w:rsidRPr="00C02634" w:rsidRDefault="00C02634" w:rsidP="00C02634">
      <w:pPr>
        <w:pStyle w:val="EndNoteBibliography"/>
      </w:pPr>
    </w:p>
    <w:p w:rsidR="00C02634" w:rsidRPr="00C02634" w:rsidRDefault="00C02634" w:rsidP="00C02634">
      <w:pPr>
        <w:pStyle w:val="EndNoteBibliography"/>
      </w:pPr>
      <w:r w:rsidRPr="00C02634">
        <w:t xml:space="preserve">(35).  Winsor, P. A., </w:t>
      </w:r>
      <w:r w:rsidRPr="00C02634">
        <w:rPr>
          <w:i/>
        </w:rPr>
        <w:t>Solvent properties of amphiphilic compounds</w:t>
      </w:r>
      <w:r w:rsidRPr="00C02634">
        <w:t>. Butterworths Scientific Publications: 1954.</w:t>
      </w:r>
    </w:p>
    <w:p w:rsidR="00C02634" w:rsidRPr="00C02634" w:rsidRDefault="00C02634" w:rsidP="00C02634">
      <w:pPr>
        <w:pStyle w:val="EndNoteBibliography"/>
      </w:pPr>
    </w:p>
    <w:p w:rsidR="00C02634" w:rsidRPr="00C02634" w:rsidRDefault="00C02634" w:rsidP="00C02634">
      <w:pPr>
        <w:pStyle w:val="EndNoteBibliography"/>
      </w:pPr>
      <w:r w:rsidRPr="00C02634">
        <w:t xml:space="preserve">(36).  Talley, L. D., Hydrolytic stability of alkylethoxy sulfates. </w:t>
      </w:r>
      <w:r w:rsidRPr="00C02634">
        <w:rPr>
          <w:i/>
        </w:rPr>
        <w:t xml:space="preserve">SPE Reservoir Engineering </w:t>
      </w:r>
      <w:r w:rsidRPr="00C02634">
        <w:rPr>
          <w:b/>
        </w:rPr>
        <w:t>1988,</w:t>
      </w:r>
      <w:r w:rsidRPr="00C02634">
        <w:t xml:space="preserve"> </w:t>
      </w:r>
      <w:r w:rsidRPr="00C02634">
        <w:rPr>
          <w:i/>
        </w:rPr>
        <w:t>3</w:t>
      </w:r>
      <w:r w:rsidRPr="00C02634">
        <w:t xml:space="preserve"> (01), 235-242.</w:t>
      </w:r>
    </w:p>
    <w:p w:rsidR="00C02634" w:rsidRPr="00C02634" w:rsidRDefault="00C02634" w:rsidP="00C02634">
      <w:pPr>
        <w:pStyle w:val="EndNoteBibliography"/>
      </w:pPr>
    </w:p>
    <w:p w:rsidR="00C02634" w:rsidRPr="00C02634" w:rsidRDefault="00C02634" w:rsidP="00C02634">
      <w:pPr>
        <w:pStyle w:val="EndNoteBibliography"/>
      </w:pPr>
      <w:r w:rsidRPr="00C02634">
        <w:lastRenderedPageBreak/>
        <w:t xml:space="preserve">(37).  Lu, J.; Britton, C.; Solairaj, S.; Liyanage, P. J.; Kim, D. H.; Adkins, S.; Arachchilage, G. W.; Weerasooriya, U.; Pope, G. A., Novel large-hydrophobe alkoxy carboxylate surfactants for enhanced oil recovery. </w:t>
      </w:r>
      <w:r w:rsidRPr="00C02634">
        <w:rPr>
          <w:i/>
        </w:rPr>
        <w:t xml:space="preserve">SPE Journal </w:t>
      </w:r>
      <w:r w:rsidRPr="00C02634">
        <w:rPr>
          <w:b/>
        </w:rPr>
        <w:t>2014,</w:t>
      </w:r>
      <w:r w:rsidRPr="00C02634">
        <w:t xml:space="preserve">  (Preprint).</w:t>
      </w:r>
    </w:p>
    <w:p w:rsidR="00C02634" w:rsidRPr="00C02634" w:rsidRDefault="00C02634" w:rsidP="00C02634">
      <w:pPr>
        <w:pStyle w:val="EndNoteBibliography"/>
      </w:pPr>
    </w:p>
    <w:p w:rsidR="00C02634" w:rsidRPr="00C02634" w:rsidRDefault="00C02634" w:rsidP="00C02634">
      <w:pPr>
        <w:pStyle w:val="EndNoteBibliography"/>
      </w:pPr>
      <w:r w:rsidRPr="00C02634">
        <w:t xml:space="preserve">(38).  Yang, H.; Britton, C.; Pathma, J. L.; Solairaj, S.; Kim, D. H., Low-cost, high-performance chemicals for enhanced oil recovery. In </w:t>
      </w:r>
      <w:r w:rsidRPr="00C02634">
        <w:rPr>
          <w:i/>
        </w:rPr>
        <w:t>In SPE Improved Oil Recovery Symposium</w:t>
      </w:r>
      <w:r w:rsidRPr="00C02634">
        <w:t>, Society of Petroleum Engineers: 2010.</w:t>
      </w:r>
    </w:p>
    <w:p w:rsidR="00C02634" w:rsidRPr="00C02634" w:rsidRDefault="00C02634" w:rsidP="00C02634">
      <w:pPr>
        <w:pStyle w:val="EndNoteBibliography"/>
      </w:pPr>
    </w:p>
    <w:p w:rsidR="00C02634" w:rsidRPr="00C02634" w:rsidRDefault="00C02634" w:rsidP="00C02634">
      <w:pPr>
        <w:pStyle w:val="EndNoteBibliography"/>
      </w:pPr>
      <w:r w:rsidRPr="00C02634">
        <w:t xml:space="preserve">(39).  Shiau, B. J. B.; Harwell, J. H.; Lohateeraparp, P.; Dinh, A. V.; Roberts, B. L.; Hsu, T.-P.; Anwuri, O. I. In </w:t>
      </w:r>
      <w:r w:rsidRPr="00C02634">
        <w:rPr>
          <w:i/>
        </w:rPr>
        <w:t>Designing alcohol-free surfactant chemical flood for oil recovery</w:t>
      </w:r>
      <w:r w:rsidRPr="00C02634">
        <w:t>, SPE EOR Conference at Oil &amp; Gas West Asia, Society of Petroleum Engineers: 2010.</w:t>
      </w:r>
    </w:p>
    <w:p w:rsidR="00C02634" w:rsidRPr="00C02634" w:rsidRDefault="00C02634" w:rsidP="00C02634">
      <w:pPr>
        <w:pStyle w:val="EndNoteBibliography"/>
      </w:pPr>
    </w:p>
    <w:p w:rsidR="00C02634" w:rsidRPr="00C02634" w:rsidRDefault="00C02634" w:rsidP="00C02634">
      <w:pPr>
        <w:pStyle w:val="EndNoteBibliography"/>
      </w:pPr>
      <w:r w:rsidRPr="00C02634">
        <w:t xml:space="preserve">(40).  Sanz, C.; Pope, G. In </w:t>
      </w:r>
      <w:r w:rsidRPr="00C02634">
        <w:rPr>
          <w:i/>
        </w:rPr>
        <w:t>Alcohol-free chemical flooding: from surfactant screening to coreflood design</w:t>
      </w:r>
      <w:r w:rsidRPr="00C02634">
        <w:t>, Paper SPE 28956, presented at the International Symposium on Oilfield Chemistry, San Antonio, Texas, 1995; pp 14-17.</w:t>
      </w:r>
    </w:p>
    <w:p w:rsidR="00C02634" w:rsidRPr="00C02634" w:rsidRDefault="00C02634" w:rsidP="00C02634">
      <w:pPr>
        <w:pStyle w:val="EndNoteBibliography"/>
      </w:pPr>
    </w:p>
    <w:p w:rsidR="00C02634" w:rsidRPr="00C02634" w:rsidRDefault="00C02634" w:rsidP="00C02634">
      <w:pPr>
        <w:pStyle w:val="EndNoteBibliography"/>
      </w:pPr>
      <w:r w:rsidRPr="00C02634">
        <w:t xml:space="preserve">(41).  Hsu, T.-P.; Prapas, L.; Wang, X.; Budhathoki, M.; Shiau, B. B., Improved oil recovery by chemical flood from high salinity reservoirs-single-well surfactant injection test. In </w:t>
      </w:r>
      <w:r w:rsidRPr="00C02634">
        <w:rPr>
          <w:i/>
        </w:rPr>
        <w:t>In SPE EOR Conference at Oil and Gas West Asia</w:t>
      </w:r>
      <w:r w:rsidRPr="00C02634">
        <w:t>, Society of Petroleum Engineers: 2012.</w:t>
      </w:r>
    </w:p>
    <w:p w:rsidR="00C02634" w:rsidRPr="00C02634" w:rsidRDefault="00C02634" w:rsidP="00C02634">
      <w:pPr>
        <w:pStyle w:val="EndNoteBibliography"/>
      </w:pPr>
    </w:p>
    <w:p w:rsidR="00C02634" w:rsidRPr="00C02634" w:rsidRDefault="00C02634" w:rsidP="00C02634">
      <w:pPr>
        <w:pStyle w:val="EndNoteBibliography"/>
      </w:pPr>
      <w:r w:rsidRPr="00C02634">
        <w:t xml:space="preserve">(42).  Davies, J. In </w:t>
      </w:r>
      <w:r w:rsidRPr="00C02634">
        <w:rPr>
          <w:i/>
        </w:rPr>
        <w:t>A quantitative kinetic theory of emulsion type, I. Physical chemistry of the emulsifying agent</w:t>
      </w:r>
      <w:r w:rsidRPr="00C02634">
        <w:t>, Gas/Liquid and Liquid/Liquid Interface. Proceedings of the International Congress of Surface Activity, 1957; pp 426-438.</w:t>
      </w:r>
    </w:p>
    <w:p w:rsidR="00C02634" w:rsidRPr="00C02634" w:rsidRDefault="00C02634" w:rsidP="00C02634">
      <w:pPr>
        <w:pStyle w:val="EndNoteBibliography"/>
      </w:pPr>
    </w:p>
    <w:p w:rsidR="00C02634" w:rsidRPr="00C02634" w:rsidRDefault="00C02634" w:rsidP="00C02634">
      <w:pPr>
        <w:pStyle w:val="EndNoteBibliography"/>
      </w:pPr>
      <w:r w:rsidRPr="00C02634">
        <w:t xml:space="preserve">(43).  Skauge, A.; Fotland, P., Effect of pressure and temperature on the phase behavior of microemulsions. </w:t>
      </w:r>
      <w:r w:rsidRPr="00C02634">
        <w:rPr>
          <w:i/>
        </w:rPr>
        <w:t xml:space="preserve">SPE Reservoir Engineering </w:t>
      </w:r>
      <w:r w:rsidRPr="00C02634">
        <w:rPr>
          <w:b/>
        </w:rPr>
        <w:t>1990,</w:t>
      </w:r>
      <w:r w:rsidRPr="00C02634">
        <w:t xml:space="preserve"> </w:t>
      </w:r>
      <w:r w:rsidRPr="00C02634">
        <w:rPr>
          <w:i/>
        </w:rPr>
        <w:t>5</w:t>
      </w:r>
      <w:r w:rsidRPr="00C02634">
        <w:t xml:space="preserve"> (04), 601-608.</w:t>
      </w:r>
    </w:p>
    <w:p w:rsidR="00C02634" w:rsidRPr="00C02634" w:rsidRDefault="00C02634" w:rsidP="00C02634">
      <w:pPr>
        <w:pStyle w:val="EndNoteBibliography"/>
      </w:pPr>
    </w:p>
    <w:p w:rsidR="00C02634" w:rsidRPr="00C02634" w:rsidRDefault="00C02634" w:rsidP="00C02634">
      <w:pPr>
        <w:pStyle w:val="EndNoteBibliography"/>
      </w:pPr>
      <w:r w:rsidRPr="00C02634">
        <w:t xml:space="preserve">(44).  Ghosh, S.; Johns, R. T. In </w:t>
      </w:r>
      <w:r w:rsidRPr="00C02634">
        <w:rPr>
          <w:i/>
        </w:rPr>
        <w:t>A New HLD-NAC Based EOS Approach to Predict Surfactant-Oil-Brine Phase Behavior for Live Oil at Reservoir Pressure and Temperature</w:t>
      </w:r>
      <w:r w:rsidRPr="00C02634">
        <w:t>, SPE Annual Technical Conference and Exhibition, Society of Petroleum Engineers: 2014.</w:t>
      </w:r>
    </w:p>
    <w:p w:rsidR="00C02634" w:rsidRPr="00C02634" w:rsidRDefault="00C02634" w:rsidP="00C02634">
      <w:pPr>
        <w:pStyle w:val="EndNoteBibliography"/>
      </w:pPr>
    </w:p>
    <w:p w:rsidR="00C02634" w:rsidRPr="00C02634" w:rsidRDefault="00C02634" w:rsidP="00C02634">
      <w:pPr>
        <w:pStyle w:val="EndNoteBibliography"/>
      </w:pPr>
      <w:r w:rsidRPr="00C02634">
        <w:t xml:space="preserve">(45).  Acosta, E. J.; Yuan, J. S.; Bhakta, A. S., The characteristic curvature of ionic surfactants. </w:t>
      </w:r>
      <w:r w:rsidRPr="00C02634">
        <w:rPr>
          <w:i/>
        </w:rPr>
        <w:t xml:space="preserve">Journal of Surfactants and Detergents </w:t>
      </w:r>
      <w:r w:rsidRPr="00C02634">
        <w:rPr>
          <w:b/>
        </w:rPr>
        <w:t>2008,</w:t>
      </w:r>
      <w:r w:rsidRPr="00C02634">
        <w:t xml:space="preserve"> </w:t>
      </w:r>
      <w:r w:rsidRPr="00C02634">
        <w:rPr>
          <w:i/>
        </w:rPr>
        <w:t>11</w:t>
      </w:r>
      <w:r w:rsidRPr="00C02634">
        <w:t xml:space="preserve"> (2), 145-158.</w:t>
      </w:r>
    </w:p>
    <w:p w:rsidR="00C02634" w:rsidRPr="00C02634" w:rsidRDefault="00C02634" w:rsidP="00C02634">
      <w:pPr>
        <w:pStyle w:val="EndNoteBibliography"/>
      </w:pPr>
    </w:p>
    <w:p w:rsidR="00C02634" w:rsidRPr="00C02634" w:rsidRDefault="00C02634" w:rsidP="00C02634">
      <w:pPr>
        <w:pStyle w:val="EndNoteBibliography"/>
      </w:pPr>
      <w:r w:rsidRPr="00C02634">
        <w:t xml:space="preserve">(46).  Trahan, G.; Nguyen, T.; Jakobs-Sauter, B. In </w:t>
      </w:r>
      <w:r w:rsidRPr="00C02634">
        <w:rPr>
          <w:i/>
        </w:rPr>
        <w:t>Applying the Hydrophilic–Lipophilic Deviation (HLD) Concept to Chemical EOR Formulations</w:t>
      </w:r>
      <w:r w:rsidRPr="00C02634">
        <w:t>, IOR 2015-18th European Symposium on Improved Oil Recovery, 2015.</w:t>
      </w:r>
    </w:p>
    <w:p w:rsidR="00C02634" w:rsidRPr="00C02634" w:rsidRDefault="00C02634" w:rsidP="00C02634">
      <w:pPr>
        <w:pStyle w:val="EndNoteBibliography"/>
      </w:pPr>
    </w:p>
    <w:p w:rsidR="00C02634" w:rsidRPr="00C02634" w:rsidRDefault="00C02634" w:rsidP="00C02634">
      <w:pPr>
        <w:pStyle w:val="EndNoteBibliography"/>
      </w:pPr>
      <w:r w:rsidRPr="00C02634">
        <w:t xml:space="preserve">(47).  Witthayapanyanon, A.; Harwell, J.; Sabatini, D., Hydrophilic–lipophilic deviation (HLD) method for characterizing conventional and extended surfactants. </w:t>
      </w:r>
      <w:r w:rsidRPr="00C02634">
        <w:rPr>
          <w:i/>
        </w:rPr>
        <w:t xml:space="preserve">Journal of colloid and interface science </w:t>
      </w:r>
      <w:r w:rsidRPr="00C02634">
        <w:rPr>
          <w:b/>
        </w:rPr>
        <w:t>2008,</w:t>
      </w:r>
      <w:r w:rsidRPr="00C02634">
        <w:t xml:space="preserve"> </w:t>
      </w:r>
      <w:r w:rsidRPr="00C02634">
        <w:rPr>
          <w:i/>
        </w:rPr>
        <w:t>325</w:t>
      </w:r>
      <w:r w:rsidRPr="00C02634">
        <w:t xml:space="preserve"> (1), 259-266.</w:t>
      </w:r>
    </w:p>
    <w:p w:rsidR="00C02634" w:rsidRPr="00C02634" w:rsidRDefault="00C02634" w:rsidP="00C02634">
      <w:pPr>
        <w:pStyle w:val="EndNoteBibliography"/>
      </w:pPr>
    </w:p>
    <w:p w:rsidR="00C02634" w:rsidRPr="00C02634" w:rsidRDefault="00C02634" w:rsidP="00C02634">
      <w:pPr>
        <w:pStyle w:val="EndNoteBibliography"/>
      </w:pPr>
      <w:r w:rsidRPr="00C02634">
        <w:lastRenderedPageBreak/>
        <w:t xml:space="preserve">(48).  Hammond, C. E.; Acosta, E. J., On the characteristic curvature of alkyl-polypropylene oxide sulfate extended surfactants. </w:t>
      </w:r>
      <w:r w:rsidRPr="00C02634">
        <w:rPr>
          <w:i/>
        </w:rPr>
        <w:t xml:space="preserve">Journal of Surfactants and Detergents </w:t>
      </w:r>
      <w:r w:rsidRPr="00C02634">
        <w:rPr>
          <w:b/>
        </w:rPr>
        <w:t>2012,</w:t>
      </w:r>
      <w:r w:rsidRPr="00C02634">
        <w:t xml:space="preserve"> </w:t>
      </w:r>
      <w:r w:rsidRPr="00C02634">
        <w:rPr>
          <w:i/>
        </w:rPr>
        <w:t>15</w:t>
      </w:r>
      <w:r w:rsidRPr="00C02634">
        <w:t xml:space="preserve"> (2), 157-165.</w:t>
      </w:r>
    </w:p>
    <w:p w:rsidR="00C02634" w:rsidRPr="00C02634" w:rsidRDefault="00C02634" w:rsidP="00C02634">
      <w:pPr>
        <w:pStyle w:val="EndNoteBibliography"/>
      </w:pPr>
    </w:p>
    <w:p w:rsidR="00C02634" w:rsidRPr="00C02634" w:rsidRDefault="00C02634" w:rsidP="00C02634">
      <w:pPr>
        <w:pStyle w:val="EndNoteBibliography"/>
      </w:pPr>
      <w:r w:rsidRPr="00C02634">
        <w:t xml:space="preserve">(49).  Velásquez, J.; Scorzza, C.; Vejar, F.; Forgiarini, A. M.; Antón, R. E.; Salager, J.-L., Effect of temperature and other variables on the optimum formulation of anionic extended surfactant–alkane–brine systems. </w:t>
      </w:r>
      <w:r w:rsidRPr="00C02634">
        <w:rPr>
          <w:i/>
        </w:rPr>
        <w:t xml:space="preserve">Journal of surfactants and detergents </w:t>
      </w:r>
      <w:r w:rsidRPr="00C02634">
        <w:rPr>
          <w:b/>
        </w:rPr>
        <w:t>2010,</w:t>
      </w:r>
      <w:r w:rsidRPr="00C02634">
        <w:t xml:space="preserve"> </w:t>
      </w:r>
      <w:r w:rsidRPr="00C02634">
        <w:rPr>
          <w:i/>
        </w:rPr>
        <w:t>13</w:t>
      </w:r>
      <w:r w:rsidRPr="00C02634">
        <w:t xml:space="preserve"> (1), 69-73.</w:t>
      </w:r>
    </w:p>
    <w:p w:rsidR="00C02634" w:rsidRPr="00C02634" w:rsidRDefault="00C02634" w:rsidP="00C02634">
      <w:pPr>
        <w:pStyle w:val="EndNoteBibliography"/>
      </w:pPr>
    </w:p>
    <w:p w:rsidR="00C02634" w:rsidRPr="00C02634" w:rsidRDefault="00C02634" w:rsidP="00C02634">
      <w:pPr>
        <w:pStyle w:val="EndNoteBibliography"/>
      </w:pPr>
      <w:r w:rsidRPr="00C02634">
        <w:t xml:space="preserve">(50).  Rosen, M. J.; Kunjappu, J. T., </w:t>
      </w:r>
      <w:r w:rsidRPr="00C02634">
        <w:rPr>
          <w:i/>
        </w:rPr>
        <w:t>Surfactants and interfacial phenomena</w:t>
      </w:r>
      <w:r w:rsidRPr="00C02634">
        <w:t>. John Wiley &amp; Sons: 2012.</w:t>
      </w:r>
    </w:p>
    <w:p w:rsidR="00C02634" w:rsidRPr="00C02634" w:rsidRDefault="00C02634" w:rsidP="00C02634">
      <w:pPr>
        <w:pStyle w:val="EndNoteBibliography"/>
      </w:pPr>
    </w:p>
    <w:p w:rsidR="00C02634" w:rsidRPr="00C02634" w:rsidRDefault="00C02634" w:rsidP="00C02634">
      <w:pPr>
        <w:pStyle w:val="EndNoteBibliography"/>
      </w:pPr>
      <w:r w:rsidRPr="00C02634">
        <w:t xml:space="preserve">(51).  Skauge, A.; Palmgren, O., Phase behavior and solution properties of ethoxylated anionic surfactants. </w:t>
      </w:r>
      <w:r w:rsidRPr="00C02634">
        <w:rPr>
          <w:i/>
        </w:rPr>
        <w:t xml:space="preserve">SPE </w:t>
      </w:r>
      <w:r w:rsidRPr="00C02634">
        <w:rPr>
          <w:b/>
        </w:rPr>
        <w:t>1989,</w:t>
      </w:r>
      <w:r w:rsidRPr="00C02634">
        <w:t xml:space="preserve"> </w:t>
      </w:r>
      <w:r w:rsidRPr="00C02634">
        <w:rPr>
          <w:i/>
        </w:rPr>
        <w:t>18499</w:t>
      </w:r>
      <w:r w:rsidRPr="00C02634">
        <w:t>, 355-366.</w:t>
      </w:r>
    </w:p>
    <w:p w:rsidR="00C02634" w:rsidRPr="00C02634" w:rsidRDefault="00C02634" w:rsidP="00C02634">
      <w:pPr>
        <w:pStyle w:val="EndNoteBibliography"/>
      </w:pPr>
    </w:p>
    <w:p w:rsidR="00C02634" w:rsidRPr="00C02634" w:rsidRDefault="00C02634" w:rsidP="00C02634">
      <w:pPr>
        <w:pStyle w:val="EndNoteBibliography"/>
      </w:pPr>
      <w:r w:rsidRPr="00C02634">
        <w:t xml:space="preserve">(52).  Antón, R.; Graciaa, A.; Lachaise, J.; Salager, J., Surfactant-oil-water systems near the affinity inversion part viii: optimum formulation and phase behavior of mixed anionic-nonionic systems versus temperature. </w:t>
      </w:r>
      <w:r w:rsidRPr="00C02634">
        <w:rPr>
          <w:i/>
        </w:rPr>
        <w:t xml:space="preserve">Journal of dispersion science and technology </w:t>
      </w:r>
      <w:r w:rsidRPr="00C02634">
        <w:rPr>
          <w:b/>
        </w:rPr>
        <w:t>1992,</w:t>
      </w:r>
      <w:r w:rsidRPr="00C02634">
        <w:t xml:space="preserve"> </w:t>
      </w:r>
      <w:r w:rsidRPr="00C02634">
        <w:rPr>
          <w:i/>
        </w:rPr>
        <w:t>13</w:t>
      </w:r>
      <w:r w:rsidRPr="00C02634">
        <w:t xml:space="preserve"> (5), 565-579.</w:t>
      </w:r>
    </w:p>
    <w:p w:rsidR="00C02634" w:rsidRPr="00C02634" w:rsidRDefault="00C02634" w:rsidP="00C02634">
      <w:pPr>
        <w:pStyle w:val="EndNoteBibliography"/>
      </w:pPr>
    </w:p>
    <w:p w:rsidR="00C02634" w:rsidRPr="00C02634" w:rsidRDefault="00C02634" w:rsidP="00C02634">
      <w:pPr>
        <w:pStyle w:val="EndNoteBibliography"/>
      </w:pPr>
      <w:r w:rsidRPr="00C02634">
        <w:t xml:space="preserve">(53).  Kumar P, M. K., </w:t>
      </w:r>
      <w:r w:rsidRPr="00C02634">
        <w:rPr>
          <w:i/>
        </w:rPr>
        <w:t>Handbook of microemulsion science and technology</w:t>
      </w:r>
      <w:r w:rsidRPr="00C02634">
        <w:t>. Marcel Dekker: New York, 1999.</w:t>
      </w:r>
    </w:p>
    <w:p w:rsidR="00C02634" w:rsidRPr="00C02634" w:rsidRDefault="00C02634" w:rsidP="00C02634">
      <w:pPr>
        <w:pStyle w:val="EndNoteBibliography"/>
      </w:pPr>
    </w:p>
    <w:p w:rsidR="00C02634" w:rsidRPr="00C02634" w:rsidRDefault="00C02634" w:rsidP="00C02634">
      <w:pPr>
        <w:pStyle w:val="EndNoteBibliography"/>
      </w:pPr>
      <w:r w:rsidRPr="00C02634">
        <w:t xml:space="preserve">(54).  Flaaten, A.; Nguyen, Q. P.; Pope, G. A.; Zhang, J., A systematic laboratory approach to low-cost, high-performance chemical flooding. </w:t>
      </w:r>
      <w:r w:rsidRPr="00C02634">
        <w:rPr>
          <w:i/>
        </w:rPr>
        <w:t xml:space="preserve">SPE Reservoir Evaluation &amp; Engineering </w:t>
      </w:r>
      <w:r w:rsidRPr="00C02634">
        <w:rPr>
          <w:b/>
        </w:rPr>
        <w:t>2009,</w:t>
      </w:r>
      <w:r w:rsidRPr="00C02634">
        <w:t xml:space="preserve"> </w:t>
      </w:r>
      <w:r w:rsidRPr="00C02634">
        <w:rPr>
          <w:i/>
        </w:rPr>
        <w:t>12</w:t>
      </w:r>
      <w:r w:rsidRPr="00C02634">
        <w:t xml:space="preserve"> (05), 713-723.</w:t>
      </w:r>
    </w:p>
    <w:p w:rsidR="00C02634" w:rsidRPr="00C02634" w:rsidRDefault="00C02634" w:rsidP="00C02634">
      <w:pPr>
        <w:pStyle w:val="EndNoteBibliography"/>
      </w:pPr>
    </w:p>
    <w:p w:rsidR="00C02634" w:rsidRPr="00C02634" w:rsidRDefault="00C02634" w:rsidP="00C02634">
      <w:pPr>
        <w:pStyle w:val="EndNoteBibliography"/>
      </w:pPr>
      <w:r w:rsidRPr="00C02634">
        <w:t xml:space="preserve">(55).  Shah, D. O., and R.S. Schechter (eds), </w:t>
      </w:r>
      <w:r w:rsidRPr="00C02634">
        <w:rPr>
          <w:i/>
        </w:rPr>
        <w:t>Improved Oil Recovery by Surfactant and Polymer Flooding</w:t>
      </w:r>
      <w:r w:rsidRPr="00C02634">
        <w:t>. Academic Press: New York, 1977.</w:t>
      </w:r>
    </w:p>
    <w:p w:rsidR="00C02634" w:rsidRPr="00C02634" w:rsidRDefault="00C02634" w:rsidP="00C02634">
      <w:pPr>
        <w:pStyle w:val="EndNoteBibliography"/>
      </w:pPr>
    </w:p>
    <w:p w:rsidR="00C02634" w:rsidRPr="00C02634" w:rsidRDefault="00C02634" w:rsidP="00C02634">
      <w:pPr>
        <w:pStyle w:val="EndNoteBibliography"/>
      </w:pPr>
      <w:r w:rsidRPr="00C02634">
        <w:t xml:space="preserve">(56).  Rosen, M. J.; Wang, H.; Shen, P.; Zhu, Y., Ultralow interfacial tension for enhanced oil recovery at very low surfactant concentrations. </w:t>
      </w:r>
      <w:r w:rsidRPr="00C02634">
        <w:rPr>
          <w:i/>
        </w:rPr>
        <w:t xml:space="preserve">Langmuir </w:t>
      </w:r>
      <w:r w:rsidRPr="00C02634">
        <w:rPr>
          <w:b/>
        </w:rPr>
        <w:t>2005,</w:t>
      </w:r>
      <w:r w:rsidRPr="00C02634">
        <w:t xml:space="preserve"> </w:t>
      </w:r>
      <w:r w:rsidRPr="00C02634">
        <w:rPr>
          <w:i/>
        </w:rPr>
        <w:t>21</w:t>
      </w:r>
      <w:r w:rsidRPr="00C02634">
        <w:t xml:space="preserve"> (9), 3749-3756.</w:t>
      </w:r>
    </w:p>
    <w:p w:rsidR="00C02634" w:rsidRPr="00C02634" w:rsidRDefault="00C02634" w:rsidP="00C02634">
      <w:pPr>
        <w:pStyle w:val="EndNoteBibliography"/>
      </w:pPr>
    </w:p>
    <w:p w:rsidR="00C02634" w:rsidRPr="00C02634" w:rsidRDefault="00C02634" w:rsidP="00C02634">
      <w:pPr>
        <w:pStyle w:val="EndNoteBibliography"/>
      </w:pPr>
      <w:r w:rsidRPr="00C02634">
        <w:t xml:space="preserve">(57).  Reed, R. L.; Healy, R. N., Some physicochemical aspects of microemulsion flooding: a review. </w:t>
      </w:r>
      <w:r w:rsidRPr="00C02634">
        <w:rPr>
          <w:i/>
        </w:rPr>
        <w:t xml:space="preserve">Improved Oil Recovery by Surfactant and Polymer Flooding </w:t>
      </w:r>
      <w:r w:rsidRPr="00C02634">
        <w:rPr>
          <w:b/>
        </w:rPr>
        <w:t>1977</w:t>
      </w:r>
      <w:r w:rsidRPr="00C02634">
        <w:t>, 383-437.</w:t>
      </w:r>
    </w:p>
    <w:p w:rsidR="00C02634" w:rsidRPr="00C02634" w:rsidRDefault="00C02634" w:rsidP="00C02634">
      <w:pPr>
        <w:pStyle w:val="EndNoteBibliography"/>
      </w:pPr>
    </w:p>
    <w:p w:rsidR="00C02634" w:rsidRPr="00C02634" w:rsidRDefault="00C02634" w:rsidP="00C02634">
      <w:pPr>
        <w:pStyle w:val="EndNoteBibliography"/>
      </w:pPr>
      <w:r w:rsidRPr="00C02634">
        <w:t xml:space="preserve">(58).  Stegemeier, G. L. In </w:t>
      </w:r>
      <w:r w:rsidRPr="00C02634">
        <w:rPr>
          <w:i/>
        </w:rPr>
        <w:t>Relationship of Trapped Oil Saturation to Petrophysical Properties of Porous Media</w:t>
      </w:r>
      <w:r w:rsidRPr="00C02634">
        <w:t>, SPE Improved Oil Recovery Symposium, Society of Petroleum Engineers: 1974.</w:t>
      </w:r>
    </w:p>
    <w:p w:rsidR="00C02634" w:rsidRPr="00C02634" w:rsidRDefault="00C02634" w:rsidP="00C02634">
      <w:pPr>
        <w:pStyle w:val="EndNoteBibliography"/>
      </w:pPr>
    </w:p>
    <w:p w:rsidR="00C02634" w:rsidRPr="00C02634" w:rsidRDefault="00C02634" w:rsidP="00C02634">
      <w:pPr>
        <w:pStyle w:val="EndNoteBibliography"/>
      </w:pPr>
      <w:r w:rsidRPr="00C02634">
        <w:t xml:space="preserve">(59).  Maerker, J.; Gale, W., Surfactant flood process design for Loudon. </w:t>
      </w:r>
      <w:r w:rsidRPr="00C02634">
        <w:rPr>
          <w:i/>
        </w:rPr>
        <w:t xml:space="preserve">SPE reservoir engineering </w:t>
      </w:r>
      <w:r w:rsidRPr="00C02634">
        <w:rPr>
          <w:b/>
        </w:rPr>
        <w:t>1992,</w:t>
      </w:r>
      <w:r w:rsidRPr="00C02634">
        <w:t xml:space="preserve"> </w:t>
      </w:r>
      <w:r w:rsidRPr="00C02634">
        <w:rPr>
          <w:i/>
        </w:rPr>
        <w:t>7</w:t>
      </w:r>
      <w:r w:rsidRPr="00C02634">
        <w:t xml:space="preserve"> (01), 36-44.</w:t>
      </w:r>
    </w:p>
    <w:p w:rsidR="00C02634" w:rsidRPr="00C02634" w:rsidRDefault="00C02634" w:rsidP="00C02634">
      <w:pPr>
        <w:pStyle w:val="EndNoteBibliography"/>
      </w:pPr>
    </w:p>
    <w:p w:rsidR="00C02634" w:rsidRPr="00C02634" w:rsidRDefault="00C02634" w:rsidP="00C02634">
      <w:pPr>
        <w:pStyle w:val="EndNoteBibliography"/>
      </w:pPr>
      <w:r w:rsidRPr="00C02634">
        <w:lastRenderedPageBreak/>
        <w:t xml:space="preserve">(60).  Jin, L.; Jamili, A.; Harwell, J. H.; Shiau, B.; Roller, C. In </w:t>
      </w:r>
      <w:r w:rsidRPr="00C02634">
        <w:rPr>
          <w:i/>
        </w:rPr>
        <w:t>Modeling and Interpretation of Single Well Chemical Tracer Tests (SWCTT) for pre and post Chemical EOR in two High Salinity Reservoirs</w:t>
      </w:r>
      <w:r w:rsidRPr="00C02634">
        <w:t>, SPE Production and Operations Symposium, Society of Petroleum Engineers: 2015.</w:t>
      </w:r>
    </w:p>
    <w:p w:rsidR="00C02634" w:rsidRPr="00C02634" w:rsidRDefault="00C02634" w:rsidP="00C02634">
      <w:pPr>
        <w:pStyle w:val="EndNoteBibliography"/>
      </w:pPr>
    </w:p>
    <w:p w:rsidR="00C02634" w:rsidRPr="00C02634" w:rsidRDefault="00C02634" w:rsidP="00C02634">
      <w:pPr>
        <w:pStyle w:val="EndNoteBibliography"/>
      </w:pPr>
      <w:r w:rsidRPr="00C02634">
        <w:t>(61).  Deans, H. Method of determining fluid saturations in reservoirs. 1971.</w:t>
      </w:r>
    </w:p>
    <w:p w:rsidR="00C02634" w:rsidRPr="00C02634" w:rsidRDefault="00C02634" w:rsidP="00C02634">
      <w:pPr>
        <w:pStyle w:val="EndNoteBibliography"/>
      </w:pPr>
    </w:p>
    <w:p w:rsidR="00C02634" w:rsidRPr="00C02634" w:rsidRDefault="00C02634" w:rsidP="00C02634">
      <w:pPr>
        <w:pStyle w:val="EndNoteBibliography"/>
      </w:pPr>
      <w:r w:rsidRPr="00C02634">
        <w:t xml:space="preserve">(62).  Deans, H.; Carlisle, C., </w:t>
      </w:r>
      <w:r w:rsidRPr="00C02634">
        <w:rPr>
          <w:i/>
        </w:rPr>
        <w:t>Single Well Chemical Tracer Test Handbook</w:t>
      </w:r>
      <w:r w:rsidRPr="00C02634">
        <w:t>. 1988.</w:t>
      </w:r>
    </w:p>
    <w:p w:rsidR="00C02634" w:rsidRPr="00C02634" w:rsidRDefault="00C02634" w:rsidP="00C02634">
      <w:pPr>
        <w:pStyle w:val="EndNoteBibliography"/>
      </w:pPr>
    </w:p>
    <w:p w:rsidR="00C02634" w:rsidRPr="00C02634" w:rsidRDefault="00C02634" w:rsidP="00C02634">
      <w:pPr>
        <w:pStyle w:val="EndNoteBibliography"/>
      </w:pPr>
      <w:r w:rsidRPr="00C02634">
        <w:t xml:space="preserve">(63).  Oyemade, S.; Al Harty, S.; Jaspers, H.; van Wunnik, J.; de Kruijf, A. In </w:t>
      </w:r>
      <w:r w:rsidRPr="00C02634">
        <w:rPr>
          <w:i/>
        </w:rPr>
        <w:t>Alkaline-surfactantpolymer flood: Single well chemical tracer tests-design, implementation and performance. SPE 130042</w:t>
      </w:r>
      <w:r w:rsidRPr="00C02634">
        <w:t>, Proc. SPE EOR conference at Oil &amp; Gas West Asia, Muscat, Oman, 2010.</w:t>
      </w:r>
    </w:p>
    <w:p w:rsidR="00C02634" w:rsidRPr="00C02634" w:rsidRDefault="00C02634" w:rsidP="00C02634">
      <w:pPr>
        <w:pStyle w:val="EndNoteBibliography"/>
      </w:pPr>
    </w:p>
    <w:p w:rsidR="00C02634" w:rsidRPr="00C02634" w:rsidRDefault="00C02634" w:rsidP="00C02634">
      <w:pPr>
        <w:pStyle w:val="EndNoteBibliography"/>
      </w:pPr>
      <w:r w:rsidRPr="00C02634">
        <w:t xml:space="preserve">(64).  Deans, H. A.; Majoros, S. </w:t>
      </w:r>
      <w:r w:rsidRPr="00C02634">
        <w:rPr>
          <w:i/>
        </w:rPr>
        <w:t>Single-well chemical tracer method for measuring residual oil saturation. Final report</w:t>
      </w:r>
      <w:r w:rsidRPr="00C02634">
        <w:t>; Rice Univ., Houston, TX (USA): 1980.</w:t>
      </w:r>
    </w:p>
    <w:p w:rsidR="00C02634" w:rsidRPr="00C02634" w:rsidRDefault="00C02634" w:rsidP="00C02634">
      <w:pPr>
        <w:pStyle w:val="EndNoteBibliography"/>
      </w:pPr>
    </w:p>
    <w:p w:rsidR="00C02634" w:rsidRPr="00C02634" w:rsidRDefault="00C02634" w:rsidP="00C02634">
      <w:pPr>
        <w:pStyle w:val="EndNoteBibliography"/>
      </w:pPr>
      <w:r w:rsidRPr="00C02634">
        <w:t xml:space="preserve">(65).  De Zwart, A. H.; van Batenburg, D. W.; Stoll, M.; Al-Harthi, S. In </w:t>
      </w:r>
      <w:r w:rsidRPr="00C02634">
        <w:rPr>
          <w:i/>
        </w:rPr>
        <w:t>Numerical interpretation of single well chemical tracer tests for asp injection</w:t>
      </w:r>
      <w:r w:rsidRPr="00C02634">
        <w:t>, IOR 2011, 2011.</w:t>
      </w:r>
    </w:p>
    <w:p w:rsidR="00C02634" w:rsidRPr="00C02634" w:rsidRDefault="00C02634" w:rsidP="00C02634">
      <w:pPr>
        <w:pStyle w:val="EndNoteBibliography"/>
      </w:pPr>
    </w:p>
    <w:p w:rsidR="00C02634" w:rsidRPr="00C02634" w:rsidRDefault="00C02634" w:rsidP="00C02634">
      <w:pPr>
        <w:pStyle w:val="EndNoteBibliography"/>
      </w:pPr>
      <w:r w:rsidRPr="00C02634">
        <w:t xml:space="preserve">(66).  Hernandez, C.; Chacon, L.; Anselmi, L.; Angulo, R.; Manrique, E.; Romero, E.; de Audemard, N.; Carlisle, C. In </w:t>
      </w:r>
      <w:r w:rsidRPr="00C02634">
        <w:rPr>
          <w:i/>
        </w:rPr>
        <w:t>Single Well Chemical Tracer Test to Determine ASP Injection Efficiency at Lagomar VLA-6/9/21 Area C4 Member Lake Maracaibo Venezuela</w:t>
      </w:r>
      <w:r w:rsidRPr="00C02634">
        <w:t>, SPE/DOE Improved Oil Recovery Symposium, Society of Petroleum Engineers: 2002.</w:t>
      </w:r>
    </w:p>
    <w:p w:rsidR="00C02634" w:rsidRPr="00C02634" w:rsidRDefault="00C02634" w:rsidP="00C02634">
      <w:pPr>
        <w:pStyle w:val="EndNoteBibliography"/>
      </w:pPr>
    </w:p>
    <w:p w:rsidR="00C02634" w:rsidRPr="00C02634" w:rsidRDefault="00C02634" w:rsidP="00C02634">
      <w:pPr>
        <w:pStyle w:val="EndNoteBibliography"/>
      </w:pPr>
      <w:r w:rsidRPr="00C02634">
        <w:t xml:space="preserve">(67).  Jerauld, G.; Mohammadi, H.; Webb, K. J. In </w:t>
      </w:r>
      <w:r w:rsidRPr="00C02634">
        <w:rPr>
          <w:i/>
        </w:rPr>
        <w:t>Interpreting single well chemical tracer tests</w:t>
      </w:r>
      <w:r w:rsidRPr="00C02634">
        <w:t>, SPE Improved Oil Recovery Symposium, Society of Petroleum Engineers: 2010.</w:t>
      </w:r>
    </w:p>
    <w:p w:rsidR="00C02634" w:rsidRPr="00C02634" w:rsidRDefault="00C02634" w:rsidP="00C02634">
      <w:pPr>
        <w:pStyle w:val="EndNoteBibliography"/>
      </w:pPr>
    </w:p>
    <w:p w:rsidR="00C02634" w:rsidRPr="00C02634" w:rsidRDefault="00C02634" w:rsidP="00C02634">
      <w:pPr>
        <w:pStyle w:val="EndNoteBibliography"/>
      </w:pPr>
      <w:r w:rsidRPr="00C02634">
        <w:t xml:space="preserve">(68).  Seetharam, R.; Deans, H., CASTEM-A new automated parameter-estimation algorithm for single-well tracer tests. </w:t>
      </w:r>
      <w:r w:rsidRPr="00C02634">
        <w:rPr>
          <w:i/>
        </w:rPr>
        <w:t xml:space="preserve">SPE reservoir engineering </w:t>
      </w:r>
      <w:r w:rsidRPr="00C02634">
        <w:rPr>
          <w:b/>
        </w:rPr>
        <w:t>1989,</w:t>
      </w:r>
      <w:r w:rsidRPr="00C02634">
        <w:t xml:space="preserve"> </w:t>
      </w:r>
      <w:r w:rsidRPr="00C02634">
        <w:rPr>
          <w:i/>
        </w:rPr>
        <w:t>4</w:t>
      </w:r>
      <w:r w:rsidRPr="00C02634">
        <w:t xml:space="preserve"> (01), 35-44.</w:t>
      </w:r>
    </w:p>
    <w:p w:rsidR="00C02634" w:rsidRPr="00C02634" w:rsidRDefault="00C02634" w:rsidP="00C02634">
      <w:pPr>
        <w:pStyle w:val="EndNoteBibliography"/>
      </w:pPr>
    </w:p>
    <w:p w:rsidR="00C02634" w:rsidRPr="00C02634" w:rsidRDefault="00C02634" w:rsidP="00C02634">
      <w:pPr>
        <w:pStyle w:val="EndNoteBibliography"/>
      </w:pPr>
      <w:r w:rsidRPr="00C02634">
        <w:t xml:space="preserve">(69).  Pope, G.; Wang, B.; Tsaur, K., A Sensitivity Study of Micellar/Polymer Flooding. </w:t>
      </w:r>
      <w:r w:rsidRPr="00C02634">
        <w:rPr>
          <w:i/>
        </w:rPr>
        <w:t xml:space="preserve">Society of Petroleum Engineers Journal </w:t>
      </w:r>
      <w:r w:rsidRPr="00C02634">
        <w:rPr>
          <w:b/>
        </w:rPr>
        <w:t>1979,</w:t>
      </w:r>
      <w:r w:rsidRPr="00C02634">
        <w:t xml:space="preserve"> </w:t>
      </w:r>
      <w:r w:rsidRPr="00C02634">
        <w:rPr>
          <w:i/>
        </w:rPr>
        <w:t>19</w:t>
      </w:r>
      <w:r w:rsidRPr="00C02634">
        <w:t xml:space="preserve"> (06), 357-368.</w:t>
      </w:r>
    </w:p>
    <w:p w:rsidR="00C02634" w:rsidRPr="00C02634" w:rsidRDefault="00C02634" w:rsidP="00C02634">
      <w:pPr>
        <w:pStyle w:val="EndNoteBibliography"/>
      </w:pPr>
    </w:p>
    <w:p w:rsidR="00C02634" w:rsidRPr="00C02634" w:rsidRDefault="00C02634" w:rsidP="00C02634">
      <w:pPr>
        <w:pStyle w:val="EndNoteBibliography"/>
      </w:pPr>
      <w:r w:rsidRPr="00C02634">
        <w:t xml:space="preserve">(70).  Park, Y.; Deans, H.; Tezduyar, T., Thermal Effects on Single-Well Chemical-Tracer Tests for Measuring Residual Oil Saturation. </w:t>
      </w:r>
      <w:r w:rsidRPr="00C02634">
        <w:rPr>
          <w:i/>
        </w:rPr>
        <w:t xml:space="preserve">SPE Formation Evaluation </w:t>
      </w:r>
      <w:r w:rsidRPr="00C02634">
        <w:rPr>
          <w:b/>
        </w:rPr>
        <w:t>1991,</w:t>
      </w:r>
      <w:r w:rsidRPr="00C02634">
        <w:t xml:space="preserve"> </w:t>
      </w:r>
      <w:r w:rsidRPr="00C02634">
        <w:rPr>
          <w:i/>
        </w:rPr>
        <w:t>6</w:t>
      </w:r>
      <w:r w:rsidRPr="00C02634">
        <w:t xml:space="preserve"> (03), 401-408.</w:t>
      </w:r>
    </w:p>
    <w:p w:rsidR="00C02634" w:rsidRPr="00C02634" w:rsidRDefault="00C02634" w:rsidP="00C02634">
      <w:pPr>
        <w:pStyle w:val="EndNoteBibliography"/>
      </w:pPr>
    </w:p>
    <w:p w:rsidR="00C02634" w:rsidRPr="00C02634" w:rsidRDefault="00C02634" w:rsidP="00C02634">
      <w:pPr>
        <w:pStyle w:val="EndNoteBibliography"/>
      </w:pPr>
      <w:r w:rsidRPr="00C02634">
        <w:t xml:space="preserve">(71).  Curbelo, F.; Garnica, A.; Neto, E. B., Enhanced oil recovery and adsorption of ionic surfactant. </w:t>
      </w:r>
      <w:r w:rsidRPr="00C02634">
        <w:rPr>
          <w:i/>
        </w:rPr>
        <w:t xml:space="preserve">Petroleum Science and Technology </w:t>
      </w:r>
      <w:r w:rsidRPr="00C02634">
        <w:rPr>
          <w:b/>
        </w:rPr>
        <w:t>2013,</w:t>
      </w:r>
      <w:r w:rsidRPr="00C02634">
        <w:t xml:space="preserve"> </w:t>
      </w:r>
      <w:r w:rsidRPr="00C02634">
        <w:rPr>
          <w:i/>
        </w:rPr>
        <w:t>31</w:t>
      </w:r>
      <w:r w:rsidRPr="00C02634">
        <w:t xml:space="preserve"> (7), 663-671.</w:t>
      </w:r>
    </w:p>
    <w:p w:rsidR="00C02634" w:rsidRPr="00C02634" w:rsidRDefault="00C02634" w:rsidP="00C02634">
      <w:pPr>
        <w:pStyle w:val="EndNoteBibliography"/>
      </w:pPr>
    </w:p>
    <w:p w:rsidR="00C02634" w:rsidRPr="00C02634" w:rsidRDefault="00C02634" w:rsidP="00C02634">
      <w:pPr>
        <w:pStyle w:val="EndNoteBibliography"/>
      </w:pPr>
      <w:r w:rsidRPr="00C02634">
        <w:t xml:space="preserve">(72).  Somasundaran, P.; Hanna, H., Adsorption of sulfonates on reservoir rocks. </w:t>
      </w:r>
      <w:r w:rsidRPr="00C02634">
        <w:rPr>
          <w:i/>
        </w:rPr>
        <w:t xml:space="preserve">Society of Petroleum Engineers Journal </w:t>
      </w:r>
      <w:r w:rsidRPr="00C02634">
        <w:rPr>
          <w:b/>
        </w:rPr>
        <w:t>1979,</w:t>
      </w:r>
      <w:r w:rsidRPr="00C02634">
        <w:t xml:space="preserve"> </w:t>
      </w:r>
      <w:r w:rsidRPr="00C02634">
        <w:rPr>
          <w:i/>
        </w:rPr>
        <w:t>19</w:t>
      </w:r>
      <w:r w:rsidRPr="00C02634">
        <w:t xml:space="preserve"> (04), 221-232.</w:t>
      </w:r>
    </w:p>
    <w:p w:rsidR="00C02634" w:rsidRPr="00C02634" w:rsidRDefault="00C02634" w:rsidP="00C02634">
      <w:pPr>
        <w:pStyle w:val="EndNoteBibliography"/>
      </w:pPr>
    </w:p>
    <w:p w:rsidR="00C02634" w:rsidRPr="00C02634" w:rsidRDefault="00C02634" w:rsidP="00C02634">
      <w:pPr>
        <w:pStyle w:val="EndNoteBibliography"/>
      </w:pPr>
      <w:r w:rsidRPr="00C02634">
        <w:lastRenderedPageBreak/>
        <w:t xml:space="preserve">(73).  OHaver, J. H.; Jeffrey, H., Adsolubilization: some expected and unexpected results. </w:t>
      </w:r>
      <w:r w:rsidRPr="00C02634">
        <w:rPr>
          <w:i/>
        </w:rPr>
        <w:t xml:space="preserve">Surfactant adsorption and surface solubilization </w:t>
      </w:r>
      <w:r w:rsidRPr="00C02634">
        <w:rPr>
          <w:b/>
        </w:rPr>
        <w:t>1995,</w:t>
      </w:r>
      <w:r w:rsidRPr="00C02634">
        <w:t xml:space="preserve"> </w:t>
      </w:r>
      <w:r w:rsidRPr="00C02634">
        <w:rPr>
          <w:i/>
        </w:rPr>
        <w:t>615</w:t>
      </w:r>
      <w:r w:rsidRPr="00C02634">
        <w:t>, 49-66.</w:t>
      </w:r>
    </w:p>
    <w:p w:rsidR="00C02634" w:rsidRPr="00C02634" w:rsidRDefault="00C02634" w:rsidP="00C02634">
      <w:pPr>
        <w:pStyle w:val="EndNoteBibliography"/>
      </w:pPr>
    </w:p>
    <w:p w:rsidR="00C02634" w:rsidRPr="00C02634" w:rsidRDefault="00C02634" w:rsidP="00C02634">
      <w:pPr>
        <w:pStyle w:val="EndNoteBibliography"/>
      </w:pPr>
      <w:r w:rsidRPr="00C02634">
        <w:t xml:space="preserve">(74).  Harwell, J. H.; Roberts, B. L.; Scamehorn, J. F., Thermodynamics of adsorption of surfactant mixtures on minerals. </w:t>
      </w:r>
      <w:r w:rsidRPr="00C02634">
        <w:rPr>
          <w:i/>
        </w:rPr>
        <w:t xml:space="preserve">Colloids and surfaces </w:t>
      </w:r>
      <w:r w:rsidRPr="00C02634">
        <w:rPr>
          <w:b/>
        </w:rPr>
        <w:t>1988,</w:t>
      </w:r>
      <w:r w:rsidRPr="00C02634">
        <w:t xml:space="preserve"> </w:t>
      </w:r>
      <w:r w:rsidRPr="00C02634">
        <w:rPr>
          <w:i/>
        </w:rPr>
        <w:t>32</w:t>
      </w:r>
      <w:r w:rsidRPr="00C02634">
        <w:t>, 1-17.</w:t>
      </w:r>
    </w:p>
    <w:p w:rsidR="00C02634" w:rsidRPr="00C02634" w:rsidRDefault="00C02634" w:rsidP="00C02634">
      <w:pPr>
        <w:pStyle w:val="EndNoteBibliography"/>
      </w:pPr>
    </w:p>
    <w:p w:rsidR="00C02634" w:rsidRPr="00C02634" w:rsidRDefault="00C02634" w:rsidP="00C02634">
      <w:pPr>
        <w:pStyle w:val="EndNoteBibliography"/>
      </w:pPr>
      <w:r w:rsidRPr="00C02634">
        <w:t xml:space="preserve">(75).  Scamehorn, J.; Schechter, R.; Wade, W., Adsorption of surfactants on mineral oxide surfaces from aqueous solutions: I: Isomerically pure anionic surfactants. </w:t>
      </w:r>
      <w:r w:rsidRPr="00C02634">
        <w:rPr>
          <w:i/>
        </w:rPr>
        <w:t xml:space="preserve">Journal of Colloid and Interface Science </w:t>
      </w:r>
      <w:r w:rsidRPr="00C02634">
        <w:rPr>
          <w:b/>
        </w:rPr>
        <w:t>1982,</w:t>
      </w:r>
      <w:r w:rsidRPr="00C02634">
        <w:t xml:space="preserve"> </w:t>
      </w:r>
      <w:r w:rsidRPr="00C02634">
        <w:rPr>
          <w:i/>
        </w:rPr>
        <w:t>85</w:t>
      </w:r>
      <w:r w:rsidRPr="00C02634">
        <w:t xml:space="preserve"> (2), 463-478.</w:t>
      </w:r>
    </w:p>
    <w:p w:rsidR="00C02634" w:rsidRPr="00C02634" w:rsidRDefault="00C02634" w:rsidP="00C02634">
      <w:pPr>
        <w:pStyle w:val="EndNoteBibliography"/>
      </w:pPr>
    </w:p>
    <w:p w:rsidR="00C02634" w:rsidRPr="00C02634" w:rsidRDefault="00C02634" w:rsidP="00C02634">
      <w:pPr>
        <w:pStyle w:val="EndNoteBibliography"/>
      </w:pPr>
      <w:r w:rsidRPr="00C02634">
        <w:t xml:space="preserve">(76).  Hankins, N. P.; O'Have, J. H.; Harwell, J. H., Modeling effects of pH and counterions on surfactant adsorption at the oxide/water interface. </w:t>
      </w:r>
      <w:r w:rsidRPr="00C02634">
        <w:rPr>
          <w:i/>
        </w:rPr>
        <w:t xml:space="preserve">Industrial &amp; engineering chemistry research </w:t>
      </w:r>
      <w:r w:rsidRPr="00C02634">
        <w:rPr>
          <w:b/>
        </w:rPr>
        <w:t>1996,</w:t>
      </w:r>
      <w:r w:rsidRPr="00C02634">
        <w:t xml:space="preserve"> </w:t>
      </w:r>
      <w:r w:rsidRPr="00C02634">
        <w:rPr>
          <w:i/>
        </w:rPr>
        <w:t>35</w:t>
      </w:r>
      <w:r w:rsidRPr="00C02634">
        <w:t xml:space="preserve"> (9), 2844-2855.</w:t>
      </w:r>
    </w:p>
    <w:p w:rsidR="00C02634" w:rsidRPr="00C02634" w:rsidRDefault="00C02634" w:rsidP="00C02634">
      <w:pPr>
        <w:pStyle w:val="EndNoteBibliography"/>
      </w:pPr>
    </w:p>
    <w:p w:rsidR="00C02634" w:rsidRPr="00C02634" w:rsidRDefault="00C02634" w:rsidP="00C02634">
      <w:pPr>
        <w:pStyle w:val="EndNoteBibliography"/>
      </w:pPr>
      <w:r w:rsidRPr="00C02634">
        <w:t xml:space="preserve">(77).  Chandar, P.; Somasundaran, P.; Turro, N. J., Fluorescence probe studies on the structure of the adsorbed layer of dodecyl sulfate at the alumina—water interface. </w:t>
      </w:r>
      <w:r w:rsidRPr="00C02634">
        <w:rPr>
          <w:i/>
        </w:rPr>
        <w:t xml:space="preserve">Journal of colloid and interface science </w:t>
      </w:r>
      <w:r w:rsidRPr="00C02634">
        <w:rPr>
          <w:b/>
        </w:rPr>
        <w:t>1987,</w:t>
      </w:r>
      <w:r w:rsidRPr="00C02634">
        <w:t xml:space="preserve"> </w:t>
      </w:r>
      <w:r w:rsidRPr="00C02634">
        <w:rPr>
          <w:i/>
        </w:rPr>
        <w:t>117</w:t>
      </w:r>
      <w:r w:rsidRPr="00C02634">
        <w:t xml:space="preserve"> (1), 31-46.</w:t>
      </w:r>
    </w:p>
    <w:p w:rsidR="00C02634" w:rsidRPr="00C02634" w:rsidRDefault="00C02634" w:rsidP="00C02634">
      <w:pPr>
        <w:pStyle w:val="EndNoteBibliography"/>
      </w:pPr>
    </w:p>
    <w:p w:rsidR="00C02634" w:rsidRPr="00C02634" w:rsidRDefault="00C02634" w:rsidP="00C02634">
      <w:pPr>
        <w:pStyle w:val="EndNoteBibliography"/>
      </w:pPr>
      <w:r w:rsidRPr="00C02634">
        <w:t xml:space="preserve">(78).  Trogus, F.; Schechter, R.; Wade, W., A new interpretation of adsorption maxima and minima. </w:t>
      </w:r>
      <w:r w:rsidRPr="00C02634">
        <w:rPr>
          <w:i/>
        </w:rPr>
        <w:t xml:space="preserve">Journal of Colloid and Interface Science </w:t>
      </w:r>
      <w:r w:rsidRPr="00C02634">
        <w:rPr>
          <w:b/>
        </w:rPr>
        <w:t>1979,</w:t>
      </w:r>
      <w:r w:rsidRPr="00C02634">
        <w:t xml:space="preserve"> </w:t>
      </w:r>
      <w:r w:rsidRPr="00C02634">
        <w:rPr>
          <w:i/>
        </w:rPr>
        <w:t>70</w:t>
      </w:r>
      <w:r w:rsidRPr="00C02634">
        <w:t xml:space="preserve"> (2), 293-305.</w:t>
      </w:r>
    </w:p>
    <w:p w:rsidR="00C02634" w:rsidRPr="00C02634" w:rsidRDefault="00C02634" w:rsidP="00C02634">
      <w:pPr>
        <w:pStyle w:val="EndNoteBibliography"/>
      </w:pPr>
    </w:p>
    <w:p w:rsidR="00C02634" w:rsidRPr="00C02634" w:rsidRDefault="00C02634" w:rsidP="00C02634">
      <w:pPr>
        <w:pStyle w:val="EndNoteBibliography"/>
      </w:pPr>
      <w:r w:rsidRPr="00C02634">
        <w:t xml:space="preserve">(79).  ShamsiJazeyi, H.; Verduzco, R.; Hirasaki, G. J., Reducing adsorption of anionic surfactant for enhanced oil recovery: Part II. Applied aspects. </w:t>
      </w:r>
      <w:r w:rsidRPr="00C02634">
        <w:rPr>
          <w:i/>
        </w:rPr>
        <w:t xml:space="preserve">Colloids and Surfaces A: Physicochemical and Engineering Aspects </w:t>
      </w:r>
      <w:r w:rsidRPr="00C02634">
        <w:rPr>
          <w:b/>
        </w:rPr>
        <w:t>2014,</w:t>
      </w:r>
      <w:r w:rsidRPr="00C02634">
        <w:t xml:space="preserve"> </w:t>
      </w:r>
      <w:r w:rsidRPr="00C02634">
        <w:rPr>
          <w:i/>
        </w:rPr>
        <w:t>453</w:t>
      </w:r>
      <w:r w:rsidRPr="00C02634">
        <w:t>, 168-175.</w:t>
      </w:r>
    </w:p>
    <w:p w:rsidR="00C02634" w:rsidRPr="00C02634" w:rsidRDefault="00C02634" w:rsidP="00C02634">
      <w:pPr>
        <w:pStyle w:val="EndNoteBibliography"/>
      </w:pPr>
    </w:p>
    <w:p w:rsidR="00C02634" w:rsidRPr="00C02634" w:rsidRDefault="00C02634" w:rsidP="00C02634">
      <w:pPr>
        <w:pStyle w:val="EndNoteBibliography"/>
      </w:pPr>
      <w:r w:rsidRPr="00C02634">
        <w:t xml:space="preserve">(80).  Paria, S.; Khilar, K. C., A review on experimental studies of surfactant adsorption at the hydrophilic solid–water interface. </w:t>
      </w:r>
      <w:r w:rsidRPr="00C02634">
        <w:rPr>
          <w:i/>
        </w:rPr>
        <w:t xml:space="preserve">Advances in colloid and interface science </w:t>
      </w:r>
      <w:r w:rsidRPr="00C02634">
        <w:rPr>
          <w:b/>
        </w:rPr>
        <w:t>2004,</w:t>
      </w:r>
      <w:r w:rsidRPr="00C02634">
        <w:t xml:space="preserve"> </w:t>
      </w:r>
      <w:r w:rsidRPr="00C02634">
        <w:rPr>
          <w:i/>
        </w:rPr>
        <w:t>110</w:t>
      </w:r>
      <w:r w:rsidRPr="00C02634">
        <w:t xml:space="preserve"> (3), 75-95.</w:t>
      </w:r>
    </w:p>
    <w:p w:rsidR="00C02634" w:rsidRPr="00C02634" w:rsidRDefault="00C02634" w:rsidP="00C02634">
      <w:pPr>
        <w:pStyle w:val="EndNoteBibliography"/>
      </w:pPr>
    </w:p>
    <w:p w:rsidR="00C02634" w:rsidRPr="00C02634" w:rsidRDefault="00C02634" w:rsidP="00C02634">
      <w:pPr>
        <w:pStyle w:val="EndNoteBibliography"/>
      </w:pPr>
      <w:r w:rsidRPr="00C02634">
        <w:t xml:space="preserve">(81).  Kosmulski, M., pH-dependent surface charging and points of zero charge: III. Update. </w:t>
      </w:r>
      <w:r w:rsidRPr="00C02634">
        <w:rPr>
          <w:i/>
        </w:rPr>
        <w:t xml:space="preserve">Journal of Colloid and Interface Science </w:t>
      </w:r>
      <w:r w:rsidRPr="00C02634">
        <w:rPr>
          <w:b/>
        </w:rPr>
        <w:t>2006,</w:t>
      </w:r>
      <w:r w:rsidRPr="00C02634">
        <w:t xml:space="preserve"> </w:t>
      </w:r>
      <w:r w:rsidRPr="00C02634">
        <w:rPr>
          <w:i/>
        </w:rPr>
        <w:t>298</w:t>
      </w:r>
      <w:r w:rsidRPr="00C02634">
        <w:t xml:space="preserve"> (2), 730-741.</w:t>
      </w:r>
    </w:p>
    <w:p w:rsidR="00C02634" w:rsidRPr="00C02634" w:rsidRDefault="00C02634" w:rsidP="00C02634">
      <w:pPr>
        <w:pStyle w:val="EndNoteBibliography"/>
      </w:pPr>
    </w:p>
    <w:p w:rsidR="00C02634" w:rsidRPr="00C02634" w:rsidRDefault="00C02634" w:rsidP="00C02634">
      <w:pPr>
        <w:pStyle w:val="EndNoteBibliography"/>
      </w:pPr>
      <w:r w:rsidRPr="00C02634">
        <w:t xml:space="preserve">(82).  Parks, G., Equilibrium concepts in natural water systems. </w:t>
      </w:r>
      <w:r w:rsidRPr="00C02634">
        <w:rPr>
          <w:i/>
        </w:rPr>
        <w:t xml:space="preserve">Advances in chemistry series </w:t>
      </w:r>
      <w:r w:rsidRPr="00C02634">
        <w:rPr>
          <w:b/>
        </w:rPr>
        <w:t>1967,</w:t>
      </w:r>
      <w:r w:rsidRPr="00C02634">
        <w:t xml:space="preserve"> </w:t>
      </w:r>
      <w:r w:rsidRPr="00C02634">
        <w:rPr>
          <w:i/>
        </w:rPr>
        <w:t>67</w:t>
      </w:r>
      <w:r w:rsidRPr="00C02634">
        <w:t>, 121.</w:t>
      </w:r>
    </w:p>
    <w:p w:rsidR="00C02634" w:rsidRPr="00C02634" w:rsidRDefault="00C02634" w:rsidP="00C02634">
      <w:pPr>
        <w:pStyle w:val="EndNoteBibliography"/>
      </w:pPr>
    </w:p>
    <w:p w:rsidR="00C02634" w:rsidRPr="00C02634" w:rsidRDefault="00C02634" w:rsidP="00C02634">
      <w:pPr>
        <w:pStyle w:val="EndNoteBibliography"/>
      </w:pPr>
      <w:r w:rsidRPr="00C02634">
        <w:t xml:space="preserve">(83).  Parks, G. A., The isoelectric points of solid oxides, solid hydroxides, and aqueous hydroxo complex systems. </w:t>
      </w:r>
      <w:r w:rsidRPr="00C02634">
        <w:rPr>
          <w:i/>
        </w:rPr>
        <w:t xml:space="preserve">Chemical Reviews </w:t>
      </w:r>
      <w:r w:rsidRPr="00C02634">
        <w:rPr>
          <w:b/>
        </w:rPr>
        <w:t>1965,</w:t>
      </w:r>
      <w:r w:rsidRPr="00C02634">
        <w:t xml:space="preserve"> </w:t>
      </w:r>
      <w:r w:rsidRPr="00C02634">
        <w:rPr>
          <w:i/>
        </w:rPr>
        <w:t>65</w:t>
      </w:r>
      <w:r w:rsidRPr="00C02634">
        <w:t xml:space="preserve"> (2), 177-198.</w:t>
      </w:r>
    </w:p>
    <w:p w:rsidR="00C02634" w:rsidRPr="00C02634" w:rsidRDefault="00C02634" w:rsidP="00C02634">
      <w:pPr>
        <w:pStyle w:val="EndNoteBibliography"/>
      </w:pPr>
    </w:p>
    <w:p w:rsidR="00C02634" w:rsidRPr="00C02634" w:rsidRDefault="00C02634" w:rsidP="00C02634">
      <w:pPr>
        <w:pStyle w:val="EndNoteBibliography"/>
      </w:pPr>
      <w:r w:rsidRPr="00C02634">
        <w:t xml:space="preserve">(84).  Somasundaran, P.; Krishnakumar, S., Adsorption of surfactants and polymers at the solid-liquid interface. </w:t>
      </w:r>
      <w:r w:rsidRPr="00C02634">
        <w:rPr>
          <w:i/>
        </w:rPr>
        <w:t xml:space="preserve">Colloids and Surfaces A: physicochemical and engineering aspects </w:t>
      </w:r>
      <w:r w:rsidRPr="00C02634">
        <w:rPr>
          <w:b/>
        </w:rPr>
        <w:t>1997,</w:t>
      </w:r>
      <w:r w:rsidRPr="00C02634">
        <w:t xml:space="preserve"> </w:t>
      </w:r>
      <w:r w:rsidRPr="00C02634">
        <w:rPr>
          <w:i/>
        </w:rPr>
        <w:t>123</w:t>
      </w:r>
      <w:r w:rsidRPr="00C02634">
        <w:t>, 491-513.</w:t>
      </w:r>
    </w:p>
    <w:p w:rsidR="00C02634" w:rsidRPr="00C02634" w:rsidRDefault="00C02634" w:rsidP="00C02634">
      <w:pPr>
        <w:pStyle w:val="EndNoteBibliography"/>
      </w:pPr>
    </w:p>
    <w:p w:rsidR="00C02634" w:rsidRPr="00C02634" w:rsidRDefault="00C02634" w:rsidP="00C02634">
      <w:pPr>
        <w:pStyle w:val="EndNoteBibliography"/>
      </w:pPr>
      <w:r w:rsidRPr="00C02634">
        <w:t xml:space="preserve">(85).  Perrin, D., </w:t>
      </w:r>
      <w:r w:rsidRPr="00C02634">
        <w:rPr>
          <w:i/>
        </w:rPr>
        <w:t>pKa Prediction for Organic Acids and Bases</w:t>
      </w:r>
      <w:r w:rsidRPr="00C02634">
        <w:t>. Springer Science &amp; Business Media: 2013.</w:t>
      </w:r>
    </w:p>
    <w:p w:rsidR="00C02634" w:rsidRPr="00C02634" w:rsidRDefault="00C02634" w:rsidP="00C02634">
      <w:pPr>
        <w:pStyle w:val="EndNoteBibliography"/>
      </w:pPr>
    </w:p>
    <w:p w:rsidR="00C02634" w:rsidRPr="00C02634" w:rsidRDefault="00C02634" w:rsidP="00C02634">
      <w:pPr>
        <w:pStyle w:val="EndNoteBibliography"/>
      </w:pPr>
      <w:r w:rsidRPr="00C02634">
        <w:lastRenderedPageBreak/>
        <w:t xml:space="preserve">(86).  Keyes, J. L., </w:t>
      </w:r>
      <w:r w:rsidRPr="00C02634">
        <w:rPr>
          <w:i/>
        </w:rPr>
        <w:t>Fluid, Electrolyte, and Acid-Base Regulation</w:t>
      </w:r>
      <w:r w:rsidRPr="00C02634">
        <w:t>. Jones &amp; Bartlett Learning: 1990.</w:t>
      </w:r>
    </w:p>
    <w:p w:rsidR="00C02634" w:rsidRPr="00C02634" w:rsidRDefault="00C02634" w:rsidP="00C02634">
      <w:pPr>
        <w:pStyle w:val="EndNoteBibliography"/>
      </w:pPr>
    </w:p>
    <w:p w:rsidR="00C02634" w:rsidRPr="00C02634" w:rsidRDefault="00C02634" w:rsidP="00C02634">
      <w:pPr>
        <w:pStyle w:val="EndNoteBibliography"/>
      </w:pPr>
      <w:r w:rsidRPr="00C02634">
        <w:t xml:space="preserve">(87).  Aksulu, H.; Håmsø, D.; Strand, S.; Puntervold, T.; Austad, T., Evaluation of low-salinity enhanced oil recovery effects in sandstone: effects of the temperature and pH gradient. </w:t>
      </w:r>
      <w:r w:rsidRPr="00C02634">
        <w:rPr>
          <w:i/>
        </w:rPr>
        <w:t xml:space="preserve">Energy &amp; Fuels </w:t>
      </w:r>
      <w:r w:rsidRPr="00C02634">
        <w:rPr>
          <w:b/>
        </w:rPr>
        <w:t>2012,</w:t>
      </w:r>
      <w:r w:rsidRPr="00C02634">
        <w:t xml:space="preserve"> </w:t>
      </w:r>
      <w:r w:rsidRPr="00C02634">
        <w:rPr>
          <w:i/>
        </w:rPr>
        <w:t>26</w:t>
      </w:r>
      <w:r w:rsidRPr="00C02634">
        <w:t xml:space="preserve"> (6), 3497-3503.</w:t>
      </w:r>
    </w:p>
    <w:p w:rsidR="00C02634" w:rsidRPr="00C02634" w:rsidRDefault="00C02634" w:rsidP="00C02634">
      <w:pPr>
        <w:pStyle w:val="EndNoteBibliography"/>
      </w:pPr>
    </w:p>
    <w:p w:rsidR="00C02634" w:rsidRPr="00C02634" w:rsidRDefault="00C02634" w:rsidP="00C02634">
      <w:pPr>
        <w:pStyle w:val="EndNoteBibliography"/>
      </w:pPr>
      <w:r w:rsidRPr="00C02634">
        <w:t xml:space="preserve">(88).  Gidley, J. L., Recent advances in hydraulic fracturing. </w:t>
      </w:r>
      <w:r w:rsidRPr="00C02634">
        <w:rPr>
          <w:b/>
        </w:rPr>
        <w:t>1989</w:t>
      </w:r>
      <w:r w:rsidRPr="00C02634">
        <w:t>.</w:t>
      </w:r>
    </w:p>
    <w:p w:rsidR="00C02634" w:rsidRPr="00C02634" w:rsidRDefault="00C02634" w:rsidP="00C02634">
      <w:pPr>
        <w:pStyle w:val="EndNoteBibliography"/>
      </w:pPr>
    </w:p>
    <w:p w:rsidR="00C02634" w:rsidRPr="00C02634" w:rsidRDefault="00C02634" w:rsidP="00C02634">
      <w:pPr>
        <w:pStyle w:val="EndNoteBibliography"/>
      </w:pPr>
      <w:r w:rsidRPr="00C02634">
        <w:t xml:space="preserve">(89).  Islam, R., </w:t>
      </w:r>
      <w:r w:rsidRPr="00C02634">
        <w:rPr>
          <w:i/>
        </w:rPr>
        <w:t>Flow Assurance</w:t>
      </w:r>
      <w:r w:rsidRPr="00C02634">
        <w:t>. Wiley: 2015.</w:t>
      </w:r>
    </w:p>
    <w:p w:rsidR="00C02634" w:rsidRPr="00C02634" w:rsidRDefault="00C02634" w:rsidP="00C02634">
      <w:pPr>
        <w:pStyle w:val="EndNoteBibliography"/>
      </w:pPr>
    </w:p>
    <w:p w:rsidR="00AA0B13" w:rsidRPr="00AA0B13" w:rsidRDefault="009B0C46" w:rsidP="008F2698">
      <w:pPr>
        <w:jc w:val="both"/>
      </w:pPr>
      <w:r>
        <w:fldChar w:fldCharType="end"/>
      </w:r>
      <w:bookmarkStart w:id="132" w:name="_GoBack"/>
      <w:bookmarkEnd w:id="132"/>
    </w:p>
    <w:sectPr w:rsidR="00AA0B13" w:rsidRPr="00AA0B13" w:rsidSect="004511BE">
      <w:pgSz w:w="12240" w:h="15840" w:code="1"/>
      <w:pgMar w:top="1440" w:right="1440" w:bottom="1440" w:left="230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58A2" w:rsidRDefault="001C58A2" w:rsidP="008E1C26">
      <w:pPr>
        <w:spacing w:line="240" w:lineRule="auto"/>
      </w:pPr>
      <w:r>
        <w:separator/>
      </w:r>
    </w:p>
  </w:endnote>
  <w:endnote w:type="continuationSeparator" w:id="0">
    <w:p w:rsidR="001C58A2" w:rsidRDefault="001C58A2" w:rsidP="008E1C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no Pro">
    <w:altName w:val="Constantia"/>
    <w:panose1 w:val="00000000000000000000"/>
    <w:charset w:val="00"/>
    <w:family w:val="roman"/>
    <w:notTrueType/>
    <w:pitch w:val="variable"/>
    <w:sig w:usb0="00000001" w:usb1="00000001" w:usb2="00000000" w:usb3="00000000" w:csb0="0000019F"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E38" w:rsidRDefault="00546E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E38" w:rsidRDefault="00546E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E38" w:rsidRDefault="00546E3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10D" w:rsidRDefault="005C410D" w:rsidP="008E1C26">
    <w:pPr>
      <w:pStyle w:val="Footer"/>
      <w:jc w:val="center"/>
    </w:pPr>
    <w:r>
      <w:fldChar w:fldCharType="begin"/>
    </w:r>
    <w:r>
      <w:instrText xml:space="preserve"> PAGE   \* MERGEFORMAT </w:instrText>
    </w:r>
    <w:r>
      <w:fldChar w:fldCharType="separate"/>
    </w:r>
    <w:r w:rsidR="00347433">
      <w:rPr>
        <w:noProof/>
      </w:rPr>
      <w:t>xii</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10D" w:rsidRDefault="005C410D" w:rsidP="008E1C26">
    <w:pPr>
      <w:pStyle w:val="Footer"/>
      <w:jc w:val="center"/>
    </w:pPr>
    <w:r>
      <w:fldChar w:fldCharType="begin"/>
    </w:r>
    <w:r>
      <w:instrText xml:space="preserve"> PAGE   \* MERGEFORMAT </w:instrText>
    </w:r>
    <w:r>
      <w:fldChar w:fldCharType="separate"/>
    </w:r>
    <w:r w:rsidR="00347433">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58A2" w:rsidRDefault="001C58A2" w:rsidP="008E1C26">
      <w:pPr>
        <w:spacing w:line="240" w:lineRule="auto"/>
      </w:pPr>
      <w:r>
        <w:separator/>
      </w:r>
    </w:p>
  </w:footnote>
  <w:footnote w:type="continuationSeparator" w:id="0">
    <w:p w:rsidR="001C58A2" w:rsidRDefault="001C58A2" w:rsidP="008E1C2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E38" w:rsidRDefault="00546E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E38" w:rsidRDefault="00546E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E38" w:rsidRDefault="00546E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952C0"/>
    <w:multiLevelType w:val="hybridMultilevel"/>
    <w:tmpl w:val="BC72D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F23728"/>
    <w:multiLevelType w:val="multilevel"/>
    <w:tmpl w:val="F5B00C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i/>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22064F8"/>
    <w:multiLevelType w:val="hybridMultilevel"/>
    <w:tmpl w:val="8AAA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79098E"/>
    <w:multiLevelType w:val="hybridMultilevel"/>
    <w:tmpl w:val="5E9CF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2541A3"/>
    <w:multiLevelType w:val="hybridMultilevel"/>
    <w:tmpl w:val="A70AA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361F61"/>
    <w:multiLevelType w:val="hybridMultilevel"/>
    <w:tmpl w:val="EA3A4A1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nsid w:val="40C45209"/>
    <w:multiLevelType w:val="hybridMultilevel"/>
    <w:tmpl w:val="D34E1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AF20D8"/>
    <w:multiLevelType w:val="hybridMultilevel"/>
    <w:tmpl w:val="50786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E35EE7"/>
    <w:multiLevelType w:val="hybridMultilevel"/>
    <w:tmpl w:val="3AFC2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C603D9"/>
    <w:multiLevelType w:val="hybridMultilevel"/>
    <w:tmpl w:val="9E688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B26165"/>
    <w:multiLevelType w:val="hybridMultilevel"/>
    <w:tmpl w:val="434C1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413182"/>
    <w:multiLevelType w:val="hybridMultilevel"/>
    <w:tmpl w:val="F718F332"/>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4"/>
  </w:num>
  <w:num w:numId="4">
    <w:abstractNumId w:val="2"/>
  </w:num>
  <w:num w:numId="5">
    <w:abstractNumId w:val="7"/>
  </w:num>
  <w:num w:numId="6">
    <w:abstractNumId w:val="8"/>
  </w:num>
  <w:num w:numId="7">
    <w:abstractNumId w:val="10"/>
  </w:num>
  <w:num w:numId="8">
    <w:abstractNumId w:val="0"/>
  </w:num>
  <w:num w:numId="9">
    <w:abstractNumId w:val="9"/>
  </w:num>
  <w:num w:numId="10">
    <w:abstractNumId w:val="5"/>
  </w:num>
  <w:num w:numId="11">
    <w:abstractNumId w:val="3"/>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CS Copy Copy1&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5zz9zdsp2tzdiedrdov0ztx9zwzps0patvs&quot;&gt;Journal 1&lt;record-ids&gt;&lt;item&gt;4&lt;/item&gt;&lt;item&gt;7&lt;/item&gt;&lt;item&gt;22&lt;/item&gt;&lt;item&gt;24&lt;/item&gt;&lt;item&gt;26&lt;/item&gt;&lt;item&gt;28&lt;/item&gt;&lt;item&gt;29&lt;/item&gt;&lt;item&gt;31&lt;/item&gt;&lt;item&gt;32&lt;/item&gt;&lt;item&gt;33&lt;/item&gt;&lt;item&gt;34&lt;/item&gt;&lt;item&gt;36&lt;/item&gt;&lt;item&gt;38&lt;/item&gt;&lt;item&gt;39&lt;/item&gt;&lt;item&gt;41&lt;/item&gt;&lt;item&gt;45&lt;/item&gt;&lt;item&gt;48&lt;/item&gt;&lt;item&gt;49&lt;/item&gt;&lt;item&gt;52&lt;/item&gt;&lt;item&gt;59&lt;/item&gt;&lt;item&gt;60&lt;/item&gt;&lt;item&gt;61&lt;/item&gt;&lt;item&gt;62&lt;/item&gt;&lt;item&gt;63&lt;/item&gt;&lt;item&gt;64&lt;/item&gt;&lt;item&gt;67&lt;/item&gt;&lt;item&gt;68&lt;/item&gt;&lt;item&gt;69&lt;/item&gt;&lt;item&gt;70&lt;/item&gt;&lt;item&gt;71&lt;/item&gt;&lt;item&gt;72&lt;/item&gt;&lt;item&gt;73&lt;/item&gt;&lt;item&gt;74&lt;/item&gt;&lt;item&gt;75&lt;/item&gt;&lt;item&gt;76&lt;/item&gt;&lt;item&gt;77&lt;/item&gt;&lt;item&gt;78&lt;/item&gt;&lt;item&gt;79&lt;/item&gt;&lt;item&gt;81&lt;/item&gt;&lt;item&gt;83&lt;/item&gt;&lt;item&gt;84&lt;/item&gt;&lt;item&gt;85&lt;/item&gt;&lt;item&gt;86&lt;/item&gt;&lt;item&gt;88&lt;/item&gt;&lt;item&gt;89&lt;/item&gt;&lt;item&gt;90&lt;/item&gt;&lt;item&gt;91&lt;/item&gt;&lt;item&gt;92&lt;/item&gt;&lt;item&gt;93&lt;/item&gt;&lt;item&gt;94&lt;/item&gt;&lt;item&gt;95&lt;/item&gt;&lt;item&gt;97&lt;/item&gt;&lt;item&gt;99&lt;/item&gt;&lt;item&gt;102&lt;/item&gt;&lt;item&gt;103&lt;/item&gt;&lt;item&gt;104&lt;/item&gt;&lt;item&gt;106&lt;/item&gt;&lt;item&gt;107&lt;/item&gt;&lt;item&gt;108&lt;/item&gt;&lt;item&gt;109&lt;/item&gt;&lt;item&gt;111&lt;/item&gt;&lt;item&gt;112&lt;/item&gt;&lt;item&gt;113&lt;/item&gt;&lt;item&gt;114&lt;/item&gt;&lt;item&gt;115&lt;/item&gt;&lt;item&gt;119&lt;/item&gt;&lt;item&gt;120&lt;/item&gt;&lt;item&gt;121&lt;/item&gt;&lt;item&gt;122&lt;/item&gt;&lt;item&gt;123&lt;/item&gt;&lt;item&gt;124&lt;/item&gt;&lt;item&gt;125&lt;/item&gt;&lt;item&gt;126&lt;/item&gt;&lt;item&gt;127&lt;/item&gt;&lt;item&gt;128&lt;/item&gt;&lt;item&gt;129&lt;/item&gt;&lt;item&gt;130&lt;/item&gt;&lt;item&gt;132&lt;/item&gt;&lt;item&gt;133&lt;/item&gt;&lt;item&gt;134&lt;/item&gt;&lt;item&gt;135&lt;/item&gt;&lt;item&gt;136&lt;/item&gt;&lt;item&gt;137&lt;/item&gt;&lt;item&gt;138&lt;/item&gt;&lt;item&gt;139&lt;/item&gt;&lt;item&gt;140&lt;/item&gt;&lt;item&gt;141&lt;/item&gt;&lt;item&gt;142&lt;/item&gt;&lt;item&gt;143&lt;/item&gt;&lt;item&gt;145&lt;/item&gt;&lt;item&gt;146&lt;/item&gt;&lt;item&gt;147&lt;/item&gt;&lt;/record-ids&gt;&lt;/item&gt;&lt;/Libraries&gt;"/>
  </w:docVars>
  <w:rsids>
    <w:rsidRoot w:val="00E11D2F"/>
    <w:rsid w:val="00004049"/>
    <w:rsid w:val="0001230D"/>
    <w:rsid w:val="00015B5C"/>
    <w:rsid w:val="0002352A"/>
    <w:rsid w:val="00025A12"/>
    <w:rsid w:val="00041B04"/>
    <w:rsid w:val="00044558"/>
    <w:rsid w:val="0005374D"/>
    <w:rsid w:val="00054DC2"/>
    <w:rsid w:val="00060BAD"/>
    <w:rsid w:val="000729D3"/>
    <w:rsid w:val="00076B36"/>
    <w:rsid w:val="00077A99"/>
    <w:rsid w:val="00077F0A"/>
    <w:rsid w:val="0008176F"/>
    <w:rsid w:val="0008422C"/>
    <w:rsid w:val="00090DD8"/>
    <w:rsid w:val="00091E3A"/>
    <w:rsid w:val="000A597D"/>
    <w:rsid w:val="000B2A7C"/>
    <w:rsid w:val="000C18E6"/>
    <w:rsid w:val="000C24B8"/>
    <w:rsid w:val="000F56FF"/>
    <w:rsid w:val="00102D1D"/>
    <w:rsid w:val="00105BBB"/>
    <w:rsid w:val="00111882"/>
    <w:rsid w:val="00111915"/>
    <w:rsid w:val="00115BED"/>
    <w:rsid w:val="00121440"/>
    <w:rsid w:val="00134934"/>
    <w:rsid w:val="001504BE"/>
    <w:rsid w:val="00171BFC"/>
    <w:rsid w:val="00172240"/>
    <w:rsid w:val="00187691"/>
    <w:rsid w:val="001A3DDE"/>
    <w:rsid w:val="001A524D"/>
    <w:rsid w:val="001A7C7B"/>
    <w:rsid w:val="001B12EF"/>
    <w:rsid w:val="001B521A"/>
    <w:rsid w:val="001C10A0"/>
    <w:rsid w:val="001C3B63"/>
    <w:rsid w:val="001C58A2"/>
    <w:rsid w:val="001D1067"/>
    <w:rsid w:val="001F4BBC"/>
    <w:rsid w:val="002147D8"/>
    <w:rsid w:val="00220798"/>
    <w:rsid w:val="00227893"/>
    <w:rsid w:val="00233800"/>
    <w:rsid w:val="00244C26"/>
    <w:rsid w:val="0025000C"/>
    <w:rsid w:val="00257382"/>
    <w:rsid w:val="0025754A"/>
    <w:rsid w:val="00260F9A"/>
    <w:rsid w:val="00263776"/>
    <w:rsid w:val="00266CE6"/>
    <w:rsid w:val="00270087"/>
    <w:rsid w:val="00271D8F"/>
    <w:rsid w:val="00271ED6"/>
    <w:rsid w:val="00274E2C"/>
    <w:rsid w:val="00281856"/>
    <w:rsid w:val="002A0FFA"/>
    <w:rsid w:val="002B38BC"/>
    <w:rsid w:val="002B39E5"/>
    <w:rsid w:val="002B4F80"/>
    <w:rsid w:val="002C134D"/>
    <w:rsid w:val="002C454F"/>
    <w:rsid w:val="002D44F4"/>
    <w:rsid w:val="002D6E20"/>
    <w:rsid w:val="002E157F"/>
    <w:rsid w:val="00304FD6"/>
    <w:rsid w:val="0030767B"/>
    <w:rsid w:val="00314F3F"/>
    <w:rsid w:val="003218D0"/>
    <w:rsid w:val="00321D1B"/>
    <w:rsid w:val="003240AA"/>
    <w:rsid w:val="003329C5"/>
    <w:rsid w:val="00332C11"/>
    <w:rsid w:val="0033570E"/>
    <w:rsid w:val="00343673"/>
    <w:rsid w:val="003450B1"/>
    <w:rsid w:val="00347433"/>
    <w:rsid w:val="00356F8D"/>
    <w:rsid w:val="0036292C"/>
    <w:rsid w:val="003635D6"/>
    <w:rsid w:val="00385E9D"/>
    <w:rsid w:val="00386E26"/>
    <w:rsid w:val="00392A9D"/>
    <w:rsid w:val="00393159"/>
    <w:rsid w:val="00396207"/>
    <w:rsid w:val="003A060D"/>
    <w:rsid w:val="003B0A2F"/>
    <w:rsid w:val="003B0E24"/>
    <w:rsid w:val="003B6B41"/>
    <w:rsid w:val="003B73A8"/>
    <w:rsid w:val="003D0164"/>
    <w:rsid w:val="003D34F2"/>
    <w:rsid w:val="003D5DA3"/>
    <w:rsid w:val="003E22B5"/>
    <w:rsid w:val="003E2D46"/>
    <w:rsid w:val="003F26F2"/>
    <w:rsid w:val="003F27AE"/>
    <w:rsid w:val="003F7947"/>
    <w:rsid w:val="00407F03"/>
    <w:rsid w:val="00416A78"/>
    <w:rsid w:val="00420B2E"/>
    <w:rsid w:val="00422003"/>
    <w:rsid w:val="00424980"/>
    <w:rsid w:val="00426A6D"/>
    <w:rsid w:val="004431F8"/>
    <w:rsid w:val="004511BE"/>
    <w:rsid w:val="00454D4A"/>
    <w:rsid w:val="004573A1"/>
    <w:rsid w:val="00461AA9"/>
    <w:rsid w:val="00472B7F"/>
    <w:rsid w:val="004A52B4"/>
    <w:rsid w:val="004A6B9A"/>
    <w:rsid w:val="004A7222"/>
    <w:rsid w:val="004D3D1F"/>
    <w:rsid w:val="004E41F4"/>
    <w:rsid w:val="00502818"/>
    <w:rsid w:val="005109C3"/>
    <w:rsid w:val="00510A62"/>
    <w:rsid w:val="00517E33"/>
    <w:rsid w:val="0052566C"/>
    <w:rsid w:val="0053028C"/>
    <w:rsid w:val="00533F79"/>
    <w:rsid w:val="005354E8"/>
    <w:rsid w:val="00546E38"/>
    <w:rsid w:val="00554EEC"/>
    <w:rsid w:val="00555F51"/>
    <w:rsid w:val="00557298"/>
    <w:rsid w:val="0057775C"/>
    <w:rsid w:val="00582EBC"/>
    <w:rsid w:val="00583C7E"/>
    <w:rsid w:val="00593C88"/>
    <w:rsid w:val="00594433"/>
    <w:rsid w:val="005A2B79"/>
    <w:rsid w:val="005B0705"/>
    <w:rsid w:val="005B16E2"/>
    <w:rsid w:val="005B4474"/>
    <w:rsid w:val="005C410D"/>
    <w:rsid w:val="005C67D8"/>
    <w:rsid w:val="005D535F"/>
    <w:rsid w:val="005E64CF"/>
    <w:rsid w:val="005F690C"/>
    <w:rsid w:val="006010A2"/>
    <w:rsid w:val="00616243"/>
    <w:rsid w:val="00622AB8"/>
    <w:rsid w:val="00623EDF"/>
    <w:rsid w:val="00626E1A"/>
    <w:rsid w:val="006273C0"/>
    <w:rsid w:val="00633C74"/>
    <w:rsid w:val="00645A8F"/>
    <w:rsid w:val="00647814"/>
    <w:rsid w:val="00653C73"/>
    <w:rsid w:val="00661C13"/>
    <w:rsid w:val="00675F51"/>
    <w:rsid w:val="00694750"/>
    <w:rsid w:val="0069549B"/>
    <w:rsid w:val="00697AF7"/>
    <w:rsid w:val="006A6340"/>
    <w:rsid w:val="006B1D41"/>
    <w:rsid w:val="006B4721"/>
    <w:rsid w:val="006B69B7"/>
    <w:rsid w:val="006C6B86"/>
    <w:rsid w:val="006D1B98"/>
    <w:rsid w:val="006D562F"/>
    <w:rsid w:val="006D7C40"/>
    <w:rsid w:val="006E4E52"/>
    <w:rsid w:val="006F10CE"/>
    <w:rsid w:val="006F401C"/>
    <w:rsid w:val="00700078"/>
    <w:rsid w:val="0070017B"/>
    <w:rsid w:val="00701BCD"/>
    <w:rsid w:val="00705086"/>
    <w:rsid w:val="00705E75"/>
    <w:rsid w:val="007247B0"/>
    <w:rsid w:val="00730F0A"/>
    <w:rsid w:val="00731AD3"/>
    <w:rsid w:val="00746E16"/>
    <w:rsid w:val="007472D4"/>
    <w:rsid w:val="007559B1"/>
    <w:rsid w:val="00761FDB"/>
    <w:rsid w:val="007739FB"/>
    <w:rsid w:val="0077535C"/>
    <w:rsid w:val="00775701"/>
    <w:rsid w:val="00784171"/>
    <w:rsid w:val="007864D2"/>
    <w:rsid w:val="0078679A"/>
    <w:rsid w:val="00791072"/>
    <w:rsid w:val="007941E7"/>
    <w:rsid w:val="007B5A72"/>
    <w:rsid w:val="007F2648"/>
    <w:rsid w:val="00815AF5"/>
    <w:rsid w:val="008253D8"/>
    <w:rsid w:val="0082601C"/>
    <w:rsid w:val="008264BE"/>
    <w:rsid w:val="00836589"/>
    <w:rsid w:val="00841129"/>
    <w:rsid w:val="00841D6E"/>
    <w:rsid w:val="00864A8F"/>
    <w:rsid w:val="00864C6A"/>
    <w:rsid w:val="00870B1E"/>
    <w:rsid w:val="008840DA"/>
    <w:rsid w:val="008A1EE9"/>
    <w:rsid w:val="008A4F22"/>
    <w:rsid w:val="008A6857"/>
    <w:rsid w:val="008B3FF6"/>
    <w:rsid w:val="008C0013"/>
    <w:rsid w:val="008C27FE"/>
    <w:rsid w:val="008E01E7"/>
    <w:rsid w:val="008E194B"/>
    <w:rsid w:val="008E1C26"/>
    <w:rsid w:val="008F1822"/>
    <w:rsid w:val="008F2698"/>
    <w:rsid w:val="009064BD"/>
    <w:rsid w:val="009079B2"/>
    <w:rsid w:val="00911BF5"/>
    <w:rsid w:val="00917D6C"/>
    <w:rsid w:val="009245C5"/>
    <w:rsid w:val="0092759C"/>
    <w:rsid w:val="00931BB1"/>
    <w:rsid w:val="00952BBC"/>
    <w:rsid w:val="009542F5"/>
    <w:rsid w:val="00961EE9"/>
    <w:rsid w:val="009671ED"/>
    <w:rsid w:val="009677B2"/>
    <w:rsid w:val="00973115"/>
    <w:rsid w:val="0097633A"/>
    <w:rsid w:val="00976BD6"/>
    <w:rsid w:val="00992C28"/>
    <w:rsid w:val="009A0AE4"/>
    <w:rsid w:val="009A1894"/>
    <w:rsid w:val="009A2EC3"/>
    <w:rsid w:val="009B0C46"/>
    <w:rsid w:val="009B49FC"/>
    <w:rsid w:val="009D27EA"/>
    <w:rsid w:val="009E7742"/>
    <w:rsid w:val="009F3CB3"/>
    <w:rsid w:val="00A0094B"/>
    <w:rsid w:val="00A102C3"/>
    <w:rsid w:val="00A106B0"/>
    <w:rsid w:val="00A20686"/>
    <w:rsid w:val="00A45C68"/>
    <w:rsid w:val="00A460F3"/>
    <w:rsid w:val="00A50007"/>
    <w:rsid w:val="00A523B9"/>
    <w:rsid w:val="00A549DC"/>
    <w:rsid w:val="00A5626C"/>
    <w:rsid w:val="00A77093"/>
    <w:rsid w:val="00A82147"/>
    <w:rsid w:val="00AA0B13"/>
    <w:rsid w:val="00AA1B3B"/>
    <w:rsid w:val="00AA4229"/>
    <w:rsid w:val="00AB06A3"/>
    <w:rsid w:val="00AC2588"/>
    <w:rsid w:val="00AC5E50"/>
    <w:rsid w:val="00AD16FD"/>
    <w:rsid w:val="00AD3A47"/>
    <w:rsid w:val="00AD5554"/>
    <w:rsid w:val="00AF0BB2"/>
    <w:rsid w:val="00AF311C"/>
    <w:rsid w:val="00AF342B"/>
    <w:rsid w:val="00AF5C92"/>
    <w:rsid w:val="00AF61B3"/>
    <w:rsid w:val="00B00D8A"/>
    <w:rsid w:val="00B21859"/>
    <w:rsid w:val="00B224CD"/>
    <w:rsid w:val="00B24DD8"/>
    <w:rsid w:val="00B26394"/>
    <w:rsid w:val="00B270FE"/>
    <w:rsid w:val="00B27394"/>
    <w:rsid w:val="00B34657"/>
    <w:rsid w:val="00B36426"/>
    <w:rsid w:val="00B64F23"/>
    <w:rsid w:val="00B74957"/>
    <w:rsid w:val="00B77A89"/>
    <w:rsid w:val="00B85D6E"/>
    <w:rsid w:val="00B905E2"/>
    <w:rsid w:val="00B92688"/>
    <w:rsid w:val="00BA1A3A"/>
    <w:rsid w:val="00BA2D85"/>
    <w:rsid w:val="00BB3F72"/>
    <w:rsid w:val="00BB50E5"/>
    <w:rsid w:val="00BB678C"/>
    <w:rsid w:val="00BC5C76"/>
    <w:rsid w:val="00BD1142"/>
    <w:rsid w:val="00BD45C8"/>
    <w:rsid w:val="00BE5FDC"/>
    <w:rsid w:val="00BF7BCE"/>
    <w:rsid w:val="00C02634"/>
    <w:rsid w:val="00C05A8A"/>
    <w:rsid w:val="00C110FA"/>
    <w:rsid w:val="00C16C66"/>
    <w:rsid w:val="00C20A7B"/>
    <w:rsid w:val="00C35DE4"/>
    <w:rsid w:val="00C3745C"/>
    <w:rsid w:val="00C4062A"/>
    <w:rsid w:val="00C47BB2"/>
    <w:rsid w:val="00C47C5C"/>
    <w:rsid w:val="00C54100"/>
    <w:rsid w:val="00C63C23"/>
    <w:rsid w:val="00C7509B"/>
    <w:rsid w:val="00C83028"/>
    <w:rsid w:val="00C8326D"/>
    <w:rsid w:val="00C92079"/>
    <w:rsid w:val="00C97049"/>
    <w:rsid w:val="00CA498F"/>
    <w:rsid w:val="00CC15C3"/>
    <w:rsid w:val="00CC6883"/>
    <w:rsid w:val="00CC7E26"/>
    <w:rsid w:val="00CD17BC"/>
    <w:rsid w:val="00CF5567"/>
    <w:rsid w:val="00D0552D"/>
    <w:rsid w:val="00D05E2B"/>
    <w:rsid w:val="00D10028"/>
    <w:rsid w:val="00D16B75"/>
    <w:rsid w:val="00D21791"/>
    <w:rsid w:val="00D323D6"/>
    <w:rsid w:val="00D54F29"/>
    <w:rsid w:val="00D57D72"/>
    <w:rsid w:val="00D65384"/>
    <w:rsid w:val="00D65EEB"/>
    <w:rsid w:val="00D75B66"/>
    <w:rsid w:val="00D772E2"/>
    <w:rsid w:val="00D775F5"/>
    <w:rsid w:val="00D815D0"/>
    <w:rsid w:val="00D915E9"/>
    <w:rsid w:val="00D966A2"/>
    <w:rsid w:val="00D97CFA"/>
    <w:rsid w:val="00DA02BF"/>
    <w:rsid w:val="00DA1614"/>
    <w:rsid w:val="00DA1971"/>
    <w:rsid w:val="00DA2319"/>
    <w:rsid w:val="00DA4B96"/>
    <w:rsid w:val="00DA5270"/>
    <w:rsid w:val="00DB151D"/>
    <w:rsid w:val="00DB57AB"/>
    <w:rsid w:val="00DB664C"/>
    <w:rsid w:val="00DC0A8C"/>
    <w:rsid w:val="00DC626C"/>
    <w:rsid w:val="00DC6749"/>
    <w:rsid w:val="00DD3347"/>
    <w:rsid w:val="00DD484C"/>
    <w:rsid w:val="00DE0142"/>
    <w:rsid w:val="00DE1EF7"/>
    <w:rsid w:val="00DE50F8"/>
    <w:rsid w:val="00DE58F2"/>
    <w:rsid w:val="00DF4B88"/>
    <w:rsid w:val="00E0501B"/>
    <w:rsid w:val="00E11D2F"/>
    <w:rsid w:val="00E20B9A"/>
    <w:rsid w:val="00E252B0"/>
    <w:rsid w:val="00E26B68"/>
    <w:rsid w:val="00E30DA2"/>
    <w:rsid w:val="00E30E44"/>
    <w:rsid w:val="00E33FB5"/>
    <w:rsid w:val="00E40E81"/>
    <w:rsid w:val="00E418B9"/>
    <w:rsid w:val="00E41C74"/>
    <w:rsid w:val="00E453E8"/>
    <w:rsid w:val="00E503B4"/>
    <w:rsid w:val="00E51198"/>
    <w:rsid w:val="00E52BA8"/>
    <w:rsid w:val="00E53D7E"/>
    <w:rsid w:val="00E57D38"/>
    <w:rsid w:val="00E63F13"/>
    <w:rsid w:val="00E64881"/>
    <w:rsid w:val="00E7030B"/>
    <w:rsid w:val="00E77477"/>
    <w:rsid w:val="00E856D8"/>
    <w:rsid w:val="00E9509F"/>
    <w:rsid w:val="00E96C8E"/>
    <w:rsid w:val="00EA13D9"/>
    <w:rsid w:val="00EA7E4F"/>
    <w:rsid w:val="00EC7B28"/>
    <w:rsid w:val="00ED10D0"/>
    <w:rsid w:val="00ED4911"/>
    <w:rsid w:val="00ED6F0B"/>
    <w:rsid w:val="00EE0C84"/>
    <w:rsid w:val="00EE1461"/>
    <w:rsid w:val="00EE2896"/>
    <w:rsid w:val="00EE3797"/>
    <w:rsid w:val="00EF2566"/>
    <w:rsid w:val="00F01840"/>
    <w:rsid w:val="00F17857"/>
    <w:rsid w:val="00F24FBD"/>
    <w:rsid w:val="00F27248"/>
    <w:rsid w:val="00F31F2E"/>
    <w:rsid w:val="00F32707"/>
    <w:rsid w:val="00F37F46"/>
    <w:rsid w:val="00F46A49"/>
    <w:rsid w:val="00F63499"/>
    <w:rsid w:val="00F7122D"/>
    <w:rsid w:val="00F82146"/>
    <w:rsid w:val="00F85A47"/>
    <w:rsid w:val="00F93475"/>
    <w:rsid w:val="00FA2425"/>
    <w:rsid w:val="00FA3A9D"/>
    <w:rsid w:val="00FA7E07"/>
    <w:rsid w:val="00FB5287"/>
    <w:rsid w:val="00FC6A58"/>
    <w:rsid w:val="00FD2941"/>
    <w:rsid w:val="00FD5E90"/>
    <w:rsid w:val="00FF0F0F"/>
    <w:rsid w:val="00FF3ABC"/>
    <w:rsid w:val="00FF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0D30271-A9C8-4E76-8E2F-2F52565ED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7222"/>
    <w:pPr>
      <w:spacing w:line="480" w:lineRule="auto"/>
    </w:pPr>
  </w:style>
  <w:style w:type="paragraph" w:styleId="Heading1">
    <w:name w:val="heading 1"/>
    <w:next w:val="Normal"/>
    <w:link w:val="Heading1Char"/>
    <w:autoRedefine/>
    <w:uiPriority w:val="9"/>
    <w:qFormat/>
    <w:rsid w:val="004511BE"/>
    <w:pPr>
      <w:spacing w:line="360" w:lineRule="auto"/>
      <w:jc w:val="center"/>
      <w:outlineLvl w:val="0"/>
    </w:pPr>
    <w:rPr>
      <w:rFonts w:asciiTheme="majorHAnsi" w:hAnsiTheme="majorHAnsi"/>
      <w:b/>
      <w:bCs/>
      <w:sz w:val="28"/>
      <w:szCs w:val="32"/>
      <w:lang w:bidi="en-US"/>
    </w:rPr>
  </w:style>
  <w:style w:type="paragraph" w:styleId="Heading2">
    <w:name w:val="heading 2"/>
    <w:next w:val="Normal"/>
    <w:link w:val="Heading2Char"/>
    <w:autoRedefine/>
    <w:uiPriority w:val="9"/>
    <w:unhideWhenUsed/>
    <w:qFormat/>
    <w:rsid w:val="00420B2E"/>
    <w:pPr>
      <w:keepNext/>
      <w:spacing w:line="360" w:lineRule="auto"/>
      <w:jc w:val="center"/>
      <w:outlineLvl w:val="1"/>
    </w:pPr>
    <w:rPr>
      <w:rFonts w:asciiTheme="majorHAnsi" w:hAnsiTheme="majorHAnsi"/>
      <w:b/>
      <w:bCs/>
      <w:iCs/>
      <w:szCs w:val="28"/>
      <w:lang w:bidi="en-US"/>
    </w:rPr>
  </w:style>
  <w:style w:type="paragraph" w:styleId="Heading3">
    <w:name w:val="heading 3"/>
    <w:next w:val="Normal"/>
    <w:link w:val="Heading3Char"/>
    <w:autoRedefine/>
    <w:uiPriority w:val="9"/>
    <w:unhideWhenUsed/>
    <w:qFormat/>
    <w:rsid w:val="00C83028"/>
    <w:pPr>
      <w:keepNext/>
      <w:spacing w:line="480" w:lineRule="auto"/>
      <w:jc w:val="center"/>
      <w:outlineLvl w:val="2"/>
    </w:pPr>
    <w:rPr>
      <w:rFonts w:asciiTheme="majorHAnsi" w:hAnsiTheme="majorHAnsi"/>
      <w:bCs/>
      <w:i/>
      <w:lang w:bidi="en-US"/>
    </w:rPr>
  </w:style>
  <w:style w:type="paragraph" w:styleId="Heading4">
    <w:name w:val="heading 4"/>
    <w:basedOn w:val="Normal"/>
    <w:next w:val="Normal"/>
    <w:link w:val="Heading4Char"/>
    <w:uiPriority w:val="9"/>
    <w:semiHidden/>
    <w:unhideWhenUsed/>
    <w:rsid w:val="003A060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060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060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060D"/>
    <w:pPr>
      <w:spacing w:before="240" w:after="60"/>
      <w:outlineLvl w:val="6"/>
    </w:pPr>
  </w:style>
  <w:style w:type="paragraph" w:styleId="Heading8">
    <w:name w:val="heading 8"/>
    <w:basedOn w:val="Normal"/>
    <w:next w:val="Normal"/>
    <w:link w:val="Heading8Char"/>
    <w:uiPriority w:val="9"/>
    <w:semiHidden/>
    <w:unhideWhenUsed/>
    <w:qFormat/>
    <w:rsid w:val="003A060D"/>
    <w:pPr>
      <w:spacing w:before="240" w:after="60"/>
      <w:outlineLvl w:val="7"/>
    </w:pPr>
    <w:rPr>
      <w:i/>
      <w:iCs/>
    </w:rPr>
  </w:style>
  <w:style w:type="paragraph" w:styleId="Heading9">
    <w:name w:val="heading 9"/>
    <w:basedOn w:val="Normal"/>
    <w:next w:val="Normal"/>
    <w:link w:val="Heading9Char"/>
    <w:uiPriority w:val="9"/>
    <w:semiHidden/>
    <w:unhideWhenUsed/>
    <w:qFormat/>
    <w:rsid w:val="003A060D"/>
    <w:pPr>
      <w:spacing w:before="240" w:after="60"/>
      <w:outlineLvl w:val="8"/>
    </w:pPr>
    <w:rPr>
      <w:rFonts w:ascii="Times New Roman" w:hAnsi="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1BE"/>
    <w:rPr>
      <w:rFonts w:asciiTheme="majorHAnsi" w:hAnsiTheme="majorHAnsi"/>
      <w:b/>
      <w:bCs/>
      <w:sz w:val="28"/>
      <w:szCs w:val="32"/>
      <w:lang w:bidi="en-US"/>
    </w:rPr>
  </w:style>
  <w:style w:type="character" w:customStyle="1" w:styleId="Heading2Char">
    <w:name w:val="Heading 2 Char"/>
    <w:basedOn w:val="DefaultParagraphFont"/>
    <w:link w:val="Heading2"/>
    <w:uiPriority w:val="9"/>
    <w:rsid w:val="00420B2E"/>
    <w:rPr>
      <w:rFonts w:asciiTheme="majorHAnsi" w:hAnsiTheme="majorHAnsi"/>
      <w:b/>
      <w:bCs/>
      <w:iCs/>
      <w:szCs w:val="28"/>
      <w:lang w:bidi="en-US"/>
    </w:rPr>
  </w:style>
  <w:style w:type="character" w:customStyle="1" w:styleId="Heading3Char">
    <w:name w:val="Heading 3 Char"/>
    <w:basedOn w:val="DefaultParagraphFont"/>
    <w:link w:val="Heading3"/>
    <w:uiPriority w:val="9"/>
    <w:rsid w:val="00C83028"/>
    <w:rPr>
      <w:rFonts w:asciiTheme="majorHAnsi" w:hAnsiTheme="majorHAnsi"/>
      <w:bCs/>
      <w:i/>
      <w:lang w:bidi="en-US"/>
    </w:rPr>
  </w:style>
  <w:style w:type="character" w:customStyle="1" w:styleId="Heading4Char">
    <w:name w:val="Heading 4 Char"/>
    <w:basedOn w:val="DefaultParagraphFont"/>
    <w:link w:val="Heading4"/>
    <w:uiPriority w:val="9"/>
    <w:semiHidden/>
    <w:rsid w:val="003A060D"/>
    <w:rPr>
      <w:rFonts w:cs="Times New Roman"/>
      <w:b/>
      <w:bCs/>
      <w:sz w:val="28"/>
      <w:szCs w:val="28"/>
    </w:rPr>
  </w:style>
  <w:style w:type="character" w:customStyle="1" w:styleId="Heading5Char">
    <w:name w:val="Heading 5 Char"/>
    <w:basedOn w:val="DefaultParagraphFont"/>
    <w:link w:val="Heading5"/>
    <w:uiPriority w:val="9"/>
    <w:semiHidden/>
    <w:rsid w:val="003A060D"/>
    <w:rPr>
      <w:rFonts w:cs="Times New Roman"/>
      <w:b/>
      <w:bCs/>
      <w:i/>
      <w:iCs/>
      <w:sz w:val="26"/>
      <w:szCs w:val="26"/>
    </w:rPr>
  </w:style>
  <w:style w:type="character" w:customStyle="1" w:styleId="Heading6Char">
    <w:name w:val="Heading 6 Char"/>
    <w:basedOn w:val="DefaultParagraphFont"/>
    <w:link w:val="Heading6"/>
    <w:uiPriority w:val="9"/>
    <w:semiHidden/>
    <w:rsid w:val="003A060D"/>
    <w:rPr>
      <w:rFonts w:cs="Times New Roman"/>
      <w:b/>
      <w:bCs/>
    </w:rPr>
  </w:style>
  <w:style w:type="character" w:customStyle="1" w:styleId="Heading7Char">
    <w:name w:val="Heading 7 Char"/>
    <w:basedOn w:val="DefaultParagraphFont"/>
    <w:link w:val="Heading7"/>
    <w:uiPriority w:val="9"/>
    <w:semiHidden/>
    <w:rsid w:val="003A060D"/>
    <w:rPr>
      <w:rFonts w:cs="Times New Roman"/>
      <w:sz w:val="24"/>
      <w:szCs w:val="24"/>
    </w:rPr>
  </w:style>
  <w:style w:type="character" w:customStyle="1" w:styleId="Heading8Char">
    <w:name w:val="Heading 8 Char"/>
    <w:basedOn w:val="DefaultParagraphFont"/>
    <w:link w:val="Heading8"/>
    <w:uiPriority w:val="9"/>
    <w:semiHidden/>
    <w:rsid w:val="003A060D"/>
    <w:rPr>
      <w:rFonts w:cs="Times New Roman"/>
      <w:i/>
      <w:iCs/>
      <w:sz w:val="24"/>
      <w:szCs w:val="24"/>
    </w:rPr>
  </w:style>
  <w:style w:type="character" w:customStyle="1" w:styleId="Heading9Char">
    <w:name w:val="Heading 9 Char"/>
    <w:basedOn w:val="DefaultParagraphFont"/>
    <w:link w:val="Heading9"/>
    <w:uiPriority w:val="9"/>
    <w:semiHidden/>
    <w:rsid w:val="003A060D"/>
    <w:rPr>
      <w:rFonts w:ascii="Times New Roman" w:eastAsia="Times New Roman" w:hAnsi="Times New Roman" w:cs="Times New Roman"/>
    </w:rPr>
  </w:style>
  <w:style w:type="paragraph" w:styleId="Caption">
    <w:name w:val="caption"/>
    <w:basedOn w:val="Normal"/>
    <w:next w:val="Normal"/>
    <w:uiPriority w:val="35"/>
    <w:unhideWhenUsed/>
    <w:qFormat/>
    <w:rsid w:val="00CC7E26"/>
    <w:pPr>
      <w:spacing w:line="240" w:lineRule="auto"/>
    </w:pPr>
    <w:rPr>
      <w:b/>
      <w:bCs/>
      <w:szCs w:val="18"/>
    </w:rPr>
  </w:style>
  <w:style w:type="paragraph" w:styleId="Title">
    <w:name w:val="Title"/>
    <w:basedOn w:val="Heading1"/>
    <w:next w:val="Normal"/>
    <w:link w:val="TitleChar"/>
    <w:autoRedefine/>
    <w:uiPriority w:val="10"/>
    <w:qFormat/>
    <w:rsid w:val="0057775C"/>
    <w:pPr>
      <w:keepNext/>
    </w:pPr>
    <w:rPr>
      <w:bCs w:val="0"/>
    </w:rPr>
  </w:style>
  <w:style w:type="character" w:customStyle="1" w:styleId="TitleChar">
    <w:name w:val="Title Char"/>
    <w:basedOn w:val="DefaultParagraphFont"/>
    <w:link w:val="Title"/>
    <w:uiPriority w:val="10"/>
    <w:rsid w:val="00C3745C"/>
    <w:rPr>
      <w:rFonts w:asciiTheme="majorHAnsi" w:hAnsiTheme="majorHAnsi"/>
      <w:caps/>
      <w:sz w:val="24"/>
      <w:szCs w:val="32"/>
      <w:lang w:bidi="en-US"/>
    </w:rPr>
  </w:style>
  <w:style w:type="paragraph" w:styleId="Subtitle">
    <w:name w:val="Subtitle"/>
    <w:basedOn w:val="Normal"/>
    <w:next w:val="Normal"/>
    <w:link w:val="SubtitleChar"/>
    <w:uiPriority w:val="11"/>
    <w:semiHidden/>
    <w:unhideWhenUsed/>
    <w:qFormat/>
    <w:rsid w:val="003A060D"/>
    <w:pPr>
      <w:spacing w:after="60"/>
      <w:jc w:val="center"/>
      <w:outlineLvl w:val="1"/>
    </w:pPr>
    <w:rPr>
      <w:rFonts w:ascii="Times New Roman" w:hAnsi="Times New Roman"/>
    </w:rPr>
  </w:style>
  <w:style w:type="character" w:customStyle="1" w:styleId="SubtitleChar">
    <w:name w:val="Subtitle Char"/>
    <w:basedOn w:val="DefaultParagraphFont"/>
    <w:link w:val="Subtitle"/>
    <w:uiPriority w:val="11"/>
    <w:semiHidden/>
    <w:rsid w:val="00077F0A"/>
    <w:rPr>
      <w:sz w:val="24"/>
      <w:szCs w:val="24"/>
      <w:lang w:bidi="en-US"/>
    </w:rPr>
  </w:style>
  <w:style w:type="character" w:styleId="Strong">
    <w:name w:val="Strong"/>
    <w:basedOn w:val="DefaultParagraphFont"/>
    <w:uiPriority w:val="22"/>
    <w:semiHidden/>
    <w:unhideWhenUsed/>
    <w:qFormat/>
    <w:rsid w:val="003A060D"/>
    <w:rPr>
      <w:b/>
      <w:bCs/>
    </w:rPr>
  </w:style>
  <w:style w:type="character" w:styleId="Emphasis">
    <w:name w:val="Emphasis"/>
    <w:basedOn w:val="DefaultParagraphFont"/>
    <w:uiPriority w:val="20"/>
    <w:semiHidden/>
    <w:unhideWhenUsed/>
    <w:qFormat/>
    <w:rsid w:val="003A060D"/>
    <w:rPr>
      <w:rFonts w:ascii="Times New Roman" w:hAnsi="Times New Roman"/>
      <w:b/>
      <w:i/>
      <w:iCs/>
    </w:rPr>
  </w:style>
  <w:style w:type="paragraph" w:styleId="NoSpacing">
    <w:name w:val="No Spacing"/>
    <w:basedOn w:val="Normal"/>
    <w:link w:val="NoSpacingChar"/>
    <w:uiPriority w:val="1"/>
    <w:semiHidden/>
    <w:qFormat/>
    <w:rsid w:val="0070017B"/>
    <w:pPr>
      <w:spacing w:line="240" w:lineRule="auto"/>
    </w:pPr>
    <w:rPr>
      <w:szCs w:val="32"/>
    </w:rPr>
  </w:style>
  <w:style w:type="character" w:customStyle="1" w:styleId="NoSpacingChar">
    <w:name w:val="No Spacing Char"/>
    <w:basedOn w:val="DefaultParagraphFont"/>
    <w:link w:val="NoSpacing"/>
    <w:uiPriority w:val="1"/>
    <w:semiHidden/>
    <w:rsid w:val="004A7222"/>
    <w:rPr>
      <w:rFonts w:asciiTheme="minorHAnsi" w:hAnsiTheme="minorHAnsi"/>
      <w:sz w:val="24"/>
      <w:szCs w:val="32"/>
      <w:lang w:bidi="en-US"/>
    </w:rPr>
  </w:style>
  <w:style w:type="paragraph" w:styleId="TableofFigures">
    <w:name w:val="table of figures"/>
    <w:basedOn w:val="Normal"/>
    <w:next w:val="Normal"/>
    <w:uiPriority w:val="99"/>
    <w:unhideWhenUsed/>
    <w:rsid w:val="00CC7E26"/>
  </w:style>
  <w:style w:type="paragraph" w:styleId="Quote">
    <w:name w:val="Quote"/>
    <w:basedOn w:val="Normal"/>
    <w:next w:val="Normal"/>
    <w:link w:val="QuoteChar"/>
    <w:uiPriority w:val="29"/>
    <w:semiHidden/>
    <w:unhideWhenUsed/>
    <w:qFormat/>
    <w:rsid w:val="003A060D"/>
    <w:rPr>
      <w:i/>
    </w:rPr>
  </w:style>
  <w:style w:type="character" w:customStyle="1" w:styleId="QuoteChar">
    <w:name w:val="Quote Char"/>
    <w:basedOn w:val="DefaultParagraphFont"/>
    <w:link w:val="Quote"/>
    <w:uiPriority w:val="29"/>
    <w:semiHidden/>
    <w:rsid w:val="00077F0A"/>
    <w:rPr>
      <w:i/>
      <w:sz w:val="24"/>
      <w:szCs w:val="24"/>
      <w:lang w:bidi="en-US"/>
    </w:rPr>
  </w:style>
  <w:style w:type="paragraph" w:styleId="IntenseQuote">
    <w:name w:val="Intense Quote"/>
    <w:basedOn w:val="Normal"/>
    <w:next w:val="Normal"/>
    <w:link w:val="IntenseQuoteChar"/>
    <w:uiPriority w:val="30"/>
    <w:semiHidden/>
    <w:unhideWhenUsed/>
    <w:qFormat/>
    <w:rsid w:val="003A060D"/>
    <w:pPr>
      <w:ind w:left="720" w:right="720"/>
    </w:pPr>
    <w:rPr>
      <w:b/>
      <w:i/>
      <w:szCs w:val="22"/>
    </w:rPr>
  </w:style>
  <w:style w:type="character" w:customStyle="1" w:styleId="IntenseQuoteChar">
    <w:name w:val="Intense Quote Char"/>
    <w:basedOn w:val="DefaultParagraphFont"/>
    <w:link w:val="IntenseQuote"/>
    <w:uiPriority w:val="30"/>
    <w:semiHidden/>
    <w:rsid w:val="00077F0A"/>
    <w:rPr>
      <w:b/>
      <w:i/>
      <w:sz w:val="24"/>
      <w:szCs w:val="22"/>
      <w:lang w:bidi="en-US"/>
    </w:rPr>
  </w:style>
  <w:style w:type="character" w:styleId="SubtleEmphasis">
    <w:name w:val="Subtle Emphasis"/>
    <w:uiPriority w:val="19"/>
    <w:semiHidden/>
    <w:unhideWhenUsed/>
    <w:qFormat/>
    <w:rsid w:val="003A060D"/>
    <w:rPr>
      <w:i/>
      <w:color w:val="5A5A5A"/>
    </w:rPr>
  </w:style>
  <w:style w:type="character" w:styleId="IntenseEmphasis">
    <w:name w:val="Intense Emphasis"/>
    <w:basedOn w:val="DefaultParagraphFont"/>
    <w:uiPriority w:val="21"/>
    <w:semiHidden/>
    <w:unhideWhenUsed/>
    <w:qFormat/>
    <w:rsid w:val="003A060D"/>
    <w:rPr>
      <w:b/>
      <w:i/>
      <w:sz w:val="24"/>
      <w:szCs w:val="24"/>
      <w:u w:val="single"/>
    </w:rPr>
  </w:style>
  <w:style w:type="character" w:styleId="SubtleReference">
    <w:name w:val="Subtle Reference"/>
    <w:basedOn w:val="DefaultParagraphFont"/>
    <w:uiPriority w:val="31"/>
    <w:semiHidden/>
    <w:unhideWhenUsed/>
    <w:qFormat/>
    <w:rsid w:val="003A060D"/>
    <w:rPr>
      <w:sz w:val="24"/>
      <w:szCs w:val="24"/>
      <w:u w:val="single"/>
    </w:rPr>
  </w:style>
  <w:style w:type="character" w:styleId="IntenseReference">
    <w:name w:val="Intense Reference"/>
    <w:basedOn w:val="DefaultParagraphFont"/>
    <w:uiPriority w:val="32"/>
    <w:semiHidden/>
    <w:unhideWhenUsed/>
    <w:qFormat/>
    <w:rsid w:val="003A060D"/>
    <w:rPr>
      <w:b/>
      <w:sz w:val="24"/>
      <w:u w:val="single"/>
    </w:rPr>
  </w:style>
  <w:style w:type="character" w:styleId="BookTitle">
    <w:name w:val="Book Title"/>
    <w:basedOn w:val="DefaultParagraphFont"/>
    <w:uiPriority w:val="33"/>
    <w:semiHidden/>
    <w:unhideWhenUsed/>
    <w:qFormat/>
    <w:rsid w:val="003A060D"/>
    <w:rPr>
      <w:rFonts w:ascii="Times New Roman" w:eastAsia="Times New Roman" w:hAnsi="Times New Roman"/>
      <w:b/>
      <w:i/>
      <w:sz w:val="24"/>
      <w:szCs w:val="24"/>
    </w:rPr>
  </w:style>
  <w:style w:type="paragraph" w:styleId="TOCHeading">
    <w:name w:val="TOC Heading"/>
    <w:basedOn w:val="Heading1"/>
    <w:next w:val="Normal"/>
    <w:uiPriority w:val="39"/>
    <w:unhideWhenUsed/>
    <w:qFormat/>
    <w:rsid w:val="003A060D"/>
    <w:pPr>
      <w:outlineLvl w:val="9"/>
    </w:pPr>
  </w:style>
  <w:style w:type="paragraph" w:styleId="BalloonText">
    <w:name w:val="Balloon Text"/>
    <w:basedOn w:val="Normal"/>
    <w:link w:val="BalloonTextChar"/>
    <w:uiPriority w:val="99"/>
    <w:semiHidden/>
    <w:unhideWhenUsed/>
    <w:rsid w:val="00730F0A"/>
    <w:rPr>
      <w:rFonts w:ascii="Tahoma" w:hAnsi="Tahoma" w:cs="Tahoma"/>
      <w:sz w:val="16"/>
      <w:szCs w:val="16"/>
    </w:rPr>
  </w:style>
  <w:style w:type="character" w:customStyle="1" w:styleId="BalloonTextChar">
    <w:name w:val="Balloon Text Char"/>
    <w:basedOn w:val="DefaultParagraphFont"/>
    <w:link w:val="BalloonText"/>
    <w:uiPriority w:val="99"/>
    <w:semiHidden/>
    <w:rsid w:val="00730F0A"/>
    <w:rPr>
      <w:rFonts w:ascii="Tahoma" w:hAnsi="Tahoma" w:cs="Tahoma"/>
      <w:sz w:val="16"/>
      <w:szCs w:val="16"/>
      <w:lang w:bidi="en-US"/>
    </w:rPr>
  </w:style>
  <w:style w:type="paragraph" w:styleId="Header">
    <w:name w:val="header"/>
    <w:basedOn w:val="Normal"/>
    <w:link w:val="HeaderChar"/>
    <w:uiPriority w:val="99"/>
    <w:unhideWhenUsed/>
    <w:rsid w:val="008E1C26"/>
    <w:pPr>
      <w:tabs>
        <w:tab w:val="center" w:pos="4680"/>
        <w:tab w:val="right" w:pos="9360"/>
      </w:tabs>
    </w:pPr>
  </w:style>
  <w:style w:type="character" w:customStyle="1" w:styleId="HeaderChar">
    <w:name w:val="Header Char"/>
    <w:basedOn w:val="DefaultParagraphFont"/>
    <w:link w:val="Header"/>
    <w:uiPriority w:val="99"/>
    <w:rsid w:val="008E1C26"/>
    <w:rPr>
      <w:sz w:val="24"/>
      <w:szCs w:val="24"/>
      <w:lang w:bidi="en-US"/>
    </w:rPr>
  </w:style>
  <w:style w:type="paragraph" w:styleId="Footer">
    <w:name w:val="footer"/>
    <w:basedOn w:val="Normal"/>
    <w:link w:val="FooterChar"/>
    <w:uiPriority w:val="99"/>
    <w:unhideWhenUsed/>
    <w:rsid w:val="008E1C26"/>
    <w:pPr>
      <w:tabs>
        <w:tab w:val="center" w:pos="4680"/>
        <w:tab w:val="right" w:pos="9360"/>
      </w:tabs>
    </w:pPr>
  </w:style>
  <w:style w:type="character" w:customStyle="1" w:styleId="FooterChar">
    <w:name w:val="Footer Char"/>
    <w:basedOn w:val="DefaultParagraphFont"/>
    <w:link w:val="Footer"/>
    <w:uiPriority w:val="99"/>
    <w:rsid w:val="008E1C26"/>
    <w:rPr>
      <w:sz w:val="24"/>
      <w:szCs w:val="24"/>
      <w:lang w:bidi="en-US"/>
    </w:rPr>
  </w:style>
  <w:style w:type="character" w:styleId="Hyperlink">
    <w:name w:val="Hyperlink"/>
    <w:basedOn w:val="DefaultParagraphFont"/>
    <w:uiPriority w:val="99"/>
    <w:unhideWhenUsed/>
    <w:rsid w:val="00DA1971"/>
    <w:rPr>
      <w:color w:val="0000FF"/>
      <w:u w:val="single"/>
    </w:rPr>
  </w:style>
  <w:style w:type="paragraph" w:styleId="TOC1">
    <w:name w:val="toc 1"/>
    <w:basedOn w:val="Normal"/>
    <w:next w:val="Normal"/>
    <w:link w:val="TOC1Char"/>
    <w:autoRedefine/>
    <w:uiPriority w:val="39"/>
    <w:unhideWhenUsed/>
    <w:rsid w:val="00E40E81"/>
    <w:pPr>
      <w:tabs>
        <w:tab w:val="right" w:leader="dot" w:pos="8486"/>
      </w:tabs>
    </w:pPr>
  </w:style>
  <w:style w:type="character" w:customStyle="1" w:styleId="TOC1Char">
    <w:name w:val="TOC 1 Char"/>
    <w:basedOn w:val="DefaultParagraphFont"/>
    <w:link w:val="TOC1"/>
    <w:uiPriority w:val="39"/>
    <w:rsid w:val="002B39E5"/>
  </w:style>
  <w:style w:type="paragraph" w:styleId="TOC2">
    <w:name w:val="toc 2"/>
    <w:basedOn w:val="Normal"/>
    <w:next w:val="Normal"/>
    <w:autoRedefine/>
    <w:uiPriority w:val="39"/>
    <w:unhideWhenUsed/>
    <w:rsid w:val="00C3745C"/>
    <w:pPr>
      <w:ind w:left="1080" w:hanging="720"/>
    </w:pPr>
  </w:style>
  <w:style w:type="table" w:styleId="TableGrid">
    <w:name w:val="Table Grid"/>
    <w:basedOn w:val="TableNormal"/>
    <w:uiPriority w:val="59"/>
    <w:rsid w:val="00A460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C3745C"/>
    <w:pPr>
      <w:ind w:left="1440" w:hanging="720"/>
    </w:pPr>
  </w:style>
  <w:style w:type="paragraph" w:customStyle="1" w:styleId="BlockQuotation">
    <w:name w:val="Block Quotation"/>
    <w:next w:val="Normal"/>
    <w:link w:val="BlockQuotationChar"/>
    <w:qFormat/>
    <w:rsid w:val="0070017B"/>
    <w:pPr>
      <w:spacing w:after="240"/>
      <w:ind w:left="720"/>
    </w:pPr>
    <w:rPr>
      <w:lang w:bidi="en-US"/>
    </w:rPr>
  </w:style>
  <w:style w:type="character" w:customStyle="1" w:styleId="BlockQuotationChar">
    <w:name w:val="Block Quotation Char"/>
    <w:basedOn w:val="NoSpacingChar"/>
    <w:link w:val="BlockQuotation"/>
    <w:rsid w:val="0070017B"/>
    <w:rPr>
      <w:rFonts w:asciiTheme="minorHAnsi" w:hAnsiTheme="minorHAnsi"/>
      <w:sz w:val="24"/>
      <w:szCs w:val="24"/>
      <w:lang w:bidi="en-US"/>
    </w:rPr>
  </w:style>
  <w:style w:type="character" w:styleId="PlaceholderText">
    <w:name w:val="Placeholder Text"/>
    <w:basedOn w:val="DefaultParagraphFont"/>
    <w:uiPriority w:val="99"/>
    <w:semiHidden/>
    <w:rsid w:val="00746E16"/>
    <w:rPr>
      <w:color w:val="808080"/>
    </w:rPr>
  </w:style>
  <w:style w:type="paragraph" w:styleId="Bibliography">
    <w:name w:val="Bibliography"/>
    <w:basedOn w:val="Normal"/>
    <w:next w:val="Normal"/>
    <w:uiPriority w:val="37"/>
    <w:rsid w:val="0070017B"/>
  </w:style>
  <w:style w:type="paragraph" w:customStyle="1" w:styleId="Chapter">
    <w:name w:val="Chapter"/>
    <w:next w:val="Normal"/>
    <w:autoRedefine/>
    <w:qFormat/>
    <w:rsid w:val="000F56FF"/>
    <w:pPr>
      <w:keepNext/>
      <w:pBdr>
        <w:bottom w:val="single" w:sz="4" w:space="1" w:color="auto"/>
      </w:pBdr>
      <w:spacing w:after="240"/>
    </w:pPr>
    <w:rPr>
      <w:rFonts w:asciiTheme="majorHAnsi" w:hAnsiTheme="majorHAnsi"/>
      <w:b/>
      <w:bCs/>
      <w:sz w:val="28"/>
      <w:szCs w:val="32"/>
      <w:lang w:bidi="en-US"/>
    </w:rPr>
  </w:style>
  <w:style w:type="paragraph" w:styleId="ListParagraph">
    <w:name w:val="List Paragraph"/>
    <w:basedOn w:val="Normal"/>
    <w:uiPriority w:val="34"/>
    <w:unhideWhenUsed/>
    <w:qFormat/>
    <w:rsid w:val="005E64CF"/>
    <w:pPr>
      <w:ind w:left="720"/>
      <w:contextualSpacing/>
    </w:pPr>
  </w:style>
  <w:style w:type="character" w:styleId="FollowedHyperlink">
    <w:name w:val="FollowedHyperlink"/>
    <w:basedOn w:val="DefaultParagraphFont"/>
    <w:uiPriority w:val="99"/>
    <w:semiHidden/>
    <w:unhideWhenUsed/>
    <w:rsid w:val="00EC7B28"/>
    <w:rPr>
      <w:color w:val="800080" w:themeColor="followedHyperlink"/>
      <w:u w:val="single"/>
    </w:rPr>
  </w:style>
  <w:style w:type="paragraph" w:customStyle="1" w:styleId="EndNoteBibliographyTitle">
    <w:name w:val="EndNote Bibliography Title"/>
    <w:basedOn w:val="Normal"/>
    <w:link w:val="EndNoteBibliographyTitleChar"/>
    <w:rsid w:val="009B0C46"/>
    <w:pPr>
      <w:jc w:val="center"/>
    </w:pPr>
    <w:rPr>
      <w:rFonts w:ascii="Times New Roman" w:hAnsi="Times New Roman"/>
      <w:noProof/>
    </w:rPr>
  </w:style>
  <w:style w:type="character" w:customStyle="1" w:styleId="EndNoteBibliographyTitleChar">
    <w:name w:val="EndNote Bibliography Title Char"/>
    <w:basedOn w:val="DefaultParagraphFont"/>
    <w:link w:val="EndNoteBibliographyTitle"/>
    <w:rsid w:val="009B0C46"/>
    <w:rPr>
      <w:rFonts w:ascii="Times New Roman" w:hAnsi="Times New Roman"/>
      <w:noProof/>
    </w:rPr>
  </w:style>
  <w:style w:type="paragraph" w:customStyle="1" w:styleId="EndNoteBibliography">
    <w:name w:val="EndNote Bibliography"/>
    <w:basedOn w:val="Normal"/>
    <w:link w:val="EndNoteBibliographyChar"/>
    <w:rsid w:val="009B0C46"/>
    <w:pPr>
      <w:spacing w:line="240" w:lineRule="auto"/>
    </w:pPr>
    <w:rPr>
      <w:rFonts w:ascii="Times New Roman" w:hAnsi="Times New Roman"/>
      <w:noProof/>
    </w:rPr>
  </w:style>
  <w:style w:type="character" w:customStyle="1" w:styleId="EndNoteBibliographyChar">
    <w:name w:val="EndNote Bibliography Char"/>
    <w:basedOn w:val="DefaultParagraphFont"/>
    <w:link w:val="EndNoteBibliography"/>
    <w:rsid w:val="009B0C46"/>
    <w:rPr>
      <w:rFonts w:ascii="Times New Roman" w:hAnsi="Times New Roman"/>
      <w:noProof/>
    </w:rPr>
  </w:style>
  <w:style w:type="character" w:customStyle="1" w:styleId="EndnoteTextChar">
    <w:name w:val="Endnote Text Char"/>
    <w:basedOn w:val="DefaultParagraphFont"/>
    <w:link w:val="EndnoteText"/>
    <w:uiPriority w:val="99"/>
    <w:semiHidden/>
    <w:rsid w:val="003E2D46"/>
    <w:rPr>
      <w:rFonts w:eastAsiaTheme="minorHAnsi" w:cstheme="minorBidi"/>
      <w:sz w:val="20"/>
      <w:szCs w:val="20"/>
    </w:rPr>
  </w:style>
  <w:style w:type="paragraph" w:styleId="EndnoteText">
    <w:name w:val="endnote text"/>
    <w:basedOn w:val="Normal"/>
    <w:link w:val="EndnoteTextChar"/>
    <w:uiPriority w:val="99"/>
    <w:semiHidden/>
    <w:unhideWhenUsed/>
    <w:rsid w:val="003E2D46"/>
    <w:pPr>
      <w:spacing w:line="240" w:lineRule="auto"/>
    </w:pPr>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3E2D46"/>
    <w:rPr>
      <w:rFonts w:eastAsiaTheme="minorHAnsi" w:cstheme="minorBidi"/>
      <w:sz w:val="20"/>
      <w:szCs w:val="20"/>
    </w:rPr>
  </w:style>
  <w:style w:type="paragraph" w:styleId="FootnoteText">
    <w:name w:val="footnote text"/>
    <w:basedOn w:val="Normal"/>
    <w:link w:val="FootnoteTextChar"/>
    <w:uiPriority w:val="99"/>
    <w:semiHidden/>
    <w:unhideWhenUsed/>
    <w:rsid w:val="003E2D46"/>
    <w:pPr>
      <w:spacing w:line="240" w:lineRule="auto"/>
    </w:pPr>
    <w:rPr>
      <w:rFonts w:eastAsiaTheme="minorHAnsi" w:cstheme="minorBidi"/>
      <w:sz w:val="20"/>
      <w:szCs w:val="20"/>
    </w:rPr>
  </w:style>
  <w:style w:type="character" w:customStyle="1" w:styleId="apple-converted-space">
    <w:name w:val="apple-converted-space"/>
    <w:basedOn w:val="DefaultParagraphFont"/>
    <w:rsid w:val="003E2D46"/>
  </w:style>
  <w:style w:type="paragraph" w:styleId="NormalWeb">
    <w:name w:val="Normal (Web)"/>
    <w:basedOn w:val="Normal"/>
    <w:uiPriority w:val="99"/>
    <w:unhideWhenUsed/>
    <w:rsid w:val="003E2D46"/>
    <w:pPr>
      <w:spacing w:before="100" w:beforeAutospacing="1" w:after="100" w:afterAutospacing="1" w:line="240" w:lineRule="auto"/>
    </w:pPr>
    <w:rPr>
      <w:rFonts w:ascii="Times New Roman" w:hAnsi="Times New Roman"/>
    </w:rPr>
  </w:style>
  <w:style w:type="character" w:customStyle="1" w:styleId="CommentTextChar">
    <w:name w:val="Comment Text Char"/>
    <w:basedOn w:val="DefaultParagraphFont"/>
    <w:link w:val="CommentText"/>
    <w:uiPriority w:val="99"/>
    <w:semiHidden/>
    <w:rsid w:val="003E2D46"/>
    <w:rPr>
      <w:rFonts w:eastAsiaTheme="minorHAnsi" w:cstheme="minorBidi"/>
    </w:rPr>
  </w:style>
  <w:style w:type="paragraph" w:styleId="CommentText">
    <w:name w:val="annotation text"/>
    <w:basedOn w:val="Normal"/>
    <w:link w:val="CommentTextChar"/>
    <w:uiPriority w:val="99"/>
    <w:semiHidden/>
    <w:unhideWhenUsed/>
    <w:rsid w:val="003E2D46"/>
    <w:pPr>
      <w:spacing w:after="200" w:line="240" w:lineRule="auto"/>
    </w:pPr>
    <w:rPr>
      <w:rFonts w:eastAsiaTheme="minorHAnsi" w:cstheme="minorBidi"/>
    </w:rPr>
  </w:style>
  <w:style w:type="character" w:customStyle="1" w:styleId="CommentSubjectChar">
    <w:name w:val="Comment Subject Char"/>
    <w:basedOn w:val="CommentTextChar"/>
    <w:link w:val="CommentSubject"/>
    <w:uiPriority w:val="99"/>
    <w:semiHidden/>
    <w:rsid w:val="003E2D46"/>
    <w:rPr>
      <w:rFonts w:eastAsiaTheme="minorHAnsi" w:cstheme="minorBidi"/>
      <w:b/>
      <w:bCs/>
      <w:sz w:val="20"/>
      <w:szCs w:val="20"/>
    </w:rPr>
  </w:style>
  <w:style w:type="paragraph" w:styleId="CommentSubject">
    <w:name w:val="annotation subject"/>
    <w:basedOn w:val="CommentText"/>
    <w:next w:val="CommentText"/>
    <w:link w:val="CommentSubjectChar"/>
    <w:uiPriority w:val="99"/>
    <w:semiHidden/>
    <w:unhideWhenUsed/>
    <w:rsid w:val="003E2D46"/>
    <w:rPr>
      <w:b/>
      <w:bCs/>
      <w:sz w:val="20"/>
      <w:szCs w:val="20"/>
    </w:rPr>
  </w:style>
  <w:style w:type="paragraph" w:customStyle="1" w:styleId="BATitle">
    <w:name w:val="BA_Title"/>
    <w:basedOn w:val="Normal"/>
    <w:next w:val="Normal"/>
    <w:rsid w:val="003E2D46"/>
    <w:pPr>
      <w:spacing w:before="720" w:after="360"/>
      <w:jc w:val="center"/>
    </w:pPr>
    <w:rPr>
      <w:rFonts w:ascii="Times New Roman" w:hAnsi="Times New Roman"/>
      <w:sz w:val="44"/>
      <w:szCs w:val="20"/>
    </w:rPr>
  </w:style>
  <w:style w:type="paragraph" w:customStyle="1" w:styleId="FACorrespondingAuthorFootnote">
    <w:name w:val="FA_Corresponding_Author_Footnote"/>
    <w:basedOn w:val="Normal"/>
    <w:next w:val="Normal"/>
    <w:rsid w:val="003E2D46"/>
    <w:pPr>
      <w:spacing w:after="200"/>
      <w:jc w:val="both"/>
    </w:pPr>
    <w:rPr>
      <w:rFonts w:ascii="Times" w:hAnsi="Times"/>
      <w:szCs w:val="20"/>
    </w:rPr>
  </w:style>
  <w:style w:type="paragraph" w:customStyle="1" w:styleId="StyleFACorrespondingAuthorFootnote7pt">
    <w:name w:val="Style FA_Corresponding_Author_Footnote + 7 pt"/>
    <w:basedOn w:val="Normal"/>
    <w:next w:val="Normal"/>
    <w:link w:val="StyleFACorrespondingAuthorFootnote7ptChar"/>
    <w:autoRedefine/>
    <w:rsid w:val="003E2D46"/>
    <w:pPr>
      <w:spacing w:line="240" w:lineRule="auto"/>
    </w:pPr>
    <w:rPr>
      <w:rFonts w:ascii="Arno Pro" w:hAnsi="Arno Pro"/>
      <w:kern w:val="20"/>
      <w:sz w:val="18"/>
      <w:szCs w:val="20"/>
    </w:rPr>
  </w:style>
  <w:style w:type="character" w:customStyle="1" w:styleId="StyleFACorrespondingAuthorFootnote7ptChar">
    <w:name w:val="Style FA_Corresponding_Author_Footnote + 7 pt Char"/>
    <w:link w:val="StyleFACorrespondingAuthorFootnote7pt"/>
    <w:rsid w:val="003E2D46"/>
    <w:rPr>
      <w:rFonts w:ascii="Arno Pro" w:hAnsi="Arno Pro"/>
      <w:kern w:val="20"/>
      <w:sz w:val="18"/>
      <w:szCs w:val="20"/>
    </w:rPr>
  </w:style>
  <w:style w:type="paragraph" w:customStyle="1" w:styleId="FAAuthorInfoSubtitle">
    <w:name w:val="FA_Author_Info_Subtitle"/>
    <w:basedOn w:val="Normal"/>
    <w:link w:val="FAAuthorInfoSubtitleChar"/>
    <w:autoRedefine/>
    <w:rsid w:val="003E2D46"/>
    <w:pPr>
      <w:spacing w:before="120" w:after="60"/>
    </w:pPr>
    <w:rPr>
      <w:rFonts w:ascii="Times New Roman" w:hAnsi="Times New Roman"/>
      <w:b/>
      <w:szCs w:val="20"/>
    </w:rPr>
  </w:style>
  <w:style w:type="character" w:customStyle="1" w:styleId="FAAuthorInfoSubtitleChar">
    <w:name w:val="FA_Author_Info_Subtitle Char"/>
    <w:link w:val="FAAuthorInfoSubtitle"/>
    <w:rsid w:val="003E2D46"/>
    <w:rPr>
      <w:rFonts w:ascii="Times New Roman" w:hAnsi="Times New Roman"/>
      <w:b/>
      <w:szCs w:val="20"/>
    </w:rPr>
  </w:style>
  <w:style w:type="character" w:styleId="CommentReference">
    <w:name w:val="annotation reference"/>
    <w:basedOn w:val="DefaultParagraphFont"/>
    <w:uiPriority w:val="99"/>
    <w:semiHidden/>
    <w:unhideWhenUsed/>
    <w:rsid w:val="00C47C5C"/>
    <w:rPr>
      <w:sz w:val="16"/>
      <w:szCs w:val="16"/>
    </w:rPr>
  </w:style>
  <w:style w:type="character" w:customStyle="1" w:styleId="nlmx">
    <w:name w:val="nlm_x"/>
    <w:basedOn w:val="DefaultParagraphFont"/>
    <w:rsid w:val="00C47C5C"/>
  </w:style>
  <w:style w:type="character" w:customStyle="1" w:styleId="citationyear">
    <w:name w:val="citation_year"/>
    <w:basedOn w:val="DefaultParagraphFont"/>
    <w:rsid w:val="00C47C5C"/>
  </w:style>
  <w:style w:type="character" w:customStyle="1" w:styleId="citationvolume">
    <w:name w:val="citation_volume"/>
    <w:basedOn w:val="DefaultParagraphFont"/>
    <w:rsid w:val="00C47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137066">
      <w:bodyDiv w:val="1"/>
      <w:marLeft w:val="0"/>
      <w:marRight w:val="0"/>
      <w:marTop w:val="0"/>
      <w:marBottom w:val="0"/>
      <w:divBdr>
        <w:top w:val="none" w:sz="0" w:space="0" w:color="auto"/>
        <w:left w:val="none" w:sz="0" w:space="0" w:color="auto"/>
        <w:bottom w:val="none" w:sz="0" w:space="0" w:color="auto"/>
        <w:right w:val="none" w:sz="0" w:space="0" w:color="auto"/>
      </w:divBdr>
    </w:div>
    <w:div w:id="619653408">
      <w:bodyDiv w:val="1"/>
      <w:marLeft w:val="0"/>
      <w:marRight w:val="0"/>
      <w:marTop w:val="0"/>
      <w:marBottom w:val="0"/>
      <w:divBdr>
        <w:top w:val="none" w:sz="0" w:space="0" w:color="auto"/>
        <w:left w:val="none" w:sz="0" w:space="0" w:color="auto"/>
        <w:bottom w:val="none" w:sz="0" w:space="0" w:color="auto"/>
        <w:right w:val="none" w:sz="0" w:space="0" w:color="auto"/>
      </w:divBdr>
    </w:div>
    <w:div w:id="836385679">
      <w:bodyDiv w:val="1"/>
      <w:marLeft w:val="0"/>
      <w:marRight w:val="0"/>
      <w:marTop w:val="0"/>
      <w:marBottom w:val="0"/>
      <w:divBdr>
        <w:top w:val="none" w:sz="0" w:space="0" w:color="auto"/>
        <w:left w:val="none" w:sz="0" w:space="0" w:color="auto"/>
        <w:bottom w:val="none" w:sz="0" w:space="0" w:color="auto"/>
        <w:right w:val="none" w:sz="0" w:space="0" w:color="auto"/>
      </w:divBdr>
    </w:div>
    <w:div w:id="866142013">
      <w:bodyDiv w:val="1"/>
      <w:marLeft w:val="0"/>
      <w:marRight w:val="0"/>
      <w:marTop w:val="0"/>
      <w:marBottom w:val="0"/>
      <w:divBdr>
        <w:top w:val="none" w:sz="0" w:space="0" w:color="auto"/>
        <w:left w:val="none" w:sz="0" w:space="0" w:color="auto"/>
        <w:bottom w:val="none" w:sz="0" w:space="0" w:color="auto"/>
        <w:right w:val="none" w:sz="0" w:space="0" w:color="auto"/>
      </w:divBdr>
    </w:div>
    <w:div w:id="900024378">
      <w:bodyDiv w:val="1"/>
      <w:marLeft w:val="0"/>
      <w:marRight w:val="0"/>
      <w:marTop w:val="0"/>
      <w:marBottom w:val="0"/>
      <w:divBdr>
        <w:top w:val="none" w:sz="0" w:space="0" w:color="auto"/>
        <w:left w:val="none" w:sz="0" w:space="0" w:color="auto"/>
        <w:bottom w:val="none" w:sz="0" w:space="0" w:color="auto"/>
        <w:right w:val="none" w:sz="0" w:space="0" w:color="auto"/>
      </w:divBdr>
    </w:div>
    <w:div w:id="926961024">
      <w:bodyDiv w:val="1"/>
      <w:marLeft w:val="0"/>
      <w:marRight w:val="0"/>
      <w:marTop w:val="0"/>
      <w:marBottom w:val="0"/>
      <w:divBdr>
        <w:top w:val="none" w:sz="0" w:space="0" w:color="auto"/>
        <w:left w:val="none" w:sz="0" w:space="0" w:color="auto"/>
        <w:bottom w:val="none" w:sz="0" w:space="0" w:color="auto"/>
        <w:right w:val="none" w:sz="0" w:space="0" w:color="auto"/>
      </w:divBdr>
    </w:div>
    <w:div w:id="1011225434">
      <w:bodyDiv w:val="1"/>
      <w:marLeft w:val="0"/>
      <w:marRight w:val="0"/>
      <w:marTop w:val="0"/>
      <w:marBottom w:val="0"/>
      <w:divBdr>
        <w:top w:val="none" w:sz="0" w:space="0" w:color="auto"/>
        <w:left w:val="none" w:sz="0" w:space="0" w:color="auto"/>
        <w:bottom w:val="none" w:sz="0" w:space="0" w:color="auto"/>
        <w:right w:val="none" w:sz="0" w:space="0" w:color="auto"/>
      </w:divBdr>
    </w:div>
    <w:div w:id="1028683238">
      <w:bodyDiv w:val="1"/>
      <w:marLeft w:val="0"/>
      <w:marRight w:val="0"/>
      <w:marTop w:val="0"/>
      <w:marBottom w:val="0"/>
      <w:divBdr>
        <w:top w:val="none" w:sz="0" w:space="0" w:color="auto"/>
        <w:left w:val="none" w:sz="0" w:space="0" w:color="auto"/>
        <w:bottom w:val="none" w:sz="0" w:space="0" w:color="auto"/>
        <w:right w:val="none" w:sz="0" w:space="0" w:color="auto"/>
      </w:divBdr>
    </w:div>
    <w:div w:id="1106925952">
      <w:bodyDiv w:val="1"/>
      <w:marLeft w:val="0"/>
      <w:marRight w:val="0"/>
      <w:marTop w:val="0"/>
      <w:marBottom w:val="0"/>
      <w:divBdr>
        <w:top w:val="none" w:sz="0" w:space="0" w:color="auto"/>
        <w:left w:val="none" w:sz="0" w:space="0" w:color="auto"/>
        <w:bottom w:val="none" w:sz="0" w:space="0" w:color="auto"/>
        <w:right w:val="none" w:sz="0" w:space="0" w:color="auto"/>
      </w:divBdr>
    </w:div>
    <w:div w:id="1335379995">
      <w:bodyDiv w:val="1"/>
      <w:marLeft w:val="0"/>
      <w:marRight w:val="0"/>
      <w:marTop w:val="0"/>
      <w:marBottom w:val="0"/>
      <w:divBdr>
        <w:top w:val="none" w:sz="0" w:space="0" w:color="auto"/>
        <w:left w:val="none" w:sz="0" w:space="0" w:color="auto"/>
        <w:bottom w:val="none" w:sz="0" w:space="0" w:color="auto"/>
        <w:right w:val="none" w:sz="0" w:space="0" w:color="auto"/>
      </w:divBdr>
    </w:div>
    <w:div w:id="1692947202">
      <w:bodyDiv w:val="1"/>
      <w:marLeft w:val="0"/>
      <w:marRight w:val="0"/>
      <w:marTop w:val="0"/>
      <w:marBottom w:val="0"/>
      <w:divBdr>
        <w:top w:val="none" w:sz="0" w:space="0" w:color="auto"/>
        <w:left w:val="none" w:sz="0" w:space="0" w:color="auto"/>
        <w:bottom w:val="none" w:sz="0" w:space="0" w:color="auto"/>
        <w:right w:val="none" w:sz="0" w:space="0" w:color="auto"/>
      </w:divBdr>
    </w:div>
    <w:div w:id="1911114912">
      <w:bodyDiv w:val="1"/>
      <w:marLeft w:val="0"/>
      <w:marRight w:val="0"/>
      <w:marTop w:val="0"/>
      <w:marBottom w:val="0"/>
      <w:divBdr>
        <w:top w:val="none" w:sz="0" w:space="0" w:color="auto"/>
        <w:left w:val="none" w:sz="0" w:space="0" w:color="auto"/>
        <w:bottom w:val="none" w:sz="0" w:space="0" w:color="auto"/>
        <w:right w:val="none" w:sz="0" w:space="0" w:color="auto"/>
      </w:divBdr>
    </w:div>
    <w:div w:id="202034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file:///C:\Users\Manish%20Budhathoki\Dropbox\Dissertation\Mahesh%20Budhathoki%20-%20Dessertation%202015.docx" TargetMode="External"/><Relationship Id="rId26" Type="http://schemas.openxmlformats.org/officeDocument/2006/relationships/hyperlink" Target="file:///C:\Users\Manish%20Budhathoki\Dropbox\Dissertation\Mahesh%20Budhathoki%20-%20Dessertation%202015.docx" TargetMode="External"/><Relationship Id="rId39" Type="http://schemas.openxmlformats.org/officeDocument/2006/relationships/hyperlink" Target="file:///C:\Users\Manish%20Budhathoki\Dropbox\Dissertation\Mahesh%20Budhathoki%20-%20Dessertation%202015.docx" TargetMode="External"/><Relationship Id="rId21" Type="http://schemas.openxmlformats.org/officeDocument/2006/relationships/hyperlink" Target="file:///C:\Users\Manish%20Budhathoki\Dropbox\Dissertation\Mahesh%20Budhathoki%20-%20Dessertation%202015.docx" TargetMode="External"/><Relationship Id="rId34" Type="http://schemas.openxmlformats.org/officeDocument/2006/relationships/hyperlink" Target="file:///C:\Users\Manish%20Budhathoki\Dropbox\Dissertation\Mahesh%20Budhathoki%20-%20Dessertation%202015.docx" TargetMode="External"/><Relationship Id="rId42" Type="http://schemas.openxmlformats.org/officeDocument/2006/relationships/chart" Target="charts/chart1.xml"/><Relationship Id="rId47" Type="http://schemas.openxmlformats.org/officeDocument/2006/relationships/image" Target="media/image4.png"/><Relationship Id="rId50" Type="http://schemas.microsoft.com/office/2007/relationships/hdphoto" Target="media/hdphoto1.wdp"/><Relationship Id="rId55" Type="http://schemas.openxmlformats.org/officeDocument/2006/relationships/image" Target="media/image6.png"/><Relationship Id="rId63" Type="http://schemas.openxmlformats.org/officeDocument/2006/relationships/chart" Target="charts/chart16.xml"/><Relationship Id="rId68" Type="http://schemas.microsoft.com/office/2007/relationships/hdphoto" Target="media/hdphoto3.wdp"/><Relationship Id="rId7" Type="http://schemas.openxmlformats.org/officeDocument/2006/relationships/endnotes" Target="endnotes.xml"/><Relationship Id="rId71"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file:///C:\Users\Manish%20Budhathoki\Dropbox\Dissertation\Mahesh%20Budhathoki%20-%20Dessertation%202015.docx" TargetMode="External"/><Relationship Id="rId29" Type="http://schemas.openxmlformats.org/officeDocument/2006/relationships/hyperlink" Target="file:///C:\Users\Manish%20Budhathoki\Dropbox\Dissertation\Mahesh%20Budhathoki%20-%20Dessertation%202015.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file:///C:\Users\Manish%20Budhathoki\Dropbox\Dissertation\Mahesh%20Budhathoki%20-%20Dessertation%202015.docx" TargetMode="External"/><Relationship Id="rId32" Type="http://schemas.openxmlformats.org/officeDocument/2006/relationships/hyperlink" Target="file:///C:\Users\Manish%20Budhathoki\Dropbox\Dissertation\Mahesh%20Budhathoki%20-%20Dessertation%202015.docx" TargetMode="External"/><Relationship Id="rId37" Type="http://schemas.openxmlformats.org/officeDocument/2006/relationships/hyperlink" Target="file:///C:\Users\Manish%20Budhathoki\Dropbox\Dissertation\Mahesh%20Budhathoki%20-%20Dessertation%202015.docx" TargetMode="External"/><Relationship Id="rId40" Type="http://schemas.openxmlformats.org/officeDocument/2006/relationships/footer" Target="footer5.xml"/><Relationship Id="rId45" Type="http://schemas.openxmlformats.org/officeDocument/2006/relationships/chart" Target="charts/chart3.xml"/><Relationship Id="rId53" Type="http://schemas.openxmlformats.org/officeDocument/2006/relationships/chart" Target="charts/chart7.xml"/><Relationship Id="rId58" Type="http://schemas.openxmlformats.org/officeDocument/2006/relationships/chart" Target="charts/chart11.xml"/><Relationship Id="rId66"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file:///C:\Users\Manish%20Budhathoki\Dropbox\Dissertation\Mahesh%20Budhathoki%20-%20Dessertation%202015.docx" TargetMode="External"/><Relationship Id="rId23" Type="http://schemas.openxmlformats.org/officeDocument/2006/relationships/hyperlink" Target="file:///C:\Users\Manish%20Budhathoki\Dropbox\Dissertation\Mahesh%20Budhathoki%20-%20Dessertation%202015.docx" TargetMode="External"/><Relationship Id="rId28" Type="http://schemas.openxmlformats.org/officeDocument/2006/relationships/hyperlink" Target="file:///C:\Users\Manish%20Budhathoki\Dropbox\Dissertation\Mahesh%20Budhathoki%20-%20Dessertation%202015.docx" TargetMode="External"/><Relationship Id="rId36" Type="http://schemas.openxmlformats.org/officeDocument/2006/relationships/hyperlink" Target="file:///C:\Users\Manish%20Budhathoki\Dropbox\Dissertation\Mahesh%20Budhathoki%20-%20Dessertation%202015.docx" TargetMode="External"/><Relationship Id="rId49" Type="http://schemas.openxmlformats.org/officeDocument/2006/relationships/image" Target="media/image5.png"/><Relationship Id="rId57" Type="http://schemas.openxmlformats.org/officeDocument/2006/relationships/chart" Target="charts/chart10.xml"/><Relationship Id="rId61" Type="http://schemas.openxmlformats.org/officeDocument/2006/relationships/chart" Target="charts/chart14.xml"/><Relationship Id="rId10" Type="http://schemas.openxmlformats.org/officeDocument/2006/relationships/footer" Target="footer1.xml"/><Relationship Id="rId19" Type="http://schemas.openxmlformats.org/officeDocument/2006/relationships/hyperlink" Target="file:///C:\Users\Manish%20Budhathoki\Dropbox\Dissertation\Mahesh%20Budhathoki%20-%20Dessertation%202015.docx" TargetMode="External"/><Relationship Id="rId31" Type="http://schemas.openxmlformats.org/officeDocument/2006/relationships/hyperlink" Target="file:///C:\Users\Manish%20Budhathoki\Dropbox\Dissertation\Mahesh%20Budhathoki%20-%20Dessertation%202015.docx" TargetMode="External"/><Relationship Id="rId44" Type="http://schemas.openxmlformats.org/officeDocument/2006/relationships/image" Target="media/image2.png"/><Relationship Id="rId52" Type="http://schemas.openxmlformats.org/officeDocument/2006/relationships/chart" Target="charts/chart6.xml"/><Relationship Id="rId60" Type="http://schemas.openxmlformats.org/officeDocument/2006/relationships/chart" Target="charts/chart13.xml"/><Relationship Id="rId65" Type="http://schemas.microsoft.com/office/2007/relationships/hdphoto" Target="media/hdphoto2.wdp"/><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yperlink" Target="file:///C:\Users\Manish%20Budhathoki\Dropbox\Dissertation\Mahesh%20Budhathoki%20-%20Dessertation%202015.docx" TargetMode="External"/><Relationship Id="rId27" Type="http://schemas.openxmlformats.org/officeDocument/2006/relationships/hyperlink" Target="file:///C:\Users\Manish%20Budhathoki\Dropbox\Dissertation\Mahesh%20Budhathoki%20-%20Dessertation%202015.docx" TargetMode="External"/><Relationship Id="rId30" Type="http://schemas.openxmlformats.org/officeDocument/2006/relationships/hyperlink" Target="file:///C:\Users\Manish%20Budhathoki\Dropbox\Dissertation\Mahesh%20Budhathoki%20-%20Dessertation%202015.docx" TargetMode="External"/><Relationship Id="rId35" Type="http://schemas.openxmlformats.org/officeDocument/2006/relationships/hyperlink" Target="file:///C:\Users\Manish%20Budhathoki\Dropbox\Dissertation\Mahesh%20Budhathoki%20-%20Dessertation%202015.docx" TargetMode="External"/><Relationship Id="rId43" Type="http://schemas.openxmlformats.org/officeDocument/2006/relationships/chart" Target="charts/chart2.xml"/><Relationship Id="rId48" Type="http://schemas.openxmlformats.org/officeDocument/2006/relationships/chart" Target="charts/chart4.xml"/><Relationship Id="rId56" Type="http://schemas.openxmlformats.org/officeDocument/2006/relationships/chart" Target="charts/chart9.xml"/><Relationship Id="rId64" Type="http://schemas.openxmlformats.org/officeDocument/2006/relationships/image" Target="media/image7.png"/><Relationship Id="rId69" Type="http://schemas.openxmlformats.org/officeDocument/2006/relationships/image" Target="media/image10.png"/><Relationship Id="rId8" Type="http://schemas.openxmlformats.org/officeDocument/2006/relationships/header" Target="header1.xml"/><Relationship Id="rId51" Type="http://schemas.openxmlformats.org/officeDocument/2006/relationships/chart" Target="charts/chart5.xm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file:///C:\Users\Manish%20Budhathoki\Dropbox\Dissertation\Mahesh%20Budhathoki%20-%20Dessertation%202015.docx" TargetMode="External"/><Relationship Id="rId25" Type="http://schemas.openxmlformats.org/officeDocument/2006/relationships/hyperlink" Target="file:///C:\Users\Manish%20Budhathoki\Dropbox\Dissertation\Mahesh%20Budhathoki%20-%20Dessertation%202015.docx" TargetMode="External"/><Relationship Id="rId33" Type="http://schemas.openxmlformats.org/officeDocument/2006/relationships/hyperlink" Target="file:///C:\Users\Manish%20Budhathoki\Dropbox\Dissertation\Mahesh%20Budhathoki%20-%20Dessertation%202015.docx" TargetMode="External"/><Relationship Id="rId38" Type="http://schemas.openxmlformats.org/officeDocument/2006/relationships/hyperlink" Target="file:///C:\Users\Manish%20Budhathoki\Dropbox\Dissertation\Mahesh%20Budhathoki%20-%20Dessertation%202015.docx" TargetMode="External"/><Relationship Id="rId46" Type="http://schemas.openxmlformats.org/officeDocument/2006/relationships/image" Target="media/image3.png"/><Relationship Id="rId59" Type="http://schemas.openxmlformats.org/officeDocument/2006/relationships/chart" Target="charts/chart12.xml"/><Relationship Id="rId67" Type="http://schemas.openxmlformats.org/officeDocument/2006/relationships/image" Target="media/image9.png"/><Relationship Id="rId20" Type="http://schemas.openxmlformats.org/officeDocument/2006/relationships/hyperlink" Target="file:///C:\Users\Manish%20Budhathoki\Dropbox\Dissertation\Mahesh%20Budhathoki%20-%20Dessertation%202015.docx" TargetMode="External"/><Relationship Id="rId41" Type="http://schemas.openxmlformats.org/officeDocument/2006/relationships/image" Target="media/image1.png"/><Relationship Id="rId54" Type="http://schemas.openxmlformats.org/officeDocument/2006/relationships/chart" Target="charts/chart8.xml"/><Relationship Id="rId62" Type="http://schemas.openxmlformats.org/officeDocument/2006/relationships/chart" Target="charts/chart15.xml"/><Relationship Id="rId7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embeddings/oleObject2.bin"/></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361466757383772"/>
          <c:y val="5.1400554097404502E-2"/>
          <c:w val="0.84563530174360346"/>
          <c:h val="0.7648083989501312"/>
        </c:manualLayout>
      </c:layout>
      <c:scatterChart>
        <c:scatterStyle val="lineMarker"/>
        <c:varyColors val="0"/>
        <c:ser>
          <c:idx val="0"/>
          <c:order val="0"/>
          <c:tx>
            <c:v>C8-(PO)4-SO4Na</c:v>
          </c:tx>
          <c:spPr>
            <a:ln w="28575">
              <a:noFill/>
            </a:ln>
          </c:spPr>
          <c:marker>
            <c:symbol val="star"/>
            <c:size val="7"/>
            <c:spPr>
              <a:noFill/>
              <a:ln>
                <a:solidFill>
                  <a:schemeClr val="tx1"/>
                </a:solidFill>
              </a:ln>
            </c:spPr>
          </c:marker>
          <c:trendline>
            <c:spPr>
              <a:ln w="12700"/>
            </c:spPr>
            <c:trendlineType val="linear"/>
            <c:dispRSqr val="1"/>
            <c:dispEq val="1"/>
            <c:trendlineLbl>
              <c:layout>
                <c:manualLayout>
                  <c:x val="-0.23304764256296343"/>
                  <c:y val="-2.2483719420049095E-2"/>
                </c:manualLayout>
              </c:layout>
              <c:numFmt formatCode="General" sourceLinked="0"/>
              <c:txPr>
                <a:bodyPr/>
                <a:lstStyle/>
                <a:p>
                  <a:pPr>
                    <a:defRPr sz="1100" b="0">
                      <a:latin typeface="Times New Roman" panose="02020603050405020304" pitchFamily="18" charset="0"/>
                      <a:cs typeface="Times New Roman" panose="02020603050405020304" pitchFamily="18" charset="0"/>
                    </a:defRPr>
                  </a:pPr>
                  <a:endParaRPr lang="en-US"/>
                </a:p>
              </c:txPr>
            </c:trendlineLbl>
          </c:trendline>
          <c:xVal>
            <c:numRef>
              <c:f>'Extended Surfactant'!$A$4:$A$6</c:f>
              <c:numCache>
                <c:formatCode>General</c:formatCode>
                <c:ptCount val="3"/>
                <c:pt idx="0">
                  <c:v>6</c:v>
                </c:pt>
                <c:pt idx="1">
                  <c:v>8</c:v>
                </c:pt>
                <c:pt idx="2">
                  <c:v>10</c:v>
                </c:pt>
              </c:numCache>
            </c:numRef>
          </c:xVal>
          <c:yVal>
            <c:numRef>
              <c:f>'Extended Surfactant'!$F$4:$F$6</c:f>
              <c:numCache>
                <c:formatCode>General</c:formatCode>
                <c:ptCount val="3"/>
                <c:pt idx="0">
                  <c:v>2.8033603809065348</c:v>
                </c:pt>
                <c:pt idx="1">
                  <c:v>2.9285235238605409</c:v>
                </c:pt>
                <c:pt idx="2">
                  <c:v>3.0204248861443626</c:v>
                </c:pt>
              </c:numCache>
            </c:numRef>
          </c:yVal>
          <c:smooth val="0"/>
        </c:ser>
        <c:ser>
          <c:idx val="1"/>
          <c:order val="1"/>
          <c:tx>
            <c:v>C8-(PO)4-(EO)1-SO4Na</c:v>
          </c:tx>
          <c:spPr>
            <a:ln w="28575">
              <a:noFill/>
            </a:ln>
          </c:spPr>
          <c:marker>
            <c:symbol val="triangle"/>
            <c:size val="7"/>
            <c:spPr>
              <a:solidFill>
                <a:schemeClr val="tx1"/>
              </a:solidFill>
              <a:ln>
                <a:solidFill>
                  <a:schemeClr val="tx1"/>
                </a:solidFill>
              </a:ln>
            </c:spPr>
          </c:marker>
          <c:trendline>
            <c:spPr>
              <a:ln w="12700"/>
            </c:spPr>
            <c:trendlineType val="linear"/>
            <c:dispRSqr val="1"/>
            <c:dispEq val="1"/>
            <c:trendlineLbl>
              <c:layout>
                <c:manualLayout>
                  <c:x val="0.22528911629811671"/>
                  <c:y val="9.6335597382407337E-2"/>
                </c:manualLayout>
              </c:layout>
              <c:numFmt formatCode="General" sourceLinked="0"/>
              <c:txPr>
                <a:bodyPr/>
                <a:lstStyle/>
                <a:p>
                  <a:pPr>
                    <a:defRPr sz="1100" b="0">
                      <a:latin typeface="Times New Roman" panose="02020603050405020304" pitchFamily="18" charset="0"/>
                      <a:cs typeface="Times New Roman" panose="02020603050405020304" pitchFamily="18" charset="0"/>
                    </a:defRPr>
                  </a:pPr>
                  <a:endParaRPr lang="en-US"/>
                </a:p>
              </c:txPr>
            </c:trendlineLbl>
          </c:trendline>
          <c:xVal>
            <c:numRef>
              <c:f>'Extended Surfactant'!$A$4:$A$6</c:f>
              <c:numCache>
                <c:formatCode>General</c:formatCode>
                <c:ptCount val="3"/>
                <c:pt idx="0">
                  <c:v>6</c:v>
                </c:pt>
                <c:pt idx="1">
                  <c:v>8</c:v>
                </c:pt>
                <c:pt idx="2">
                  <c:v>10</c:v>
                </c:pt>
              </c:numCache>
            </c:numRef>
          </c:xVal>
          <c:yVal>
            <c:numRef>
              <c:f>'Extended Surfactant'!$C$4:$C$6</c:f>
              <c:numCache>
                <c:formatCode>General</c:formatCode>
                <c:ptCount val="3"/>
                <c:pt idx="0">
                  <c:v>2.7850112422383382</c:v>
                </c:pt>
                <c:pt idx="1">
                  <c:v>2.9069010598473755</c:v>
                </c:pt>
                <c:pt idx="2">
                  <c:v>2.9957322735539909</c:v>
                </c:pt>
              </c:numCache>
            </c:numRef>
          </c:yVal>
          <c:smooth val="0"/>
        </c:ser>
        <c:ser>
          <c:idx val="2"/>
          <c:order val="2"/>
          <c:tx>
            <c:v>C10-(PO)4-(EO)1-SO4Na</c:v>
          </c:tx>
          <c:spPr>
            <a:ln w="28575">
              <a:noFill/>
            </a:ln>
          </c:spPr>
          <c:marker>
            <c:symbol val="diamond"/>
            <c:size val="7"/>
            <c:spPr>
              <a:solidFill>
                <a:schemeClr val="tx1"/>
              </a:solidFill>
              <a:ln>
                <a:solidFill>
                  <a:schemeClr val="tx1"/>
                </a:solidFill>
              </a:ln>
            </c:spPr>
          </c:marker>
          <c:trendline>
            <c:spPr>
              <a:ln w="12700"/>
            </c:spPr>
            <c:trendlineType val="linear"/>
            <c:dispRSqr val="1"/>
            <c:dispEq val="1"/>
            <c:trendlineLbl>
              <c:layout>
                <c:manualLayout>
                  <c:x val="-0.34877909179235339"/>
                  <c:y val="0.17690656571693866"/>
                </c:manualLayout>
              </c:layout>
              <c:numFmt formatCode="General" sourceLinked="0"/>
              <c:txPr>
                <a:bodyPr/>
                <a:lstStyle/>
                <a:p>
                  <a:pPr>
                    <a:defRPr sz="1100" b="0">
                      <a:latin typeface="Times New Roman" panose="02020603050405020304" pitchFamily="18" charset="0"/>
                      <a:cs typeface="Times New Roman" panose="02020603050405020304" pitchFamily="18" charset="0"/>
                    </a:defRPr>
                  </a:pPr>
                  <a:endParaRPr lang="en-US"/>
                </a:p>
              </c:txPr>
            </c:trendlineLbl>
          </c:trendline>
          <c:xVal>
            <c:numRef>
              <c:f>'Extended Surfactant'!$A$4:$A$6</c:f>
              <c:numCache>
                <c:formatCode>General</c:formatCode>
                <c:ptCount val="3"/>
                <c:pt idx="0">
                  <c:v>6</c:v>
                </c:pt>
                <c:pt idx="1">
                  <c:v>8</c:v>
                </c:pt>
                <c:pt idx="2">
                  <c:v>10</c:v>
                </c:pt>
              </c:numCache>
            </c:numRef>
          </c:xVal>
          <c:yVal>
            <c:numRef>
              <c:f>'Extended Surfactant'!$I$4:$I$6</c:f>
              <c:numCache>
                <c:formatCode>General</c:formatCode>
                <c:ptCount val="3"/>
                <c:pt idx="0">
                  <c:v>2.6026896854443837</c:v>
                </c:pt>
                <c:pt idx="1">
                  <c:v>2.7472709142554912</c:v>
                </c:pt>
                <c:pt idx="2">
                  <c:v>2.8622008809294686</c:v>
                </c:pt>
              </c:numCache>
            </c:numRef>
          </c:yVal>
          <c:smooth val="0"/>
        </c:ser>
        <c:ser>
          <c:idx val="3"/>
          <c:order val="3"/>
          <c:tx>
            <c:v>C10-(PO)4-SO4Na</c:v>
          </c:tx>
          <c:spPr>
            <a:ln w="28575">
              <a:noFill/>
            </a:ln>
          </c:spPr>
          <c:marker>
            <c:symbol val="plus"/>
            <c:size val="7"/>
            <c:spPr>
              <a:ln>
                <a:solidFill>
                  <a:schemeClr val="tx1"/>
                </a:solidFill>
              </a:ln>
            </c:spPr>
          </c:marker>
          <c:trendline>
            <c:spPr>
              <a:ln w="12700"/>
            </c:spPr>
            <c:trendlineType val="linear"/>
            <c:dispRSqr val="1"/>
            <c:dispEq val="1"/>
            <c:trendlineLbl>
              <c:layout>
                <c:manualLayout>
                  <c:x val="2.0882976779933785E-2"/>
                  <c:y val="0.2101585572939762"/>
                </c:manualLayout>
              </c:layout>
              <c:numFmt formatCode="General" sourceLinked="0"/>
              <c:txPr>
                <a:bodyPr/>
                <a:lstStyle/>
                <a:p>
                  <a:pPr>
                    <a:defRPr sz="1100" b="0">
                      <a:latin typeface="Times New Roman" panose="02020603050405020304" pitchFamily="18" charset="0"/>
                      <a:cs typeface="Times New Roman" panose="02020603050405020304" pitchFamily="18" charset="0"/>
                    </a:defRPr>
                  </a:pPr>
                  <a:endParaRPr lang="en-US"/>
                </a:p>
              </c:txPr>
            </c:trendlineLbl>
          </c:trendline>
          <c:xVal>
            <c:numRef>
              <c:f>'Extended Surfactant'!$A$4:$A$6</c:f>
              <c:numCache>
                <c:formatCode>General</c:formatCode>
                <c:ptCount val="3"/>
                <c:pt idx="0">
                  <c:v>6</c:v>
                </c:pt>
                <c:pt idx="1">
                  <c:v>8</c:v>
                </c:pt>
                <c:pt idx="2">
                  <c:v>10</c:v>
                </c:pt>
              </c:numCache>
            </c:numRef>
          </c:xVal>
          <c:yVal>
            <c:numRef>
              <c:f>'Extended Surfactant'!$L$4:$L$6</c:f>
              <c:numCache>
                <c:formatCode>General</c:formatCode>
                <c:ptCount val="3"/>
                <c:pt idx="0">
                  <c:v>2.5572273113676265</c:v>
                </c:pt>
                <c:pt idx="1">
                  <c:v>2.7146947438208788</c:v>
                </c:pt>
                <c:pt idx="2">
                  <c:v>2.8332133440562162</c:v>
                </c:pt>
              </c:numCache>
            </c:numRef>
          </c:yVal>
          <c:smooth val="0"/>
        </c:ser>
        <c:dLbls>
          <c:showLegendKey val="0"/>
          <c:showVal val="0"/>
          <c:showCatName val="0"/>
          <c:showSerName val="0"/>
          <c:showPercent val="0"/>
          <c:showBubbleSize val="0"/>
        </c:dLbls>
        <c:axId val="210202800"/>
        <c:axId val="210203192"/>
      </c:scatterChart>
      <c:valAx>
        <c:axId val="210202800"/>
        <c:scaling>
          <c:orientation val="minMax"/>
          <c:max val="12"/>
          <c:min val="4"/>
        </c:scaling>
        <c:delete val="0"/>
        <c:axPos val="b"/>
        <c:title>
          <c:tx>
            <c:rich>
              <a:bodyPr/>
              <a:lstStyle/>
              <a:p>
                <a:pPr>
                  <a:defRPr sz="1200">
                    <a:latin typeface="Times New Roman" panose="02020603050405020304" pitchFamily="18" charset="0"/>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Equivalent</a:t>
                </a:r>
                <a:r>
                  <a:rPr lang="en-US" sz="1200" baseline="0">
                    <a:latin typeface="Times New Roman" panose="02020603050405020304" pitchFamily="18" charset="0"/>
                    <a:cs typeface="Times New Roman" panose="02020603050405020304" pitchFamily="18" charset="0"/>
                  </a:rPr>
                  <a:t> Alkane Carbon Number, EACN</a:t>
                </a:r>
                <a:endParaRPr lang="en-US" sz="1200">
                  <a:latin typeface="Times New Roman" panose="02020603050405020304" pitchFamily="18" charset="0"/>
                  <a:cs typeface="Times New Roman" panose="02020603050405020304" pitchFamily="18" charset="0"/>
                </a:endParaRPr>
              </a:p>
            </c:rich>
          </c:tx>
          <c:layout>
            <c:manualLayout>
              <c:xMode val="edge"/>
              <c:yMode val="edge"/>
              <c:x val="0.25148161357879045"/>
              <c:y val="0.89803278937958841"/>
            </c:manualLayout>
          </c:layout>
          <c:overlay val="0"/>
        </c:title>
        <c:numFmt formatCode="General" sourceLinked="1"/>
        <c:majorTickMark val="out"/>
        <c:minorTickMark val="none"/>
        <c:tickLblPos val="nextTo"/>
        <c:txPr>
          <a:bodyPr/>
          <a:lstStyle/>
          <a:p>
            <a:pPr>
              <a:defRPr sz="1100" b="1">
                <a:latin typeface="Times New Roman" panose="02020603050405020304" pitchFamily="18" charset="0"/>
                <a:cs typeface="Times New Roman" panose="02020603050405020304" pitchFamily="18" charset="0"/>
              </a:defRPr>
            </a:pPr>
            <a:endParaRPr lang="en-US"/>
          </a:p>
        </c:txPr>
        <c:crossAx val="210203192"/>
        <c:crosses val="autoZero"/>
        <c:crossBetween val="midCat"/>
      </c:valAx>
      <c:valAx>
        <c:axId val="210203192"/>
        <c:scaling>
          <c:orientation val="minMax"/>
          <c:max val="3.05"/>
          <c:min val="2.3499999999999996"/>
        </c:scaling>
        <c:delete val="0"/>
        <c:axPos val="l"/>
        <c:title>
          <c:tx>
            <c:rich>
              <a:bodyPr rot="-5400000" vert="horz"/>
              <a:lstStyle/>
              <a:p>
                <a:pPr>
                  <a:defRPr sz="1400">
                    <a:latin typeface="Times New Roman" panose="02020603050405020304" pitchFamily="18" charset="0"/>
                    <a:cs typeface="Times New Roman" panose="02020603050405020304" pitchFamily="18" charset="0"/>
                  </a:defRPr>
                </a:pPr>
                <a:r>
                  <a:rPr lang="en-US" sz="1400">
                    <a:latin typeface="Times New Roman" panose="02020603050405020304" pitchFamily="18" charset="0"/>
                    <a:cs typeface="Times New Roman" panose="02020603050405020304" pitchFamily="18" charset="0"/>
                  </a:rPr>
                  <a:t>ln(S*)</a:t>
                </a:r>
              </a:p>
            </c:rich>
          </c:tx>
          <c:layout>
            <c:manualLayout>
              <c:xMode val="edge"/>
              <c:yMode val="edge"/>
              <c:x val="7.8939522803552001E-3"/>
              <c:y val="0.36378470082544029"/>
            </c:manualLayout>
          </c:layout>
          <c:overlay val="0"/>
        </c:title>
        <c:numFmt formatCode="0.00" sourceLinked="0"/>
        <c:majorTickMark val="out"/>
        <c:minorTickMark val="none"/>
        <c:tickLblPos val="nextTo"/>
        <c:spPr>
          <a:ln>
            <a:solidFill>
              <a:sysClr val="windowText" lastClr="000000"/>
            </a:solidFill>
          </a:ln>
        </c:spPr>
        <c:txPr>
          <a:bodyPr/>
          <a:lstStyle/>
          <a:p>
            <a:pPr>
              <a:defRPr sz="1100" b="1">
                <a:latin typeface="Times New Roman" panose="02020603050405020304" pitchFamily="18" charset="0"/>
                <a:cs typeface="Times New Roman" panose="02020603050405020304" pitchFamily="18" charset="0"/>
              </a:defRPr>
            </a:pPr>
            <a:endParaRPr lang="en-US"/>
          </a:p>
        </c:txPr>
        <c:crossAx val="210202800"/>
        <c:crosses val="autoZero"/>
        <c:crossBetween val="midCat"/>
        <c:majorUnit val="0.17500000000000002"/>
      </c:valAx>
      <c:spPr>
        <a:noFill/>
        <a:ln w="25400">
          <a:noFill/>
        </a:ln>
      </c:spPr>
    </c:plotArea>
    <c:legend>
      <c:legendPos val="r"/>
      <c:legendEntry>
        <c:idx val="4"/>
        <c:delete val="1"/>
      </c:legendEntry>
      <c:legendEntry>
        <c:idx val="5"/>
        <c:delete val="1"/>
      </c:legendEntry>
      <c:legendEntry>
        <c:idx val="6"/>
        <c:delete val="1"/>
      </c:legendEntry>
      <c:legendEntry>
        <c:idx val="7"/>
        <c:delete val="1"/>
      </c:legendEntry>
      <c:layout>
        <c:manualLayout>
          <c:xMode val="edge"/>
          <c:yMode val="edge"/>
          <c:x val="0.28073845057192737"/>
          <c:y val="0.61625628411410849"/>
          <c:w val="0.6941220334022099"/>
          <c:h val="0.17937394328776388"/>
        </c:manualLayout>
      </c:layout>
      <c:overlay val="0"/>
      <c:txPr>
        <a:bodyPr/>
        <a:lstStyle/>
        <a:p>
          <a:pPr>
            <a:defRPr sz="1050" b="0">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spPr>
    <a:ln>
      <a:solidFill>
        <a:sysClr val="windowText" lastClr="000000"/>
      </a:solidFill>
    </a:ln>
  </c:sp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9531726989062"/>
          <c:y val="5.1400554097404502E-2"/>
          <c:w val="0.77960213127865452"/>
          <c:h val="0.72709065213002233"/>
        </c:manualLayout>
      </c:layout>
      <c:scatterChart>
        <c:scatterStyle val="lineMarker"/>
        <c:varyColors val="0"/>
        <c:ser>
          <c:idx val="0"/>
          <c:order val="0"/>
          <c:tx>
            <c:v>C12-SO4Na (SDS)</c:v>
          </c:tx>
          <c:spPr>
            <a:ln w="28575">
              <a:noFill/>
            </a:ln>
          </c:spPr>
          <c:marker>
            <c:symbol val="circle"/>
            <c:size val="5"/>
            <c:spPr>
              <a:solidFill>
                <a:schemeClr val="tx1"/>
              </a:solidFill>
              <a:ln>
                <a:solidFill>
                  <a:schemeClr val="tx1"/>
                </a:solidFill>
              </a:ln>
            </c:spPr>
          </c:marker>
          <c:trendline>
            <c:spPr>
              <a:ln w="12700"/>
            </c:spPr>
            <c:trendlineType val="linear"/>
            <c:dispRSqr val="1"/>
            <c:dispEq val="1"/>
            <c:trendlineLbl>
              <c:layout>
                <c:manualLayout>
                  <c:x val="-0.15849650043744501"/>
                  <c:y val="4.8605278506853297E-2"/>
                </c:manualLayout>
              </c:layout>
              <c:numFmt formatCode="General" sourceLinked="0"/>
              <c:txPr>
                <a:bodyPr/>
                <a:lstStyle/>
                <a:p>
                  <a:pPr>
                    <a:defRPr sz="1100" b="0"/>
                  </a:pPr>
                  <a:endParaRPr lang="en-US"/>
                </a:p>
              </c:txPr>
            </c:trendlineLbl>
          </c:trendline>
          <c:xVal>
            <c:numRef>
              <c:f>'SDS and Steol cs460'!$A$5:$A$8</c:f>
              <c:numCache>
                <c:formatCode>General</c:formatCode>
                <c:ptCount val="4"/>
                <c:pt idx="0">
                  <c:v>0</c:v>
                </c:pt>
                <c:pt idx="1">
                  <c:v>0.1</c:v>
                </c:pt>
                <c:pt idx="2">
                  <c:v>0.2</c:v>
                </c:pt>
                <c:pt idx="3">
                  <c:v>0.4</c:v>
                </c:pt>
              </c:numCache>
            </c:numRef>
          </c:xVal>
          <c:yVal>
            <c:numRef>
              <c:f>'SDS and Steol cs460'!$C$5:$C$8</c:f>
              <c:numCache>
                <c:formatCode>General</c:formatCode>
                <c:ptCount val="4"/>
                <c:pt idx="0">
                  <c:v>1.8036053979829623</c:v>
                </c:pt>
                <c:pt idx="1">
                  <c:v>1.9602540130056345</c:v>
                </c:pt>
                <c:pt idx="2">
                  <c:v>2.1039887726263862</c:v>
                </c:pt>
                <c:pt idx="3">
                  <c:v>2.3234973506428287</c:v>
                </c:pt>
              </c:numCache>
            </c:numRef>
          </c:yVal>
          <c:smooth val="0"/>
        </c:ser>
        <c:ser>
          <c:idx val="1"/>
          <c:order val="1"/>
          <c:tx>
            <c:v>C12-(EO)3-SO4Na (Steol Cs460)</c:v>
          </c:tx>
          <c:spPr>
            <a:ln w="28575">
              <a:noFill/>
            </a:ln>
          </c:spPr>
          <c:marker>
            <c:symbol val="star"/>
            <c:size val="5"/>
            <c:spPr>
              <a:ln>
                <a:solidFill>
                  <a:schemeClr val="tx1"/>
                </a:solidFill>
              </a:ln>
            </c:spPr>
          </c:marker>
          <c:trendline>
            <c:spPr>
              <a:ln w="12700"/>
            </c:spPr>
            <c:trendlineType val="linear"/>
            <c:dispRSqr val="1"/>
            <c:dispEq val="1"/>
            <c:trendlineLbl>
              <c:layout>
                <c:manualLayout>
                  <c:x val="0.11000349956255499"/>
                  <c:y val="0.180024059492563"/>
                </c:manualLayout>
              </c:layout>
              <c:numFmt formatCode="General" sourceLinked="0"/>
              <c:txPr>
                <a:bodyPr/>
                <a:lstStyle/>
                <a:p>
                  <a:pPr>
                    <a:defRPr sz="1100" b="0"/>
                  </a:pPr>
                  <a:endParaRPr lang="en-US"/>
                </a:p>
              </c:txPr>
            </c:trendlineLbl>
          </c:trendline>
          <c:xVal>
            <c:numRef>
              <c:f>'SDS and Steol cs460'!$E$5:$E$9</c:f>
              <c:numCache>
                <c:formatCode>General</c:formatCode>
                <c:ptCount val="5"/>
                <c:pt idx="0">
                  <c:v>0</c:v>
                </c:pt>
                <c:pt idx="1">
                  <c:v>0.1</c:v>
                </c:pt>
                <c:pt idx="2">
                  <c:v>0.2</c:v>
                </c:pt>
                <c:pt idx="3">
                  <c:v>0.3</c:v>
                </c:pt>
                <c:pt idx="4">
                  <c:v>0.4</c:v>
                </c:pt>
              </c:numCache>
            </c:numRef>
          </c:xVal>
          <c:yVal>
            <c:numRef>
              <c:f>'SDS and Steol cs460'!$G$5:$G$9</c:f>
              <c:numCache>
                <c:formatCode>General</c:formatCode>
                <c:ptCount val="5"/>
                <c:pt idx="0">
                  <c:v>1.8036053979829623</c:v>
                </c:pt>
                <c:pt idx="1">
                  <c:v>1.8970278420334461</c:v>
                </c:pt>
                <c:pt idx="2">
                  <c:v>2.0487264590635683</c:v>
                </c:pt>
                <c:pt idx="3">
                  <c:v>2.213011714660031</c:v>
                </c:pt>
                <c:pt idx="4">
                  <c:v>2.3123629411333275</c:v>
                </c:pt>
              </c:numCache>
            </c:numRef>
          </c:yVal>
          <c:smooth val="0"/>
        </c:ser>
        <c:dLbls>
          <c:showLegendKey val="0"/>
          <c:showVal val="0"/>
          <c:showCatName val="0"/>
          <c:showSerName val="0"/>
          <c:showPercent val="0"/>
          <c:showBubbleSize val="0"/>
        </c:dLbls>
        <c:axId val="210203584"/>
        <c:axId val="217089320"/>
      </c:scatterChart>
      <c:valAx>
        <c:axId val="210203584"/>
        <c:scaling>
          <c:orientation val="minMax"/>
        </c:scaling>
        <c:delete val="0"/>
        <c:axPos val="b"/>
        <c:title>
          <c:tx>
            <c:rich>
              <a:bodyPr/>
              <a:lstStyle/>
              <a:p>
                <a:pPr>
                  <a:defRPr sz="1200"/>
                </a:pPr>
                <a:r>
                  <a:rPr lang="en-US" sz="1200"/>
                  <a:t>Mole Fraction of Surfactant 2, x</a:t>
                </a:r>
                <a:r>
                  <a:rPr lang="en-US" sz="1200" baseline="-25000"/>
                  <a:t>2</a:t>
                </a:r>
              </a:p>
            </c:rich>
          </c:tx>
          <c:overlay val="0"/>
        </c:title>
        <c:numFmt formatCode="General" sourceLinked="1"/>
        <c:majorTickMark val="out"/>
        <c:minorTickMark val="none"/>
        <c:tickLblPos val="nextTo"/>
        <c:txPr>
          <a:bodyPr/>
          <a:lstStyle/>
          <a:p>
            <a:pPr>
              <a:defRPr sz="1200" b="1"/>
            </a:pPr>
            <a:endParaRPr lang="en-US"/>
          </a:p>
        </c:txPr>
        <c:crossAx val="217089320"/>
        <c:crosses val="autoZero"/>
        <c:crossBetween val="midCat"/>
      </c:valAx>
      <c:valAx>
        <c:axId val="217089320"/>
        <c:scaling>
          <c:orientation val="minMax"/>
          <c:max val="2.5"/>
          <c:min val="1.7"/>
        </c:scaling>
        <c:delete val="0"/>
        <c:axPos val="l"/>
        <c:title>
          <c:tx>
            <c:rich>
              <a:bodyPr rot="-5400000" vert="horz"/>
              <a:lstStyle/>
              <a:p>
                <a:pPr>
                  <a:defRPr sz="1200"/>
                </a:pPr>
                <a:r>
                  <a:rPr lang="en-US" sz="1200"/>
                  <a:t>LnS*(AMA+Surfactant 2)</a:t>
                </a:r>
              </a:p>
            </c:rich>
          </c:tx>
          <c:layout>
            <c:manualLayout>
              <c:xMode val="edge"/>
              <c:yMode val="edge"/>
              <c:x val="3.1439907220899718E-2"/>
              <c:y val="0.10167926333623013"/>
            </c:manualLayout>
          </c:layout>
          <c:overlay val="0"/>
        </c:title>
        <c:numFmt formatCode="General" sourceLinked="1"/>
        <c:majorTickMark val="out"/>
        <c:minorTickMark val="none"/>
        <c:tickLblPos val="nextTo"/>
        <c:txPr>
          <a:bodyPr/>
          <a:lstStyle/>
          <a:p>
            <a:pPr>
              <a:defRPr sz="1200" b="1"/>
            </a:pPr>
            <a:endParaRPr lang="en-US"/>
          </a:p>
        </c:txPr>
        <c:crossAx val="210203584"/>
        <c:crosses val="autoZero"/>
        <c:crossBetween val="midCat"/>
        <c:majorUnit val="0.2"/>
      </c:valAx>
    </c:plotArea>
    <c:legend>
      <c:legendPos val="r"/>
      <c:legendEntry>
        <c:idx val="2"/>
        <c:delete val="1"/>
      </c:legendEntry>
      <c:legendEntry>
        <c:idx val="3"/>
        <c:delete val="1"/>
      </c:legendEntry>
      <c:layout>
        <c:manualLayout>
          <c:xMode val="edge"/>
          <c:yMode val="edge"/>
          <c:x val="0.29368303917287619"/>
          <c:y val="0.60692609476447024"/>
          <c:w val="0.62326290463692002"/>
          <c:h val="8.6732697886448398E-2"/>
        </c:manualLayout>
      </c:layout>
      <c:overlay val="0"/>
      <c:txPr>
        <a:bodyPr/>
        <a:lstStyle/>
        <a:p>
          <a:pPr>
            <a:defRPr sz="1050" b="0"/>
          </a:pPr>
          <a:endParaRPr lang="en-US"/>
        </a:p>
      </c:txPr>
    </c:legend>
    <c:plotVisOnly val="1"/>
    <c:dispBlanksAs val="gap"/>
    <c:showDLblsOverMax val="0"/>
  </c:chart>
  <c:spPr>
    <a:ln>
      <a:solidFill>
        <a:sysClr val="windowText" lastClr="000000"/>
      </a:solidFill>
    </a:ln>
  </c:spPr>
  <c:txPr>
    <a:bodyPr/>
    <a:lstStyle/>
    <a:p>
      <a:pPr>
        <a:defRPr sz="105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5165879265091864"/>
          <c:y val="5.0925925925925923E-2"/>
          <c:w val="0.77767435320584932"/>
          <c:h val="0.77123455042380362"/>
        </c:manualLayout>
      </c:layout>
      <c:scatterChart>
        <c:scatterStyle val="lineMarker"/>
        <c:varyColors val="0"/>
        <c:ser>
          <c:idx val="0"/>
          <c:order val="0"/>
          <c:tx>
            <c:strRef>
              <c:f>'Surfactant Properties'!$A$4:$C$4</c:f>
              <c:strCache>
                <c:ptCount val="1"/>
                <c:pt idx="0">
                  <c:v>C8-(PO)4-(EO)1-SO4Na</c:v>
                </c:pt>
              </c:strCache>
            </c:strRef>
          </c:tx>
          <c:spPr>
            <a:ln w="9525" cap="rnd">
              <a:solidFill>
                <a:schemeClr val="tx1"/>
              </a:solidFill>
              <a:round/>
            </a:ln>
            <a:effectLst/>
          </c:spPr>
          <c:marker>
            <c:symbol val="diamond"/>
            <c:size val="6"/>
            <c:spPr>
              <a:solidFill>
                <a:schemeClr val="tx1"/>
              </a:solidFill>
              <a:ln w="15875">
                <a:solidFill>
                  <a:schemeClr val="tx1"/>
                </a:solidFill>
                <a:round/>
              </a:ln>
              <a:effectLst/>
            </c:spPr>
          </c:marker>
          <c:xVal>
            <c:numRef>
              <c:f>IFT!$M$5:$M$12</c:f>
              <c:numCache>
                <c:formatCode>General</c:formatCode>
                <c:ptCount val="8"/>
                <c:pt idx="0">
                  <c:v>0.25</c:v>
                </c:pt>
                <c:pt idx="1">
                  <c:v>0.3125</c:v>
                </c:pt>
                <c:pt idx="2">
                  <c:v>0.375</c:v>
                </c:pt>
                <c:pt idx="3">
                  <c:v>0.4375</c:v>
                </c:pt>
                <c:pt idx="4">
                  <c:v>0.5</c:v>
                </c:pt>
                <c:pt idx="5">
                  <c:v>0.5625</c:v>
                </c:pt>
                <c:pt idx="6">
                  <c:v>0.625</c:v>
                </c:pt>
                <c:pt idx="7">
                  <c:v>0.6875</c:v>
                </c:pt>
              </c:numCache>
            </c:numRef>
          </c:xVal>
          <c:yVal>
            <c:numRef>
              <c:f>IFT!$E$5:$E$12</c:f>
              <c:numCache>
                <c:formatCode>General</c:formatCode>
                <c:ptCount val="8"/>
                <c:pt idx="0">
                  <c:v>3.2922E-2</c:v>
                </c:pt>
                <c:pt idx="1">
                  <c:v>1.3596E-2</c:v>
                </c:pt>
                <c:pt idx="2">
                  <c:v>9.3390000000000001E-3</c:v>
                </c:pt>
                <c:pt idx="3">
                  <c:v>8.6870000000000003E-3</c:v>
                </c:pt>
                <c:pt idx="4">
                  <c:v>1.0116E-2</c:v>
                </c:pt>
                <c:pt idx="5">
                  <c:v>1.3727E-2</c:v>
                </c:pt>
                <c:pt idx="6">
                  <c:v>1.4116E-2</c:v>
                </c:pt>
                <c:pt idx="7">
                  <c:v>1.4290000000000001E-2</c:v>
                </c:pt>
              </c:numCache>
            </c:numRef>
          </c:yVal>
          <c:smooth val="0"/>
        </c:ser>
        <c:ser>
          <c:idx val="1"/>
          <c:order val="1"/>
          <c:tx>
            <c:strRef>
              <c:f>'Extended Surfactant'!$S$8:$T$8</c:f>
              <c:strCache>
                <c:ptCount val="1"/>
                <c:pt idx="0">
                  <c:v>C8-(PO)4-SO4Na</c:v>
                </c:pt>
              </c:strCache>
            </c:strRef>
          </c:tx>
          <c:spPr>
            <a:ln w="9525" cap="rnd">
              <a:solidFill>
                <a:schemeClr val="tx1">
                  <a:alpha val="88000"/>
                </a:schemeClr>
              </a:solidFill>
              <a:round/>
            </a:ln>
            <a:effectLst/>
          </c:spPr>
          <c:marker>
            <c:symbol val="square"/>
            <c:size val="6"/>
            <c:spPr>
              <a:solidFill>
                <a:schemeClr val="lt1"/>
              </a:solidFill>
              <a:ln w="15875">
                <a:solidFill>
                  <a:schemeClr val="tx1"/>
                </a:solidFill>
                <a:round/>
              </a:ln>
              <a:effectLst/>
            </c:spPr>
          </c:marker>
          <c:xVal>
            <c:numRef>
              <c:f>IFT!$M$16:$M$22</c:f>
              <c:numCache>
                <c:formatCode>General</c:formatCode>
                <c:ptCount val="7"/>
                <c:pt idx="0">
                  <c:v>0.25</c:v>
                </c:pt>
                <c:pt idx="1">
                  <c:v>0.3125</c:v>
                </c:pt>
                <c:pt idx="2">
                  <c:v>0.375</c:v>
                </c:pt>
                <c:pt idx="3">
                  <c:v>0.4375</c:v>
                </c:pt>
                <c:pt idx="4">
                  <c:v>0.5</c:v>
                </c:pt>
                <c:pt idx="5">
                  <c:v>0.5625</c:v>
                </c:pt>
                <c:pt idx="6">
                  <c:v>0.625</c:v>
                </c:pt>
              </c:numCache>
            </c:numRef>
          </c:xVal>
          <c:yVal>
            <c:numRef>
              <c:f>IFT!$E$16:$E$22</c:f>
              <c:numCache>
                <c:formatCode>General</c:formatCode>
                <c:ptCount val="7"/>
                <c:pt idx="0">
                  <c:v>2.0216000000000001E-2</c:v>
                </c:pt>
                <c:pt idx="1">
                  <c:v>1.8824E-2</c:v>
                </c:pt>
                <c:pt idx="2">
                  <c:v>6.0699999999999999E-3</c:v>
                </c:pt>
                <c:pt idx="3">
                  <c:v>1.0591E-2</c:v>
                </c:pt>
                <c:pt idx="4">
                  <c:v>9.7739999999999997E-3</c:v>
                </c:pt>
                <c:pt idx="5">
                  <c:v>1.0300999999999999E-2</c:v>
                </c:pt>
                <c:pt idx="6">
                  <c:v>1.5091E-2</c:v>
                </c:pt>
              </c:numCache>
            </c:numRef>
          </c:yVal>
          <c:smooth val="0"/>
        </c:ser>
        <c:ser>
          <c:idx val="2"/>
          <c:order val="2"/>
          <c:tx>
            <c:strRef>
              <c:f>'Surfactant Properties'!$A$6:$C$6</c:f>
              <c:strCache>
                <c:ptCount val="1"/>
                <c:pt idx="0">
                  <c:v>C10-(PO)4-(EO)1-SO4Na</c:v>
                </c:pt>
              </c:strCache>
            </c:strRef>
          </c:tx>
          <c:spPr>
            <a:ln w="9525" cap="rnd">
              <a:solidFill>
                <a:schemeClr val="tx1">
                  <a:alpha val="86000"/>
                </a:schemeClr>
              </a:solidFill>
              <a:round/>
            </a:ln>
            <a:effectLst/>
          </c:spPr>
          <c:marker>
            <c:symbol val="circle"/>
            <c:size val="6"/>
            <c:spPr>
              <a:solidFill>
                <a:schemeClr val="tx1"/>
              </a:solidFill>
              <a:ln w="15875">
                <a:solidFill>
                  <a:schemeClr val="tx1"/>
                </a:solidFill>
                <a:round/>
              </a:ln>
              <a:effectLst/>
            </c:spPr>
          </c:marker>
          <c:xVal>
            <c:numRef>
              <c:f>IFT!$M$26:$M$32</c:f>
              <c:numCache>
                <c:formatCode>General</c:formatCode>
                <c:ptCount val="7"/>
                <c:pt idx="0">
                  <c:v>0.35000000000000003</c:v>
                </c:pt>
                <c:pt idx="1">
                  <c:v>0.4</c:v>
                </c:pt>
                <c:pt idx="2">
                  <c:v>0.44999999999999996</c:v>
                </c:pt>
                <c:pt idx="3">
                  <c:v>0.5</c:v>
                </c:pt>
                <c:pt idx="4">
                  <c:v>0.55000000000000004</c:v>
                </c:pt>
                <c:pt idx="5">
                  <c:v>0.6</c:v>
                </c:pt>
                <c:pt idx="6">
                  <c:v>0.65</c:v>
                </c:pt>
              </c:numCache>
            </c:numRef>
          </c:xVal>
          <c:yVal>
            <c:numRef>
              <c:f>IFT!$E$26:$E$32</c:f>
              <c:numCache>
                <c:formatCode>General</c:formatCode>
                <c:ptCount val="7"/>
                <c:pt idx="0">
                  <c:v>2.3539999999999998E-2</c:v>
                </c:pt>
                <c:pt idx="1">
                  <c:v>1.0954E-2</c:v>
                </c:pt>
                <c:pt idx="2">
                  <c:v>5.4450000000000002E-3</c:v>
                </c:pt>
                <c:pt idx="3">
                  <c:v>4.0860000000000002E-3</c:v>
                </c:pt>
                <c:pt idx="4">
                  <c:v>5.6179999999999997E-3</c:v>
                </c:pt>
                <c:pt idx="5">
                  <c:v>1.163E-2</c:v>
                </c:pt>
                <c:pt idx="6">
                  <c:v>1.3426E-2</c:v>
                </c:pt>
              </c:numCache>
            </c:numRef>
          </c:yVal>
          <c:smooth val="0"/>
        </c:ser>
        <c:ser>
          <c:idx val="3"/>
          <c:order val="3"/>
          <c:tx>
            <c:strRef>
              <c:f>'Surfactant Properties'!$A$7:$C$7</c:f>
              <c:strCache>
                <c:ptCount val="1"/>
                <c:pt idx="0">
                  <c:v>C10-(PO)4-SO4Na</c:v>
                </c:pt>
              </c:strCache>
            </c:strRef>
          </c:tx>
          <c:spPr>
            <a:ln w="9525" cap="rnd">
              <a:solidFill>
                <a:schemeClr val="tx1">
                  <a:alpha val="82000"/>
                </a:schemeClr>
              </a:solidFill>
              <a:round/>
            </a:ln>
            <a:effectLst/>
          </c:spPr>
          <c:marker>
            <c:symbol val="x"/>
            <c:size val="6"/>
            <c:spPr>
              <a:noFill/>
              <a:ln w="15875">
                <a:solidFill>
                  <a:schemeClr val="tx1"/>
                </a:solidFill>
                <a:round/>
              </a:ln>
              <a:effectLst/>
            </c:spPr>
          </c:marker>
          <c:xVal>
            <c:numRef>
              <c:f>IFT!$M$36:$M$42</c:f>
              <c:numCache>
                <c:formatCode>General</c:formatCode>
                <c:ptCount val="7"/>
                <c:pt idx="0">
                  <c:v>0.35000000000000003</c:v>
                </c:pt>
                <c:pt idx="1">
                  <c:v>0.4</c:v>
                </c:pt>
                <c:pt idx="2">
                  <c:v>0.44999999999999996</c:v>
                </c:pt>
                <c:pt idx="3">
                  <c:v>0.5</c:v>
                </c:pt>
                <c:pt idx="4">
                  <c:v>0.55000000000000004</c:v>
                </c:pt>
                <c:pt idx="5">
                  <c:v>0.6</c:v>
                </c:pt>
                <c:pt idx="6">
                  <c:v>0.65</c:v>
                </c:pt>
              </c:numCache>
            </c:numRef>
          </c:xVal>
          <c:yVal>
            <c:numRef>
              <c:f>IFT!$E$36:$E$42</c:f>
              <c:numCache>
                <c:formatCode>General</c:formatCode>
                <c:ptCount val="7"/>
                <c:pt idx="0">
                  <c:v>3.6287E-2</c:v>
                </c:pt>
                <c:pt idx="1">
                  <c:v>1.7668E-2</c:v>
                </c:pt>
                <c:pt idx="2">
                  <c:v>8.0009999999999994E-3</c:v>
                </c:pt>
                <c:pt idx="3">
                  <c:v>5.9280000000000001E-3</c:v>
                </c:pt>
                <c:pt idx="4">
                  <c:v>4.9179999999999996E-3</c:v>
                </c:pt>
                <c:pt idx="5">
                  <c:v>1.204E-2</c:v>
                </c:pt>
                <c:pt idx="6">
                  <c:v>1.3818E-2</c:v>
                </c:pt>
              </c:numCache>
            </c:numRef>
          </c:yVal>
          <c:smooth val="0"/>
        </c:ser>
        <c:dLbls>
          <c:showLegendKey val="0"/>
          <c:showVal val="0"/>
          <c:showCatName val="0"/>
          <c:showSerName val="0"/>
          <c:showPercent val="0"/>
          <c:showBubbleSize val="0"/>
        </c:dLbls>
        <c:axId val="219328248"/>
        <c:axId val="219328640"/>
      </c:scatterChart>
      <c:valAx>
        <c:axId val="219328248"/>
        <c:scaling>
          <c:orientation val="minMax"/>
          <c:min val="0.2"/>
        </c:scaling>
        <c:delete val="0"/>
        <c:axPos val="b"/>
        <c:title>
          <c:tx>
            <c:rich>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dirty="0">
                    <a:solidFill>
                      <a:schemeClr val="tx1"/>
                    </a:solidFill>
                  </a:rPr>
                  <a:t>Steol Cs460, </a:t>
                </a:r>
                <a:r>
                  <a:rPr lang="en-US" sz="1200" dirty="0" err="1">
                    <a:solidFill>
                      <a:schemeClr val="tx1"/>
                    </a:solidFill>
                  </a:rPr>
                  <a:t>wt</a:t>
                </a:r>
                <a:r>
                  <a:rPr lang="en-US" sz="1200" dirty="0">
                    <a:solidFill>
                      <a:schemeClr val="tx1"/>
                    </a:solidFill>
                  </a:rPr>
                  <a:t> %</a:t>
                </a:r>
              </a:p>
            </c:rich>
          </c:tx>
          <c:layout>
            <c:manualLayout>
              <c:xMode val="edge"/>
              <c:yMode val="edge"/>
              <c:x val="0.4724023247094114"/>
              <c:y val="0.90668292224263569"/>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cross"/>
        <c:minorTickMark val="none"/>
        <c:tickLblPos val="nextTo"/>
        <c:spPr>
          <a:noFill/>
          <a:ln w="9525" cap="flat" cmpd="sng" algn="ctr">
            <a:solidFill>
              <a:schemeClr val="tx1">
                <a:alpha val="83000"/>
              </a:schemeClr>
            </a:solidFill>
            <a:round/>
          </a:ln>
          <a:effectLst/>
        </c:spPr>
        <c:txPr>
          <a:bodyPr rot="-60000000" spcFirstLastPara="1" vertOverflow="ellipsis" vert="horz" wrap="square" anchor="ctr" anchorCtr="1"/>
          <a:lstStyle/>
          <a:p>
            <a:pPr>
              <a:defRPr sz="1100" b="1" i="0" u="none" strike="noStrike" kern="1200" cap="none" spc="0" normalizeH="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9328640"/>
        <c:crossesAt val="1.0000000000000002E-3"/>
        <c:crossBetween val="midCat"/>
      </c:valAx>
      <c:valAx>
        <c:axId val="219328640"/>
        <c:scaling>
          <c:logBase val="10"/>
          <c:orientation val="minMax"/>
          <c:max val="0.1"/>
        </c:scaling>
        <c:delete val="0"/>
        <c:axPos val="l"/>
        <c:majorGridlines>
          <c:spPr>
            <a:ln w="9525" cap="flat" cmpd="sng" algn="ctr">
              <a:solidFill>
                <a:schemeClr val="dk1">
                  <a:lumMod val="15000"/>
                  <a:lumOff val="85000"/>
                </a:schemeClr>
              </a:solidFill>
              <a:round/>
            </a:ln>
            <a:effectLst/>
          </c:spPr>
        </c:majorGridlines>
        <c:minorGridlines>
          <c:spPr>
            <a:ln w="9525" cap="flat" cmpd="sng" algn="ctr">
              <a:solidFill>
                <a:schemeClr val="dk1">
                  <a:lumMod val="15000"/>
                  <a:lumOff val="85000"/>
                </a:schemeClr>
              </a:solidFill>
              <a:round/>
            </a:ln>
            <a:effectLst/>
          </c:spPr>
        </c:minorGridlines>
        <c:title>
          <c:tx>
            <c:rich>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a:solidFill>
                      <a:schemeClr val="tx1"/>
                    </a:solidFill>
                  </a:rPr>
                  <a:t>IFT, mN/m</a:t>
                </a:r>
              </a:p>
            </c:rich>
          </c:tx>
          <c:layout>
            <c:manualLayout>
              <c:xMode val="edge"/>
              <c:yMode val="edge"/>
              <c:x val="0"/>
              <c:y val="0.33070669904579686"/>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0.E+00" sourceLinked="0"/>
        <c:majorTickMark val="cross"/>
        <c:minorTickMark val="none"/>
        <c:tickLblPos val="nextTo"/>
        <c:spPr>
          <a:noFill/>
          <a:ln w="9525" cap="flat" cmpd="sng" algn="ctr">
            <a:solidFill>
              <a:schemeClr val="tx1">
                <a:alpha val="84000"/>
              </a:schemeClr>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9328248"/>
        <c:crosses val="autoZero"/>
        <c:crossBetween val="midCat"/>
      </c:valAx>
      <c:spPr>
        <a:noFill/>
        <a:ln w="0">
          <a:noFill/>
        </a:ln>
        <a:effectLst/>
      </c:spPr>
    </c:plotArea>
    <c:legend>
      <c:legendPos val="r"/>
      <c:layout>
        <c:manualLayout>
          <c:xMode val="edge"/>
          <c:yMode val="edge"/>
          <c:x val="0.16826902887139109"/>
          <c:y val="0.63408790054799169"/>
          <c:w val="0.78728665166854139"/>
          <c:h val="0.17106255685137664"/>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lt1"/>
    </a:solidFill>
    <a:ln w="9525" cap="flat" cmpd="sng" algn="ctr">
      <a:solidFill>
        <a:sysClr val="windowText" lastClr="000000"/>
      </a:solid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302669528597061"/>
          <c:y val="2.6916043922386525E-2"/>
          <c:w val="0.83295113194462733"/>
          <c:h val="0.78297693051526451"/>
        </c:manualLayout>
      </c:layout>
      <c:scatterChart>
        <c:scatterStyle val="smoothMarker"/>
        <c:varyColors val="0"/>
        <c:ser>
          <c:idx val="0"/>
          <c:order val="0"/>
          <c:tx>
            <c:v>1 PV, 0.75 wt %</c:v>
          </c:tx>
          <c:spPr>
            <a:ln w="19050" cap="rnd">
              <a:solidFill>
                <a:schemeClr val="tx1"/>
              </a:solidFill>
              <a:round/>
            </a:ln>
            <a:effectLst/>
          </c:spPr>
          <c:marker>
            <c:symbol val="circle"/>
            <c:size val="7"/>
            <c:spPr>
              <a:noFill/>
              <a:ln w="9525">
                <a:solidFill>
                  <a:schemeClr val="tx1"/>
                </a:solidFill>
              </a:ln>
              <a:effectLst/>
            </c:spPr>
          </c:marker>
          <c:dLbls>
            <c:dLbl>
              <c:idx val="9"/>
              <c:dLblPos val="t"/>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t"/>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'Column Tests'!$A$5:$A$14</c:f>
              <c:numCache>
                <c:formatCode>0.00</c:formatCode>
                <c:ptCount val="10"/>
                <c:pt idx="0" formatCode="General">
                  <c:v>0</c:v>
                </c:pt>
                <c:pt idx="1">
                  <c:v>0.33</c:v>
                </c:pt>
                <c:pt idx="2">
                  <c:v>0.67</c:v>
                </c:pt>
                <c:pt idx="3">
                  <c:v>1</c:v>
                </c:pt>
                <c:pt idx="4">
                  <c:v>1.3333333333333333</c:v>
                </c:pt>
                <c:pt idx="5">
                  <c:v>1.6666666666666665</c:v>
                </c:pt>
                <c:pt idx="6">
                  <c:v>2</c:v>
                </c:pt>
                <c:pt idx="7">
                  <c:v>2.3333333333333335</c:v>
                </c:pt>
                <c:pt idx="8">
                  <c:v>2.6666666666666665</c:v>
                </c:pt>
                <c:pt idx="9">
                  <c:v>3</c:v>
                </c:pt>
              </c:numCache>
            </c:numRef>
          </c:xVal>
          <c:yVal>
            <c:numRef>
              <c:f>'Column Tests'!$R$5:$R$14</c:f>
              <c:numCache>
                <c:formatCode>General</c:formatCode>
                <c:ptCount val="10"/>
                <c:pt idx="0">
                  <c:v>0</c:v>
                </c:pt>
                <c:pt idx="1">
                  <c:v>0</c:v>
                </c:pt>
                <c:pt idx="2">
                  <c:v>5.6338028169014079E-2</c:v>
                </c:pt>
                <c:pt idx="3">
                  <c:v>0.38028169014084495</c:v>
                </c:pt>
                <c:pt idx="4">
                  <c:v>0.52112676056338014</c:v>
                </c:pt>
                <c:pt idx="5">
                  <c:v>0.57746478873239415</c:v>
                </c:pt>
                <c:pt idx="6">
                  <c:v>0.59154929577464765</c:v>
                </c:pt>
                <c:pt idx="7">
                  <c:v>0.59929577464788708</c:v>
                </c:pt>
                <c:pt idx="8">
                  <c:v>0.60070422535211243</c:v>
                </c:pt>
                <c:pt idx="9">
                  <c:v>0.60070400000000002</c:v>
                </c:pt>
              </c:numCache>
            </c:numRef>
          </c:yVal>
          <c:smooth val="1"/>
        </c:ser>
        <c:ser>
          <c:idx val="1"/>
          <c:order val="1"/>
          <c:tx>
            <c:v>1 PV, 0.5 wt %</c:v>
          </c:tx>
          <c:spPr>
            <a:ln w="19050" cap="rnd">
              <a:solidFill>
                <a:schemeClr val="tx1"/>
              </a:solidFill>
              <a:round/>
            </a:ln>
            <a:effectLst/>
          </c:spPr>
          <c:marker>
            <c:symbol val="square"/>
            <c:size val="7"/>
            <c:spPr>
              <a:noFill/>
              <a:ln w="9525">
                <a:solidFill>
                  <a:schemeClr val="tx1"/>
                </a:solidFill>
              </a:ln>
              <a:effectLst/>
            </c:spPr>
          </c:marker>
          <c:dLbls>
            <c:dLbl>
              <c:idx val="9"/>
              <c:layout>
                <c:manualLayout>
                  <c:x val="-1.1372389592605272E-2"/>
                  <c:y val="-3.4687591134441531E-2"/>
                </c:manualLayout>
              </c:layout>
              <c:dLblPos val="r"/>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t"/>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'Column Tests'!$A$5:$A$14</c:f>
              <c:numCache>
                <c:formatCode>0.00</c:formatCode>
                <c:ptCount val="10"/>
                <c:pt idx="0" formatCode="General">
                  <c:v>0</c:v>
                </c:pt>
                <c:pt idx="1">
                  <c:v>0.33</c:v>
                </c:pt>
                <c:pt idx="2">
                  <c:v>0.67</c:v>
                </c:pt>
                <c:pt idx="3">
                  <c:v>1</c:v>
                </c:pt>
                <c:pt idx="4">
                  <c:v>1.3333333333333333</c:v>
                </c:pt>
                <c:pt idx="5">
                  <c:v>1.6666666666666665</c:v>
                </c:pt>
                <c:pt idx="6">
                  <c:v>2</c:v>
                </c:pt>
                <c:pt idx="7">
                  <c:v>2.3333333333333335</c:v>
                </c:pt>
                <c:pt idx="8">
                  <c:v>2.6666666666666665</c:v>
                </c:pt>
                <c:pt idx="9">
                  <c:v>3</c:v>
                </c:pt>
              </c:numCache>
            </c:numRef>
          </c:xVal>
          <c:yVal>
            <c:numRef>
              <c:f>'Column Tests'!$K$5:$K$14</c:f>
              <c:numCache>
                <c:formatCode>General</c:formatCode>
                <c:ptCount val="10"/>
                <c:pt idx="0">
                  <c:v>0</c:v>
                </c:pt>
                <c:pt idx="1">
                  <c:v>0</c:v>
                </c:pt>
                <c:pt idx="2">
                  <c:v>0</c:v>
                </c:pt>
                <c:pt idx="3">
                  <c:v>5.263157894736846E-2</c:v>
                </c:pt>
                <c:pt idx="4">
                  <c:v>0.26315789473684231</c:v>
                </c:pt>
                <c:pt idx="5">
                  <c:v>0.39473684210526344</c:v>
                </c:pt>
                <c:pt idx="6">
                  <c:v>0.46491228070175472</c:v>
                </c:pt>
                <c:pt idx="7">
                  <c:v>0.47807017543859687</c:v>
                </c:pt>
                <c:pt idx="8">
                  <c:v>0.48157894736842144</c:v>
                </c:pt>
                <c:pt idx="9">
                  <c:v>0.48333333333333367</c:v>
                </c:pt>
              </c:numCache>
            </c:numRef>
          </c:yVal>
          <c:smooth val="1"/>
        </c:ser>
        <c:ser>
          <c:idx val="2"/>
          <c:order val="2"/>
          <c:tx>
            <c:v>1 PV, 0.25 wt %</c:v>
          </c:tx>
          <c:spPr>
            <a:ln w="19050" cap="rnd">
              <a:solidFill>
                <a:schemeClr val="tx1"/>
              </a:solidFill>
              <a:round/>
            </a:ln>
            <a:effectLst/>
          </c:spPr>
          <c:marker>
            <c:symbol val="triangle"/>
            <c:size val="7"/>
            <c:spPr>
              <a:noFill/>
              <a:ln w="9525">
                <a:solidFill>
                  <a:schemeClr val="tx1"/>
                </a:solidFill>
              </a:ln>
              <a:effectLst/>
            </c:spPr>
          </c:marker>
          <c:dLbls>
            <c:dLbl>
              <c:idx val="9"/>
              <c:layout>
                <c:manualLayout>
                  <c:x val="-5.028243752141007E-4"/>
                  <c:y val="4.4016112569262175E-2"/>
                </c:manualLayout>
              </c:layout>
              <c:dLblPos val="r"/>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t"/>
            <c:showLegendKey val="0"/>
            <c:showVal val="0"/>
            <c:showCatName val="0"/>
            <c:showSerName val="0"/>
            <c:showPercent val="0"/>
            <c:showBubbleSize val="0"/>
            <c:extLst>
              <c:ext xmlns:c15="http://schemas.microsoft.com/office/drawing/2012/chart" uri="{CE6537A1-D6FC-4f65-9D91-7224C49458BB}">
                <c15:showLeaderLines val="0"/>
              </c:ext>
            </c:extLst>
          </c:dLbls>
          <c:xVal>
            <c:numRef>
              <c:f>'Column Tests'!$A$5:$A$14</c:f>
              <c:numCache>
                <c:formatCode>0.00</c:formatCode>
                <c:ptCount val="10"/>
                <c:pt idx="0" formatCode="General">
                  <c:v>0</c:v>
                </c:pt>
                <c:pt idx="1">
                  <c:v>0.33</c:v>
                </c:pt>
                <c:pt idx="2">
                  <c:v>0.67</c:v>
                </c:pt>
                <c:pt idx="3">
                  <c:v>1</c:v>
                </c:pt>
                <c:pt idx="4">
                  <c:v>1.3333333333333333</c:v>
                </c:pt>
                <c:pt idx="5">
                  <c:v>1.6666666666666665</c:v>
                </c:pt>
                <c:pt idx="6">
                  <c:v>2</c:v>
                </c:pt>
                <c:pt idx="7">
                  <c:v>2.3333333333333335</c:v>
                </c:pt>
                <c:pt idx="8">
                  <c:v>2.6666666666666665</c:v>
                </c:pt>
                <c:pt idx="9">
                  <c:v>3</c:v>
                </c:pt>
              </c:numCache>
            </c:numRef>
          </c:xVal>
          <c:yVal>
            <c:numRef>
              <c:f>'Column Tests'!$D$5:$D$14</c:f>
              <c:numCache>
                <c:formatCode>General</c:formatCode>
                <c:ptCount val="10"/>
                <c:pt idx="0">
                  <c:v>0</c:v>
                </c:pt>
                <c:pt idx="1">
                  <c:v>0</c:v>
                </c:pt>
                <c:pt idx="2">
                  <c:v>0</c:v>
                </c:pt>
                <c:pt idx="3">
                  <c:v>0</c:v>
                </c:pt>
                <c:pt idx="4">
                  <c:v>2.5974025974025965E-2</c:v>
                </c:pt>
                <c:pt idx="5">
                  <c:v>0.24025974025974015</c:v>
                </c:pt>
                <c:pt idx="6">
                  <c:v>0.3376623376623375</c:v>
                </c:pt>
                <c:pt idx="7">
                  <c:v>0.35714285714285693</c:v>
                </c:pt>
                <c:pt idx="8">
                  <c:v>0.3668831168831167</c:v>
                </c:pt>
                <c:pt idx="9">
                  <c:v>0.368181818181818</c:v>
                </c:pt>
              </c:numCache>
            </c:numRef>
          </c:yVal>
          <c:smooth val="1"/>
        </c:ser>
        <c:dLbls>
          <c:showLegendKey val="0"/>
          <c:showVal val="0"/>
          <c:showCatName val="0"/>
          <c:showSerName val="0"/>
          <c:showPercent val="0"/>
          <c:showBubbleSize val="0"/>
        </c:dLbls>
        <c:axId val="219329424"/>
        <c:axId val="219329816"/>
      </c:scatterChart>
      <c:valAx>
        <c:axId val="219329424"/>
        <c:scaling>
          <c:orientation val="minMax"/>
        </c:scaling>
        <c:delete val="0"/>
        <c:axPos val="b"/>
        <c:title>
          <c:tx>
            <c:rich>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b="1">
                    <a:solidFill>
                      <a:schemeClr val="tx1"/>
                    </a:solidFill>
                    <a:latin typeface="Times New Roman" panose="02020603050405020304" pitchFamily="18" charset="0"/>
                    <a:cs typeface="Times New Roman" panose="02020603050405020304" pitchFamily="18" charset="0"/>
                  </a:rPr>
                  <a:t>Pore Volume</a:t>
                </a:r>
                <a:r>
                  <a:rPr lang="en-US" sz="1200" b="1" baseline="0">
                    <a:solidFill>
                      <a:schemeClr val="tx1"/>
                    </a:solidFill>
                    <a:latin typeface="Times New Roman" panose="02020603050405020304" pitchFamily="18" charset="0"/>
                    <a:cs typeface="Times New Roman" panose="02020603050405020304" pitchFamily="18" charset="0"/>
                  </a:rPr>
                  <a:t> injected, PV</a:t>
                </a:r>
                <a:endParaRPr lang="en-US" sz="1200" b="1">
                  <a:solidFill>
                    <a:schemeClr val="tx1"/>
                  </a:solidFill>
                  <a:latin typeface="Times New Roman" panose="02020603050405020304" pitchFamily="18" charset="0"/>
                  <a:cs typeface="Times New Roman" panose="02020603050405020304" pitchFamily="18" charset="0"/>
                </a:endParaRPr>
              </a:p>
            </c:rich>
          </c:tx>
          <c:layout>
            <c:manualLayout>
              <c:xMode val="edge"/>
              <c:yMode val="edge"/>
              <c:x val="0.39720836734873022"/>
              <c:y val="0.90062750379886736"/>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0.00" sourceLinked="0"/>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9329816"/>
        <c:crosses val="autoZero"/>
        <c:crossBetween val="midCat"/>
      </c:valAx>
      <c:valAx>
        <c:axId val="219329816"/>
        <c:scaling>
          <c:orientation val="minMax"/>
          <c:max val="0.75000000000000011"/>
          <c:min val="0"/>
        </c:scaling>
        <c:delete val="0"/>
        <c:axPos val="l"/>
        <c:title>
          <c:tx>
            <c:rich>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b="1">
                    <a:solidFill>
                      <a:schemeClr val="tx1"/>
                    </a:solidFill>
                    <a:latin typeface="Times New Roman" panose="02020603050405020304" pitchFamily="18" charset="0"/>
                    <a:cs typeface="Times New Roman" panose="02020603050405020304" pitchFamily="18" charset="0"/>
                  </a:rPr>
                  <a:t>Cumulative Oil Recovery, %</a:t>
                </a:r>
              </a:p>
            </c:rich>
          </c:tx>
          <c:layout>
            <c:manualLayout>
              <c:xMode val="edge"/>
              <c:yMode val="edge"/>
              <c:x val="1.0077739223275059E-2"/>
              <c:y val="9.5469751856382609E-2"/>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9329424"/>
        <c:crosses val="autoZero"/>
        <c:crossBetween val="midCat"/>
        <c:majorUnit val="0.15000000000000002"/>
      </c:valAx>
      <c:spPr>
        <a:solidFill>
          <a:schemeClr val="bg1"/>
        </a:solidFill>
        <a:ln w="12700">
          <a:solidFill>
            <a:schemeClr val="tx1"/>
          </a:solidFill>
        </a:ln>
        <a:effectLst/>
      </c:spPr>
    </c:plotArea>
    <c:legend>
      <c:legendPos val="r"/>
      <c:layout>
        <c:manualLayout>
          <c:xMode val="edge"/>
          <c:yMode val="edge"/>
          <c:x val="0.60105847137000856"/>
          <c:y val="0.5343711147948611"/>
          <c:w val="0.22330954450091728"/>
          <c:h val="0.2160108440392319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cap="flat" cmpd="sng" algn="ctr">
      <a:solidFill>
        <a:schemeClr val="bg1"/>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142906478795416"/>
          <c:y val="5.0925925925925923E-2"/>
          <c:w val="0.83975151954689875"/>
          <c:h val="0.74350320793234181"/>
        </c:manualLayout>
      </c:layout>
      <c:scatterChart>
        <c:scatterStyle val="smoothMarker"/>
        <c:varyColors val="0"/>
        <c:ser>
          <c:idx val="0"/>
          <c:order val="0"/>
          <c:tx>
            <c:v>0.5 PV, 0.5 wt %</c:v>
          </c:tx>
          <c:spPr>
            <a:ln w="19050" cap="rnd">
              <a:solidFill>
                <a:schemeClr val="tx1"/>
              </a:solidFill>
              <a:round/>
            </a:ln>
            <a:effectLst/>
          </c:spPr>
          <c:marker>
            <c:symbol val="circle"/>
            <c:size val="7"/>
            <c:spPr>
              <a:noFill/>
              <a:ln w="9525">
                <a:solidFill>
                  <a:schemeClr val="tx1"/>
                </a:solidFill>
              </a:ln>
              <a:effectLst/>
            </c:spPr>
          </c:marker>
          <c:dLbls>
            <c:dLbl>
              <c:idx val="9"/>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solidFill>
                  <a:sysClr val="window" lastClr="FFFFFF"/>
                </a:solid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'Column Tests'!$V$5:$V$14</c:f>
              <c:numCache>
                <c:formatCode>General</c:formatCode>
                <c:ptCount val="10"/>
                <c:pt idx="0">
                  <c:v>0</c:v>
                </c:pt>
                <c:pt idx="1">
                  <c:v>0.33</c:v>
                </c:pt>
                <c:pt idx="2">
                  <c:v>0.67</c:v>
                </c:pt>
                <c:pt idx="3">
                  <c:v>1</c:v>
                </c:pt>
                <c:pt idx="4">
                  <c:v>1.3333333333333333</c:v>
                </c:pt>
                <c:pt idx="5">
                  <c:v>1.6666666666666665</c:v>
                </c:pt>
                <c:pt idx="6">
                  <c:v>2</c:v>
                </c:pt>
                <c:pt idx="7">
                  <c:v>2.3333333333333335</c:v>
                </c:pt>
                <c:pt idx="8">
                  <c:v>2.6666666666666665</c:v>
                </c:pt>
                <c:pt idx="9">
                  <c:v>3</c:v>
                </c:pt>
              </c:numCache>
            </c:numRef>
          </c:xVal>
          <c:yVal>
            <c:numRef>
              <c:f>'Column Tests'!$Y$5:$Y$14</c:f>
              <c:numCache>
                <c:formatCode>General</c:formatCode>
                <c:ptCount val="10"/>
                <c:pt idx="0">
                  <c:v>0</c:v>
                </c:pt>
                <c:pt idx="1">
                  <c:v>0</c:v>
                </c:pt>
                <c:pt idx="2">
                  <c:v>0</c:v>
                </c:pt>
                <c:pt idx="3">
                  <c:v>3.731343283582092E-2</c:v>
                </c:pt>
                <c:pt idx="4">
                  <c:v>0.24626865671641807</c:v>
                </c:pt>
                <c:pt idx="5">
                  <c:v>0.3582089552238808</c:v>
                </c:pt>
                <c:pt idx="6">
                  <c:v>0.39552238805970175</c:v>
                </c:pt>
                <c:pt idx="7">
                  <c:v>0.40298507462686589</c:v>
                </c:pt>
                <c:pt idx="8">
                  <c:v>0.40597014925373154</c:v>
                </c:pt>
                <c:pt idx="9">
                  <c:v>0.40746268656716439</c:v>
                </c:pt>
              </c:numCache>
            </c:numRef>
          </c:yVal>
          <c:smooth val="1"/>
        </c:ser>
        <c:ser>
          <c:idx val="1"/>
          <c:order val="1"/>
          <c:tx>
            <c:v>1 PV, 0.5 wt %</c:v>
          </c:tx>
          <c:spPr>
            <a:ln w="19050" cap="rnd">
              <a:solidFill>
                <a:schemeClr val="tx1"/>
              </a:solidFill>
              <a:round/>
            </a:ln>
            <a:effectLst/>
          </c:spPr>
          <c:marker>
            <c:symbol val="square"/>
            <c:size val="7"/>
            <c:spPr>
              <a:noFill/>
              <a:ln w="9525">
                <a:solidFill>
                  <a:schemeClr val="tx1"/>
                </a:solidFill>
              </a:ln>
              <a:effectLst/>
            </c:spPr>
          </c:marker>
          <c:dLbls>
            <c:dLbl>
              <c:idx val="9"/>
              <c:dLblPos val="t"/>
              <c:showLegendKey val="0"/>
              <c:showVal val="1"/>
              <c:showCatName val="0"/>
              <c:showSerName val="0"/>
              <c:showPercent val="0"/>
              <c:showBubbleSize val="0"/>
              <c:extLst>
                <c:ext xmlns:c15="http://schemas.microsoft.com/office/drawing/2012/chart" uri="{CE6537A1-D6FC-4f65-9D91-7224C49458BB}"/>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t"/>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'Column Tests'!$A$5:$A$14</c:f>
              <c:numCache>
                <c:formatCode>0.00</c:formatCode>
                <c:ptCount val="10"/>
                <c:pt idx="0" formatCode="General">
                  <c:v>0</c:v>
                </c:pt>
                <c:pt idx="1">
                  <c:v>0.33</c:v>
                </c:pt>
                <c:pt idx="2">
                  <c:v>0.67</c:v>
                </c:pt>
                <c:pt idx="3">
                  <c:v>1</c:v>
                </c:pt>
                <c:pt idx="4">
                  <c:v>1.3333333333333333</c:v>
                </c:pt>
                <c:pt idx="5">
                  <c:v>1.6666666666666665</c:v>
                </c:pt>
                <c:pt idx="6">
                  <c:v>2</c:v>
                </c:pt>
                <c:pt idx="7">
                  <c:v>2.3333333333333335</c:v>
                </c:pt>
                <c:pt idx="8">
                  <c:v>2.6666666666666665</c:v>
                </c:pt>
                <c:pt idx="9">
                  <c:v>3</c:v>
                </c:pt>
              </c:numCache>
            </c:numRef>
          </c:xVal>
          <c:yVal>
            <c:numRef>
              <c:f>'Column Tests'!$K$5:$K$14</c:f>
              <c:numCache>
                <c:formatCode>General</c:formatCode>
                <c:ptCount val="10"/>
                <c:pt idx="0">
                  <c:v>0</c:v>
                </c:pt>
                <c:pt idx="1">
                  <c:v>0</c:v>
                </c:pt>
                <c:pt idx="2">
                  <c:v>0</c:v>
                </c:pt>
                <c:pt idx="3">
                  <c:v>5.263157894736846E-2</c:v>
                </c:pt>
                <c:pt idx="4">
                  <c:v>0.26315789473684231</c:v>
                </c:pt>
                <c:pt idx="5">
                  <c:v>0.39473684210526344</c:v>
                </c:pt>
                <c:pt idx="6">
                  <c:v>0.46491228070175472</c:v>
                </c:pt>
                <c:pt idx="7">
                  <c:v>0.47807017543859687</c:v>
                </c:pt>
                <c:pt idx="8">
                  <c:v>0.48157894736842144</c:v>
                </c:pt>
                <c:pt idx="9">
                  <c:v>0.48333333333333367</c:v>
                </c:pt>
              </c:numCache>
            </c:numRef>
          </c:yVal>
          <c:smooth val="1"/>
        </c:ser>
        <c:dLbls>
          <c:showLegendKey val="0"/>
          <c:showVal val="0"/>
          <c:showCatName val="0"/>
          <c:showSerName val="0"/>
          <c:showPercent val="0"/>
          <c:showBubbleSize val="0"/>
        </c:dLbls>
        <c:axId val="220340528"/>
        <c:axId val="220340920"/>
      </c:scatterChart>
      <c:valAx>
        <c:axId val="220340528"/>
        <c:scaling>
          <c:orientation val="minMax"/>
        </c:scaling>
        <c:delete val="0"/>
        <c:axPos val="b"/>
        <c:title>
          <c:tx>
            <c:rich>
              <a:bodyPr rot="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100" b="1">
                    <a:solidFill>
                      <a:schemeClr val="tx1"/>
                    </a:solidFill>
                    <a:latin typeface="Times New Roman" panose="02020603050405020304" pitchFamily="18" charset="0"/>
                    <a:cs typeface="Times New Roman" panose="02020603050405020304" pitchFamily="18" charset="0"/>
                  </a:rPr>
                  <a:t>Pore Volume</a:t>
                </a:r>
                <a:r>
                  <a:rPr lang="en-US" sz="1100" b="1" baseline="0">
                    <a:solidFill>
                      <a:schemeClr val="tx1"/>
                    </a:solidFill>
                    <a:latin typeface="Times New Roman" panose="02020603050405020304" pitchFamily="18" charset="0"/>
                    <a:cs typeface="Times New Roman" panose="02020603050405020304" pitchFamily="18" charset="0"/>
                  </a:rPr>
                  <a:t> injected, PV</a:t>
                </a:r>
                <a:endParaRPr lang="en-US" sz="1100" b="1">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0.00" sourceLinked="0"/>
        <c:majorTickMark val="cross"/>
        <c:minorTickMark val="none"/>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20340920"/>
        <c:crosses val="autoZero"/>
        <c:crossBetween val="midCat"/>
      </c:valAx>
      <c:valAx>
        <c:axId val="220340920"/>
        <c:scaling>
          <c:orientation val="minMax"/>
          <c:max val="0.60000000000000009"/>
          <c:min val="0"/>
        </c:scaling>
        <c:delete val="0"/>
        <c:axPos val="l"/>
        <c:title>
          <c:tx>
            <c:rich>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b="1">
                    <a:solidFill>
                      <a:schemeClr val="tx1"/>
                    </a:solidFill>
                    <a:latin typeface="Times New Roman" panose="02020603050405020304" pitchFamily="18" charset="0"/>
                    <a:cs typeface="Times New Roman" panose="02020603050405020304" pitchFamily="18" charset="0"/>
                  </a:rPr>
                  <a:t>Cumulative Oil Recovery, %</a:t>
                </a:r>
              </a:p>
            </c:rich>
          </c:tx>
          <c:layout>
            <c:manualLayout>
              <c:xMode val="edge"/>
              <c:yMode val="edge"/>
              <c:x val="1.1273656582400884E-2"/>
              <c:y val="8.6311606882473024E-2"/>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cross"/>
        <c:minorTickMark val="none"/>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20340528"/>
        <c:crosses val="autoZero"/>
        <c:crossBetween val="midCat"/>
        <c:majorUnit val="0.15000000000000002"/>
      </c:valAx>
      <c:spPr>
        <a:solidFill>
          <a:schemeClr val="bg1"/>
        </a:solidFill>
        <a:ln w="12700">
          <a:solidFill>
            <a:sysClr val="windowText" lastClr="000000"/>
          </a:solidFill>
        </a:ln>
        <a:effectLst/>
      </c:spPr>
    </c:plotArea>
    <c:legend>
      <c:legendPos val="r"/>
      <c:layout>
        <c:manualLayout>
          <c:xMode val="edge"/>
          <c:yMode val="edge"/>
          <c:x val="0.53477016853156512"/>
          <c:y val="0.49855242053076698"/>
          <c:w val="0.31335153550721412"/>
          <c:h val="0.23437664041994752"/>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cap="flat" cmpd="sng" algn="ctr">
      <a:solidFill>
        <a:sysClr val="window" lastClr="FFFFFF"/>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625459317585302"/>
          <c:y val="5.1342592592592592E-2"/>
          <c:w val="0.80798162729658796"/>
          <c:h val="0.78727653834937295"/>
        </c:manualLayout>
      </c:layout>
      <c:scatterChart>
        <c:scatterStyle val="lineMarker"/>
        <c:varyColors val="0"/>
        <c:ser>
          <c:idx val="0"/>
          <c:order val="0"/>
          <c:spPr>
            <a:ln w="19050" cap="rnd">
              <a:noFill/>
              <a:round/>
            </a:ln>
            <a:effectLst/>
          </c:spPr>
          <c:marker>
            <c:symbol val="circle"/>
            <c:size val="7"/>
            <c:spPr>
              <a:solidFill>
                <a:schemeClr val="tx1"/>
              </a:solidFill>
              <a:ln w="9525">
                <a:solidFill>
                  <a:schemeClr val="tx1"/>
                </a:solidFill>
              </a:ln>
              <a:effectLst/>
            </c:spPr>
          </c:marker>
          <c:trendline>
            <c:spPr>
              <a:ln w="19050" cap="rnd">
                <a:solidFill>
                  <a:schemeClr val="tx1"/>
                </a:solidFill>
                <a:prstDash val="solid"/>
              </a:ln>
              <a:effectLst/>
            </c:spPr>
            <c:trendlineType val="linear"/>
            <c:dispRSqr val="1"/>
            <c:dispEq val="1"/>
            <c:trendlineLbl>
              <c:layout>
                <c:manualLayout>
                  <c:x val="-2.5953849518810149E-2"/>
                  <c:y val="-0.34109288422280548"/>
                </c:manualLayout>
              </c:layout>
              <c:tx>
                <c:rich>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b="0" baseline="0"/>
                      <a:t>y = -0.2842x + 8.406</a:t>
                    </a:r>
                    <a:br>
                      <a:rPr lang="en-US" b="0" baseline="0"/>
                    </a:br>
                    <a:r>
                      <a:rPr lang="en-US" b="0" baseline="0"/>
                      <a:t>R² = 0.9917</a:t>
                    </a:r>
                    <a:endParaRPr lang="en-US" b="0"/>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rendlineLbl>
          </c:trendline>
          <c:xVal>
            <c:numRef>
              <c:f>Sheet1!$B$7:$B$10</c:f>
              <c:numCache>
                <c:formatCode>General</c:formatCode>
                <c:ptCount val="4"/>
                <c:pt idx="0">
                  <c:v>0.5</c:v>
                </c:pt>
                <c:pt idx="1">
                  <c:v>1</c:v>
                </c:pt>
                <c:pt idx="2">
                  <c:v>2</c:v>
                </c:pt>
                <c:pt idx="3">
                  <c:v>4</c:v>
                </c:pt>
              </c:numCache>
            </c:numRef>
          </c:xVal>
          <c:yVal>
            <c:numRef>
              <c:f>Sheet1!$E$7:$E$10</c:f>
              <c:numCache>
                <c:formatCode>General</c:formatCode>
                <c:ptCount val="4"/>
                <c:pt idx="0">
                  <c:v>8.2829999999999995</c:v>
                </c:pt>
                <c:pt idx="1">
                  <c:v>8.0709999999999997</c:v>
                </c:pt>
                <c:pt idx="2">
                  <c:v>7.88</c:v>
                </c:pt>
                <c:pt idx="3">
                  <c:v>7.258</c:v>
                </c:pt>
              </c:numCache>
            </c:numRef>
          </c:yVal>
          <c:smooth val="0"/>
        </c:ser>
        <c:dLbls>
          <c:showLegendKey val="0"/>
          <c:showVal val="0"/>
          <c:showCatName val="0"/>
          <c:showSerName val="0"/>
          <c:showPercent val="0"/>
          <c:showBubbleSize val="0"/>
        </c:dLbls>
        <c:axId val="220341704"/>
        <c:axId val="219051160"/>
      </c:scatterChart>
      <c:valAx>
        <c:axId val="220341704"/>
        <c:scaling>
          <c:orientation val="minMax"/>
        </c:scaling>
        <c:delete val="0"/>
        <c:axPos val="b"/>
        <c:title>
          <c:tx>
            <c:rich>
              <a:bodyPr rot="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100" b="1" dirty="0">
                    <a:solidFill>
                      <a:schemeClr val="tx1"/>
                    </a:solidFill>
                    <a:latin typeface="Times New Roman" panose="02020603050405020304" pitchFamily="18" charset="0"/>
                    <a:cs typeface="Times New Roman" panose="02020603050405020304" pitchFamily="18" charset="0"/>
                  </a:rPr>
                  <a:t>Time,</a:t>
                </a:r>
                <a:r>
                  <a:rPr lang="en-US" sz="1100" b="1" baseline="0" dirty="0">
                    <a:solidFill>
                      <a:schemeClr val="tx1"/>
                    </a:solidFill>
                    <a:latin typeface="Times New Roman" panose="02020603050405020304" pitchFamily="18" charset="0"/>
                    <a:cs typeface="Times New Roman" panose="02020603050405020304" pitchFamily="18" charset="0"/>
                  </a:rPr>
                  <a:t> </a:t>
                </a:r>
                <a:r>
                  <a:rPr lang="en-US" sz="1100" b="1" baseline="0" dirty="0" smtClean="0">
                    <a:solidFill>
                      <a:schemeClr val="tx1"/>
                    </a:solidFill>
                    <a:latin typeface="Times New Roman" panose="02020603050405020304" pitchFamily="18" charset="0"/>
                    <a:cs typeface="Times New Roman" panose="02020603050405020304" pitchFamily="18" charset="0"/>
                  </a:rPr>
                  <a:t>h</a:t>
                </a:r>
                <a:endParaRPr lang="en-US" sz="1100" b="1" dirty="0">
                  <a:solidFill>
                    <a:schemeClr val="tx1"/>
                  </a:solidFill>
                  <a:latin typeface="Times New Roman" panose="02020603050405020304" pitchFamily="18" charset="0"/>
                  <a:cs typeface="Times New Roman" panose="02020603050405020304" pitchFamily="18" charset="0"/>
                </a:endParaRPr>
              </a:p>
            </c:rich>
          </c:tx>
          <c:layout>
            <c:manualLayout>
              <c:xMode val="edge"/>
              <c:yMode val="edge"/>
              <c:x val="0.44109251968503937"/>
              <c:y val="0.92756926217556135"/>
            </c:manualLayout>
          </c:layout>
          <c:overlay val="0"/>
          <c:spPr>
            <a:noFill/>
            <a:ln>
              <a:noFill/>
            </a:ln>
            <a:effectLst/>
          </c:spPr>
          <c:txPr>
            <a:bodyPr rot="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0.0" sourceLinked="0"/>
        <c:majorTickMark val="cross"/>
        <c:minorTickMark val="none"/>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9051160"/>
        <c:crosses val="autoZero"/>
        <c:crossBetween val="midCat"/>
      </c:valAx>
      <c:valAx>
        <c:axId val="219051160"/>
        <c:scaling>
          <c:logBase val="10"/>
          <c:orientation val="minMax"/>
          <c:max val="8.6"/>
          <c:min val="7"/>
        </c:scaling>
        <c:delete val="0"/>
        <c:axPos val="l"/>
        <c:title>
          <c:tx>
            <c:rich>
              <a:bodyPr rot="-54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100" b="1">
                    <a:solidFill>
                      <a:schemeClr val="tx1"/>
                    </a:solidFill>
                    <a:latin typeface="Times New Roman" panose="02020603050405020304" pitchFamily="18" charset="0"/>
                    <a:cs typeface="Times New Roman" panose="02020603050405020304" pitchFamily="18" charset="0"/>
                  </a:rPr>
                  <a:t>Ethylformate</a:t>
                </a:r>
                <a:r>
                  <a:rPr lang="en-US" sz="1100" b="1" baseline="0">
                    <a:solidFill>
                      <a:schemeClr val="tx1"/>
                    </a:solidFill>
                    <a:latin typeface="Times New Roman" panose="02020603050405020304" pitchFamily="18" charset="0"/>
                    <a:cs typeface="Times New Roman" panose="02020603050405020304" pitchFamily="18" charset="0"/>
                  </a:rPr>
                  <a:t> concentration, ln(EF)</a:t>
                </a:r>
                <a:endParaRPr lang="en-US" sz="1100" b="1">
                  <a:solidFill>
                    <a:schemeClr val="tx1"/>
                  </a:solidFill>
                  <a:latin typeface="Times New Roman" panose="02020603050405020304" pitchFamily="18" charset="0"/>
                  <a:cs typeface="Times New Roman" panose="02020603050405020304" pitchFamily="18" charset="0"/>
                </a:endParaRPr>
              </a:p>
            </c:rich>
          </c:tx>
          <c:layout>
            <c:manualLayout>
              <c:xMode val="edge"/>
              <c:yMode val="edge"/>
              <c:x val="6.3888888888888884E-2"/>
              <c:y val="7.058253135024789E-2"/>
            </c:manualLayout>
          </c:layout>
          <c:overlay val="0"/>
          <c:spPr>
            <a:noFill/>
            <a:ln>
              <a:noFill/>
            </a:ln>
            <a:effectLst/>
          </c:spPr>
          <c:txPr>
            <a:bodyPr rot="-54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cross"/>
        <c:minorTickMark val="none"/>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20341704"/>
        <c:crosses val="autoZero"/>
        <c:crossBetween val="midCat"/>
        <c:majorUnit val="0.4"/>
      </c:valAx>
      <c:spPr>
        <a:noFill/>
        <a:ln w="12700">
          <a:solidFill>
            <a:sysClr val="windowText" lastClr="000000"/>
          </a:solidFill>
        </a:ln>
        <a:effectLst/>
      </c:spPr>
    </c:plotArea>
    <c:plotVisOnly val="1"/>
    <c:dispBlanksAs val="gap"/>
    <c:showDLblsOverMax val="0"/>
  </c:chart>
  <c:spPr>
    <a:noFill/>
    <a:ln w="9525" cap="flat" cmpd="sng" algn="ctr">
      <a:solidFill>
        <a:sysClr val="window" lastClr="FFFFFF"/>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961153590325149"/>
          <c:y val="4.2067190091894961E-2"/>
          <c:w val="0.82383634608399925"/>
          <c:h val="0.79103569302907772"/>
        </c:manualLayout>
      </c:layout>
      <c:scatterChart>
        <c:scatterStyle val="lineMarker"/>
        <c:varyColors val="0"/>
        <c:ser>
          <c:idx val="0"/>
          <c:order val="0"/>
          <c:tx>
            <c:v>EtF_Field</c:v>
          </c:tx>
          <c:spPr>
            <a:ln w="19050" cap="rnd">
              <a:noFill/>
              <a:round/>
            </a:ln>
            <a:effectLst/>
          </c:spPr>
          <c:marker>
            <c:symbol val="square"/>
            <c:size val="5"/>
            <c:spPr>
              <a:noFill/>
              <a:ln w="9525">
                <a:solidFill>
                  <a:schemeClr val="accent1"/>
                </a:solidFill>
              </a:ln>
              <a:effectLst/>
            </c:spPr>
          </c:marker>
          <c:xVal>
            <c:numRef>
              <c:f>'Field Test'!$D$8:$D$63</c:f>
              <c:numCache>
                <c:formatCode>0.00</c:formatCode>
                <c:ptCount val="56"/>
                <c:pt idx="0">
                  <c:v>0</c:v>
                </c:pt>
                <c:pt idx="1">
                  <c:v>2.2324999999999946</c:v>
                </c:pt>
                <c:pt idx="2">
                  <c:v>4.4649999999999963</c:v>
                </c:pt>
                <c:pt idx="3">
                  <c:v>7.8137499999999918</c:v>
                </c:pt>
                <c:pt idx="4">
                  <c:v>11.720624999999991</c:v>
                </c:pt>
                <c:pt idx="5">
                  <c:v>16.185624999999995</c:v>
                </c:pt>
                <c:pt idx="6">
                  <c:v>20.092499999999994</c:v>
                </c:pt>
                <c:pt idx="7">
                  <c:v>22.324999999999996</c:v>
                </c:pt>
                <c:pt idx="8">
                  <c:v>25.673749999999991</c:v>
                </c:pt>
                <c:pt idx="9">
                  <c:v>29.022499999999987</c:v>
                </c:pt>
                <c:pt idx="10">
                  <c:v>32.929374999999986</c:v>
                </c:pt>
                <c:pt idx="11">
                  <c:v>40.184999999999995</c:v>
                </c:pt>
                <c:pt idx="12">
                  <c:v>41.859374999999993</c:v>
                </c:pt>
                <c:pt idx="13">
                  <c:v>44.091874999999995</c:v>
                </c:pt>
                <c:pt idx="14">
                  <c:v>46.882499999999986</c:v>
                </c:pt>
                <c:pt idx="15">
                  <c:v>50.231249999999982</c:v>
                </c:pt>
                <c:pt idx="16">
                  <c:v>51.347499999999989</c:v>
                </c:pt>
                <c:pt idx="17">
                  <c:v>51.905624999999993</c:v>
                </c:pt>
                <c:pt idx="18">
                  <c:v>54.138124999999995</c:v>
                </c:pt>
                <c:pt idx="19">
                  <c:v>55.812499999999993</c:v>
                </c:pt>
                <c:pt idx="20">
                  <c:v>56.928749999999987</c:v>
                </c:pt>
                <c:pt idx="21">
                  <c:v>58.603124999999984</c:v>
                </c:pt>
                <c:pt idx="22">
                  <c:v>60.277499999999982</c:v>
                </c:pt>
                <c:pt idx="23">
                  <c:v>61.951874999999994</c:v>
                </c:pt>
                <c:pt idx="24">
                  <c:v>64.184374999999989</c:v>
                </c:pt>
                <c:pt idx="25">
                  <c:v>65.858749999999986</c:v>
                </c:pt>
                <c:pt idx="26">
                  <c:v>67.533124999999984</c:v>
                </c:pt>
                <c:pt idx="27">
                  <c:v>69.207499999999982</c:v>
                </c:pt>
                <c:pt idx="28">
                  <c:v>70.881875000000008</c:v>
                </c:pt>
                <c:pt idx="29">
                  <c:v>71.998124999999987</c:v>
                </c:pt>
                <c:pt idx="30">
                  <c:v>73.672499999999985</c:v>
                </c:pt>
                <c:pt idx="31">
                  <c:v>75.346874999999983</c:v>
                </c:pt>
                <c:pt idx="32">
                  <c:v>77.021249999999981</c:v>
                </c:pt>
                <c:pt idx="33">
                  <c:v>78.695625000000007</c:v>
                </c:pt>
                <c:pt idx="34">
                  <c:v>79.811874999999986</c:v>
                </c:pt>
                <c:pt idx="35">
                  <c:v>81.486249999999984</c:v>
                </c:pt>
                <c:pt idx="36">
                  <c:v>84.835000000000008</c:v>
                </c:pt>
                <c:pt idx="37">
                  <c:v>88.183750000000003</c:v>
                </c:pt>
                <c:pt idx="38">
                  <c:v>90.974374999999981</c:v>
                </c:pt>
                <c:pt idx="39">
                  <c:v>94.602187499999985</c:v>
                </c:pt>
                <c:pt idx="40">
                  <c:v>97.671875</c:v>
                </c:pt>
                <c:pt idx="41">
                  <c:v>99.346249999999998</c:v>
                </c:pt>
                <c:pt idx="42">
                  <c:v>102.69499999999999</c:v>
                </c:pt>
                <c:pt idx="43">
                  <c:v>106.04374999999999</c:v>
                </c:pt>
                <c:pt idx="44">
                  <c:v>109.39249999999998</c:v>
                </c:pt>
                <c:pt idx="45">
                  <c:v>112.18312499999999</c:v>
                </c:pt>
                <c:pt idx="46">
                  <c:v>114.97375</c:v>
                </c:pt>
                <c:pt idx="47">
                  <c:v>118.32249999999999</c:v>
                </c:pt>
                <c:pt idx="48">
                  <c:v>121.113125</c:v>
                </c:pt>
                <c:pt idx="49">
                  <c:v>123.90375</c:v>
                </c:pt>
                <c:pt idx="50">
                  <c:v>126.69437499999998</c:v>
                </c:pt>
                <c:pt idx="51">
                  <c:v>130.043125</c:v>
                </c:pt>
                <c:pt idx="52">
                  <c:v>132.27562499999999</c:v>
                </c:pt>
                <c:pt idx="53">
                  <c:v>134.50812499999998</c:v>
                </c:pt>
                <c:pt idx="54">
                  <c:v>136.74062499999999</c:v>
                </c:pt>
                <c:pt idx="55">
                  <c:v>138.97312499999998</c:v>
                </c:pt>
              </c:numCache>
            </c:numRef>
          </c:xVal>
          <c:yVal>
            <c:numRef>
              <c:f>'Field Test'!$AF$8:$AF$63</c:f>
              <c:numCache>
                <c:formatCode>General</c:formatCode>
                <c:ptCount val="56"/>
                <c:pt idx="10" formatCode="0.00">
                  <c:v>471.3</c:v>
                </c:pt>
                <c:pt idx="11" formatCode="0.00">
                  <c:v>454.8</c:v>
                </c:pt>
                <c:pt idx="12" formatCode="0.00">
                  <c:v>434.1</c:v>
                </c:pt>
                <c:pt idx="13" formatCode="0.00">
                  <c:v>416.7</c:v>
                </c:pt>
                <c:pt idx="14" formatCode="0.00">
                  <c:v>396.1</c:v>
                </c:pt>
                <c:pt idx="15" formatCode="0.00">
                  <c:v>400.6</c:v>
                </c:pt>
                <c:pt idx="16" formatCode="0.00">
                  <c:v>389.9</c:v>
                </c:pt>
                <c:pt idx="17" formatCode="0.00">
                  <c:v>385.1</c:v>
                </c:pt>
                <c:pt idx="18" formatCode="0.00">
                  <c:v>375.6</c:v>
                </c:pt>
                <c:pt idx="19" formatCode="0.00">
                  <c:v>368.3</c:v>
                </c:pt>
                <c:pt idx="20" formatCode="0.00">
                  <c:v>374.2</c:v>
                </c:pt>
                <c:pt idx="21" formatCode="0.00">
                  <c:v>396.6</c:v>
                </c:pt>
                <c:pt idx="22" formatCode="0.00">
                  <c:v>411.9</c:v>
                </c:pt>
                <c:pt idx="23" formatCode="0.00">
                  <c:v>412.8</c:v>
                </c:pt>
                <c:pt idx="24" formatCode="0.00">
                  <c:v>405.7</c:v>
                </c:pt>
                <c:pt idx="25" formatCode="0.00">
                  <c:v>391.6</c:v>
                </c:pt>
                <c:pt idx="26" formatCode="0.00">
                  <c:v>368.9</c:v>
                </c:pt>
                <c:pt idx="27" formatCode="0.00">
                  <c:v>341.1</c:v>
                </c:pt>
                <c:pt idx="28" formatCode="0.00">
                  <c:v>327</c:v>
                </c:pt>
                <c:pt idx="29" formatCode="0.00">
                  <c:v>331.5</c:v>
                </c:pt>
                <c:pt idx="30" formatCode="0.00">
                  <c:v>327.2</c:v>
                </c:pt>
                <c:pt idx="31" formatCode="0.00">
                  <c:v>322.39999999999998</c:v>
                </c:pt>
                <c:pt idx="32" formatCode="0.00">
                  <c:v>330.2</c:v>
                </c:pt>
                <c:pt idx="33" formatCode="0.00">
                  <c:v>327.8</c:v>
                </c:pt>
                <c:pt idx="34" formatCode="0.00">
                  <c:v>312.8</c:v>
                </c:pt>
                <c:pt idx="35" formatCode="0.00">
                  <c:v>303.89999999999998</c:v>
                </c:pt>
                <c:pt idx="36" formatCode="0.00">
                  <c:v>274.46666666666664</c:v>
                </c:pt>
                <c:pt idx="37" formatCode="0.00">
                  <c:v>219.53333333333336</c:v>
                </c:pt>
                <c:pt idx="38" formatCode="0.00">
                  <c:v>175.43333333333334</c:v>
                </c:pt>
                <c:pt idx="39" formatCode="0.00">
                  <c:v>147.3666666666667</c:v>
                </c:pt>
                <c:pt idx="40" formatCode="0.00">
                  <c:v>123.46666666666667</c:v>
                </c:pt>
                <c:pt idx="41" formatCode="0.00">
                  <c:v>118.46666666666667</c:v>
                </c:pt>
                <c:pt idx="42" formatCode="0.00">
                  <c:v>120.86666666666667</c:v>
                </c:pt>
                <c:pt idx="43" formatCode="0.00">
                  <c:v>126.06666666666668</c:v>
                </c:pt>
                <c:pt idx="44" formatCode="0.00">
                  <c:v>115.80000000000003</c:v>
                </c:pt>
                <c:pt idx="45" formatCode="0.00">
                  <c:v>98.4</c:v>
                </c:pt>
                <c:pt idx="46" formatCode="0.00">
                  <c:v>81</c:v>
                </c:pt>
                <c:pt idx="47" formatCode="0.00">
                  <c:v>73.599999999999994</c:v>
                </c:pt>
                <c:pt idx="48" formatCode="0.00">
                  <c:v>67.2</c:v>
                </c:pt>
                <c:pt idx="49" formatCode="0.00">
                  <c:v>64.266666666666666</c:v>
                </c:pt>
                <c:pt idx="50" formatCode="0.00">
                  <c:v>63.466666666666661</c:v>
                </c:pt>
                <c:pt idx="51" formatCode="0.00">
                  <c:v>64.599999999999994</c:v>
                </c:pt>
                <c:pt idx="52" formatCode="0.00">
                  <c:v>65.166666666666657</c:v>
                </c:pt>
                <c:pt idx="53" formatCode="0.00">
                  <c:v>64.222222222222214</c:v>
                </c:pt>
                <c:pt idx="54" formatCode="0.00">
                  <c:v>63</c:v>
                </c:pt>
                <c:pt idx="55" formatCode="0.00">
                  <c:v>63</c:v>
                </c:pt>
              </c:numCache>
            </c:numRef>
          </c:yVal>
          <c:smooth val="0"/>
        </c:ser>
        <c:ser>
          <c:idx val="1"/>
          <c:order val="1"/>
          <c:tx>
            <c:v>EOH_Field</c:v>
          </c:tx>
          <c:spPr>
            <a:ln w="25400" cap="rnd">
              <a:noFill/>
              <a:round/>
            </a:ln>
            <a:effectLst/>
          </c:spPr>
          <c:marker>
            <c:symbol val="circle"/>
            <c:size val="6"/>
            <c:spPr>
              <a:noFill/>
              <a:ln w="9525">
                <a:solidFill>
                  <a:schemeClr val="accent2"/>
                </a:solidFill>
              </a:ln>
              <a:effectLst/>
            </c:spPr>
          </c:marker>
          <c:xVal>
            <c:numRef>
              <c:f>'Field Test'!$D$8:$D$63</c:f>
              <c:numCache>
                <c:formatCode>0.00</c:formatCode>
                <c:ptCount val="56"/>
                <c:pt idx="0">
                  <c:v>0</c:v>
                </c:pt>
                <c:pt idx="1">
                  <c:v>2.2324999999999946</c:v>
                </c:pt>
                <c:pt idx="2">
                  <c:v>4.4649999999999963</c:v>
                </c:pt>
                <c:pt idx="3">
                  <c:v>7.8137499999999918</c:v>
                </c:pt>
                <c:pt idx="4">
                  <c:v>11.720624999999991</c:v>
                </c:pt>
                <c:pt idx="5">
                  <c:v>16.185624999999995</c:v>
                </c:pt>
                <c:pt idx="6">
                  <c:v>20.092499999999994</c:v>
                </c:pt>
                <c:pt idx="7">
                  <c:v>22.324999999999996</c:v>
                </c:pt>
                <c:pt idx="8">
                  <c:v>25.673749999999991</c:v>
                </c:pt>
                <c:pt idx="9">
                  <c:v>29.022499999999987</c:v>
                </c:pt>
                <c:pt idx="10">
                  <c:v>32.929374999999986</c:v>
                </c:pt>
                <c:pt idx="11">
                  <c:v>40.184999999999995</c:v>
                </c:pt>
                <c:pt idx="12">
                  <c:v>41.859374999999993</c:v>
                </c:pt>
                <c:pt idx="13">
                  <c:v>44.091874999999995</c:v>
                </c:pt>
                <c:pt idx="14">
                  <c:v>46.882499999999986</c:v>
                </c:pt>
                <c:pt idx="15">
                  <c:v>50.231249999999982</c:v>
                </c:pt>
                <c:pt idx="16">
                  <c:v>51.347499999999989</c:v>
                </c:pt>
                <c:pt idx="17">
                  <c:v>51.905624999999993</c:v>
                </c:pt>
                <c:pt idx="18">
                  <c:v>54.138124999999995</c:v>
                </c:pt>
                <c:pt idx="19">
                  <c:v>55.812499999999993</c:v>
                </c:pt>
                <c:pt idx="20">
                  <c:v>56.928749999999987</c:v>
                </c:pt>
                <c:pt idx="21">
                  <c:v>58.603124999999984</c:v>
                </c:pt>
                <c:pt idx="22">
                  <c:v>60.277499999999982</c:v>
                </c:pt>
                <c:pt idx="23">
                  <c:v>61.951874999999994</c:v>
                </c:pt>
                <c:pt idx="24">
                  <c:v>64.184374999999989</c:v>
                </c:pt>
                <c:pt idx="25">
                  <c:v>65.858749999999986</c:v>
                </c:pt>
                <c:pt idx="26">
                  <c:v>67.533124999999984</c:v>
                </c:pt>
                <c:pt idx="27">
                  <c:v>69.207499999999982</c:v>
                </c:pt>
                <c:pt idx="28">
                  <c:v>70.881875000000008</c:v>
                </c:pt>
                <c:pt idx="29">
                  <c:v>71.998124999999987</c:v>
                </c:pt>
                <c:pt idx="30">
                  <c:v>73.672499999999985</c:v>
                </c:pt>
                <c:pt idx="31">
                  <c:v>75.346874999999983</c:v>
                </c:pt>
                <c:pt idx="32">
                  <c:v>77.021249999999981</c:v>
                </c:pt>
                <c:pt idx="33">
                  <c:v>78.695625000000007</c:v>
                </c:pt>
                <c:pt idx="34">
                  <c:v>79.811874999999986</c:v>
                </c:pt>
                <c:pt idx="35">
                  <c:v>81.486249999999984</c:v>
                </c:pt>
                <c:pt idx="36">
                  <c:v>84.835000000000008</c:v>
                </c:pt>
                <c:pt idx="37">
                  <c:v>88.183750000000003</c:v>
                </c:pt>
                <c:pt idx="38">
                  <c:v>90.974374999999981</c:v>
                </c:pt>
                <c:pt idx="39">
                  <c:v>94.602187499999985</c:v>
                </c:pt>
                <c:pt idx="40">
                  <c:v>97.671875</c:v>
                </c:pt>
                <c:pt idx="41">
                  <c:v>99.346249999999998</c:v>
                </c:pt>
                <c:pt idx="42">
                  <c:v>102.69499999999999</c:v>
                </c:pt>
                <c:pt idx="43">
                  <c:v>106.04374999999999</c:v>
                </c:pt>
                <c:pt idx="44">
                  <c:v>109.39249999999998</c:v>
                </c:pt>
                <c:pt idx="45">
                  <c:v>112.18312499999999</c:v>
                </c:pt>
                <c:pt idx="46">
                  <c:v>114.97375</c:v>
                </c:pt>
                <c:pt idx="47">
                  <c:v>118.32249999999999</c:v>
                </c:pt>
                <c:pt idx="48">
                  <c:v>121.113125</c:v>
                </c:pt>
                <c:pt idx="49">
                  <c:v>123.90375</c:v>
                </c:pt>
                <c:pt idx="50">
                  <c:v>126.69437499999998</c:v>
                </c:pt>
                <c:pt idx="51">
                  <c:v>130.043125</c:v>
                </c:pt>
                <c:pt idx="52">
                  <c:v>132.27562499999999</c:v>
                </c:pt>
                <c:pt idx="53">
                  <c:v>134.50812499999998</c:v>
                </c:pt>
                <c:pt idx="54">
                  <c:v>136.74062499999999</c:v>
                </c:pt>
                <c:pt idx="55">
                  <c:v>138.97312499999998</c:v>
                </c:pt>
              </c:numCache>
            </c:numRef>
          </c:xVal>
          <c:yVal>
            <c:numRef>
              <c:f>'Field Test'!$AE$8:$AE$63</c:f>
              <c:numCache>
                <c:formatCode>General</c:formatCode>
                <c:ptCount val="56"/>
                <c:pt idx="9" formatCode="0.00">
                  <c:v>525.5</c:v>
                </c:pt>
                <c:pt idx="10" formatCode="0.00">
                  <c:v>632.6</c:v>
                </c:pt>
                <c:pt idx="11" formatCode="0.00">
                  <c:v>597</c:v>
                </c:pt>
                <c:pt idx="12" formatCode="0.00">
                  <c:v>586.70000000000005</c:v>
                </c:pt>
                <c:pt idx="13" formatCode="0.00">
                  <c:v>585.4</c:v>
                </c:pt>
                <c:pt idx="14" formatCode="0.00">
                  <c:v>598.6</c:v>
                </c:pt>
                <c:pt idx="15" formatCode="0.00">
                  <c:v>617.70000000000005</c:v>
                </c:pt>
                <c:pt idx="16" formatCode="0.00">
                  <c:v>605.20000000000005</c:v>
                </c:pt>
                <c:pt idx="17" formatCode="0.00">
                  <c:v>599.70000000000005</c:v>
                </c:pt>
                <c:pt idx="18" formatCode="0.00">
                  <c:v>585.70000000000005</c:v>
                </c:pt>
                <c:pt idx="19" formatCode="0.00">
                  <c:v>555.5</c:v>
                </c:pt>
                <c:pt idx="20" formatCode="0.00">
                  <c:v>520</c:v>
                </c:pt>
                <c:pt idx="21" formatCode="0.00">
                  <c:v>523</c:v>
                </c:pt>
                <c:pt idx="22" formatCode="0.00">
                  <c:v>515.70000000000005</c:v>
                </c:pt>
                <c:pt idx="23" formatCode="0.00">
                  <c:v>509.8</c:v>
                </c:pt>
                <c:pt idx="24" formatCode="0.00">
                  <c:v>502.1</c:v>
                </c:pt>
                <c:pt idx="25" formatCode="0.00">
                  <c:v>501.3</c:v>
                </c:pt>
                <c:pt idx="26" formatCode="0.00">
                  <c:v>493.7</c:v>
                </c:pt>
                <c:pt idx="27" formatCode="0.00">
                  <c:v>479.6</c:v>
                </c:pt>
                <c:pt idx="28" formatCode="0.00">
                  <c:v>462.94499999999999</c:v>
                </c:pt>
                <c:pt idx="29" formatCode="0.00">
                  <c:v>464.66499999999996</c:v>
                </c:pt>
                <c:pt idx="30" formatCode="0.00">
                  <c:v>458.26499999999999</c:v>
                </c:pt>
                <c:pt idx="31" formatCode="0.00">
                  <c:v>448.46499999999997</c:v>
                </c:pt>
                <c:pt idx="32" formatCode="0.00">
                  <c:v>454.36499999999995</c:v>
                </c:pt>
                <c:pt idx="33" formatCode="0.00">
                  <c:v>451.91999999999996</c:v>
                </c:pt>
                <c:pt idx="34" formatCode="0.00">
                  <c:v>435.5</c:v>
                </c:pt>
                <c:pt idx="35" formatCode="0.00">
                  <c:v>422.1</c:v>
                </c:pt>
                <c:pt idx="36" formatCode="0.00">
                  <c:v>383.76666666666665</c:v>
                </c:pt>
                <c:pt idx="37" formatCode="0.00">
                  <c:v>315.46666666666664</c:v>
                </c:pt>
                <c:pt idx="38" formatCode="0.00">
                  <c:v>254.9</c:v>
                </c:pt>
                <c:pt idx="39" formatCode="0.00">
                  <c:v>220.1</c:v>
                </c:pt>
                <c:pt idx="40" formatCode="0.00">
                  <c:v>185.2</c:v>
                </c:pt>
                <c:pt idx="41" formatCode="0.00">
                  <c:v>177.93333333333334</c:v>
                </c:pt>
                <c:pt idx="42" formatCode="0.00">
                  <c:v>184.06666666666669</c:v>
                </c:pt>
                <c:pt idx="43" formatCode="0.00">
                  <c:v>199</c:v>
                </c:pt>
                <c:pt idx="44" formatCode="0.00">
                  <c:v>191.2</c:v>
                </c:pt>
                <c:pt idx="45" formatCode="0.00">
                  <c:v>183.93333333333334</c:v>
                </c:pt>
                <c:pt idx="46" formatCode="0.00">
                  <c:v>174.26666666666671</c:v>
                </c:pt>
                <c:pt idx="47" formatCode="0.00">
                  <c:v>177.93333333333334</c:v>
                </c:pt>
                <c:pt idx="48" formatCode="0.00">
                  <c:v>176.06666666666666</c:v>
                </c:pt>
                <c:pt idx="49" formatCode="0.00">
                  <c:v>173.6</c:v>
                </c:pt>
                <c:pt idx="50" formatCode="0.00">
                  <c:v>171.13333333333335</c:v>
                </c:pt>
                <c:pt idx="51" formatCode="0.00">
                  <c:v>171.93333333333334</c:v>
                </c:pt>
                <c:pt idx="52" formatCode="0.00">
                  <c:v>170.66666666666666</c:v>
                </c:pt>
                <c:pt idx="53" formatCode="0.00">
                  <c:v>167.88888888888889</c:v>
                </c:pt>
                <c:pt idx="54" formatCode="0.00">
                  <c:v>169</c:v>
                </c:pt>
                <c:pt idx="55" formatCode="0.00">
                  <c:v>174.66666666666666</c:v>
                </c:pt>
              </c:numCache>
            </c:numRef>
          </c:yVal>
          <c:smooth val="0"/>
        </c:ser>
        <c:ser>
          <c:idx val="2"/>
          <c:order val="2"/>
          <c:tx>
            <c:v>EtF</c:v>
          </c:tx>
          <c:spPr>
            <a:ln w="28575" cmpd="sng">
              <a:solidFill>
                <a:schemeClr val="tx2"/>
              </a:solidFill>
            </a:ln>
          </c:spPr>
          <c:marker>
            <c:symbol val="none"/>
          </c:marker>
          <c:xVal>
            <c:numRef>
              <c:f>Simulation!$I$7:$I$892</c:f>
              <c:numCache>
                <c:formatCode>General</c:formatCode>
                <c:ptCount val="886"/>
                <c:pt idx="0">
                  <c:v>0</c:v>
                </c:pt>
                <c:pt idx="1">
                  <c:v>0.14058267814961606</c:v>
                </c:pt>
                <c:pt idx="2">
                  <c:v>0.20270608701036968</c:v>
                </c:pt>
                <c:pt idx="3">
                  <c:v>0.32810047960193656</c:v>
                </c:pt>
                <c:pt idx="4">
                  <c:v>0.4831443444082491</c:v>
                </c:pt>
                <c:pt idx="5">
                  <c:v>0.63818818578317271</c:v>
                </c:pt>
                <c:pt idx="6">
                  <c:v>0.7932319802954193</c:v>
                </c:pt>
                <c:pt idx="7">
                  <c:v>0.94827586853308288</c:v>
                </c:pt>
                <c:pt idx="8">
                  <c:v>1.1033196630452664</c:v>
                </c:pt>
                <c:pt idx="9">
                  <c:v>1.2583635512829301</c:v>
                </c:pt>
                <c:pt idx="10">
                  <c:v>1.4134073457951768</c:v>
                </c:pt>
                <c:pt idx="11">
                  <c:v>1.5684512340328405</c:v>
                </c:pt>
                <c:pt idx="12">
                  <c:v>1.7234951222705039</c:v>
                </c:pt>
                <c:pt idx="13">
                  <c:v>1.8785388230572075</c:v>
                </c:pt>
                <c:pt idx="14">
                  <c:v>2.0335827112949345</c:v>
                </c:pt>
                <c:pt idx="15">
                  <c:v>2.188626599532598</c:v>
                </c:pt>
                <c:pt idx="16">
                  <c:v>2.3436704877702619</c:v>
                </c:pt>
                <c:pt idx="17">
                  <c:v>2.4987141885570279</c:v>
                </c:pt>
                <c:pt idx="18">
                  <c:v>2.6537580767946918</c:v>
                </c:pt>
                <c:pt idx="19">
                  <c:v>2.8088019650323552</c:v>
                </c:pt>
                <c:pt idx="20">
                  <c:v>2.9638458532700818</c:v>
                </c:pt>
                <c:pt idx="21">
                  <c:v>3.1188895540567856</c:v>
                </c:pt>
                <c:pt idx="22">
                  <c:v>3.2739336297454091</c:v>
                </c:pt>
                <c:pt idx="23">
                  <c:v>3.428977330532113</c:v>
                </c:pt>
                <c:pt idx="24">
                  <c:v>3.5840210313188163</c:v>
                </c:pt>
                <c:pt idx="25">
                  <c:v>3.7390651070075029</c:v>
                </c:pt>
                <c:pt idx="26">
                  <c:v>3.8941088077942063</c:v>
                </c:pt>
                <c:pt idx="27">
                  <c:v>4.0491525085809101</c:v>
                </c:pt>
                <c:pt idx="28">
                  <c:v>4.2041965842695967</c:v>
                </c:pt>
                <c:pt idx="29">
                  <c:v>4.3592402850563001</c:v>
                </c:pt>
                <c:pt idx="30">
                  <c:v>4.5142843607449237</c:v>
                </c:pt>
                <c:pt idx="31">
                  <c:v>4.669328061531691</c:v>
                </c:pt>
                <c:pt idx="32">
                  <c:v>4.8243717623183944</c:v>
                </c:pt>
                <c:pt idx="33">
                  <c:v>4.9794158380070188</c:v>
                </c:pt>
                <c:pt idx="34">
                  <c:v>5.1344595387937222</c:v>
                </c:pt>
                <c:pt idx="35">
                  <c:v>5.2895032395804256</c:v>
                </c:pt>
                <c:pt idx="36">
                  <c:v>5.4445473152691122</c:v>
                </c:pt>
                <c:pt idx="37">
                  <c:v>5.5995910160558156</c:v>
                </c:pt>
                <c:pt idx="38">
                  <c:v>5.7546350917445022</c:v>
                </c:pt>
                <c:pt idx="39">
                  <c:v>5.9096787925312055</c:v>
                </c:pt>
                <c:pt idx="40">
                  <c:v>6.0647224933179089</c:v>
                </c:pt>
                <c:pt idx="41">
                  <c:v>6.2197665690065334</c:v>
                </c:pt>
                <c:pt idx="42">
                  <c:v>6.374810269793552</c:v>
                </c:pt>
                <c:pt idx="43">
                  <c:v>6.5298539705801284</c:v>
                </c:pt>
                <c:pt idx="44">
                  <c:v>6.6848976713667074</c:v>
                </c:pt>
                <c:pt idx="45">
                  <c:v>6.8399421219572503</c:v>
                </c:pt>
                <c:pt idx="46">
                  <c:v>6.9949858227438275</c:v>
                </c:pt>
                <c:pt idx="47">
                  <c:v>7.1500295235310345</c:v>
                </c:pt>
                <c:pt idx="48">
                  <c:v>7.3050732243176135</c:v>
                </c:pt>
                <c:pt idx="49">
                  <c:v>7.4601169251041908</c:v>
                </c:pt>
                <c:pt idx="50">
                  <c:v>7.6151613756947354</c:v>
                </c:pt>
                <c:pt idx="51">
                  <c:v>7.7702050764813126</c:v>
                </c:pt>
                <c:pt idx="52">
                  <c:v>7.9252487772678908</c:v>
                </c:pt>
                <c:pt idx="53">
                  <c:v>8.080292478055096</c:v>
                </c:pt>
                <c:pt idx="54">
                  <c:v>8.2353361788416759</c:v>
                </c:pt>
                <c:pt idx="55">
                  <c:v>8.3903798796282523</c:v>
                </c:pt>
                <c:pt idx="56">
                  <c:v>8.5454243302187969</c:v>
                </c:pt>
                <c:pt idx="57">
                  <c:v>8.7004680310053732</c:v>
                </c:pt>
                <c:pt idx="58">
                  <c:v>8.8555117317925802</c:v>
                </c:pt>
                <c:pt idx="59">
                  <c:v>9.0105554325791584</c:v>
                </c:pt>
                <c:pt idx="60">
                  <c:v>9.1655991333657365</c:v>
                </c:pt>
                <c:pt idx="61">
                  <c:v>9.3206435839562793</c:v>
                </c:pt>
                <c:pt idx="62">
                  <c:v>9.4756872847428593</c:v>
                </c:pt>
                <c:pt idx="63">
                  <c:v>9.6307309855300662</c:v>
                </c:pt>
                <c:pt idx="64">
                  <c:v>9.7857746863166426</c:v>
                </c:pt>
                <c:pt idx="65">
                  <c:v>9.9408183871032207</c:v>
                </c:pt>
                <c:pt idx="66">
                  <c:v>10.095862837693765</c:v>
                </c:pt>
                <c:pt idx="67">
                  <c:v>10.250906538480342</c:v>
                </c:pt>
                <c:pt idx="68">
                  <c:v>10.40595023926692</c:v>
                </c:pt>
                <c:pt idx="69">
                  <c:v>10.560993940054127</c:v>
                </c:pt>
                <c:pt idx="70">
                  <c:v>10.716037640840705</c:v>
                </c:pt>
                <c:pt idx="71">
                  <c:v>10.871081341627283</c:v>
                </c:pt>
                <c:pt idx="72">
                  <c:v>11.026125792217826</c:v>
                </c:pt>
                <c:pt idx="73">
                  <c:v>11.181169493004406</c:v>
                </c:pt>
                <c:pt idx="74">
                  <c:v>11.336213193791611</c:v>
                </c:pt>
                <c:pt idx="75">
                  <c:v>11.491256894578189</c:v>
                </c:pt>
                <c:pt idx="76">
                  <c:v>11.646300595364766</c:v>
                </c:pt>
                <c:pt idx="77">
                  <c:v>11.801345045955312</c:v>
                </c:pt>
                <c:pt idx="78">
                  <c:v>11.956388746741888</c:v>
                </c:pt>
                <c:pt idx="79">
                  <c:v>12.111432447529095</c:v>
                </c:pt>
                <c:pt idx="80">
                  <c:v>12.266476148315672</c:v>
                </c:pt>
                <c:pt idx="81">
                  <c:v>12.421519849102252</c:v>
                </c:pt>
                <c:pt idx="82">
                  <c:v>12.576564299692794</c:v>
                </c:pt>
                <c:pt idx="83">
                  <c:v>12.731607250675404</c:v>
                </c:pt>
                <c:pt idx="84">
                  <c:v>12.88665170126658</c:v>
                </c:pt>
                <c:pt idx="85">
                  <c:v>13.041696151857122</c:v>
                </c:pt>
                <c:pt idx="86">
                  <c:v>13.196739102839734</c:v>
                </c:pt>
                <c:pt idx="87">
                  <c:v>13.351783553430277</c:v>
                </c:pt>
                <c:pt idx="88">
                  <c:v>13.50682650441289</c:v>
                </c:pt>
                <c:pt idx="89">
                  <c:v>13.661870955003435</c:v>
                </c:pt>
                <c:pt idx="90">
                  <c:v>13.816915405594607</c:v>
                </c:pt>
                <c:pt idx="91">
                  <c:v>13.97195835657722</c:v>
                </c:pt>
                <c:pt idx="92">
                  <c:v>14.127002807167763</c:v>
                </c:pt>
                <c:pt idx="93">
                  <c:v>14.282045758150375</c:v>
                </c:pt>
                <c:pt idx="94">
                  <c:v>14.437090208740917</c:v>
                </c:pt>
                <c:pt idx="95">
                  <c:v>14.59213315972416</c:v>
                </c:pt>
                <c:pt idx="96">
                  <c:v>14.747177610314703</c:v>
                </c:pt>
                <c:pt idx="97">
                  <c:v>14.902222060905247</c:v>
                </c:pt>
                <c:pt idx="98">
                  <c:v>15.057265011887857</c:v>
                </c:pt>
                <c:pt idx="99">
                  <c:v>15.212309462478403</c:v>
                </c:pt>
                <c:pt idx="100">
                  <c:v>15.367352413461642</c:v>
                </c:pt>
                <c:pt idx="101">
                  <c:v>15.522396864052187</c:v>
                </c:pt>
                <c:pt idx="102">
                  <c:v>15.67744131464273</c:v>
                </c:pt>
                <c:pt idx="103">
                  <c:v>15.832484265625343</c:v>
                </c:pt>
                <c:pt idx="104">
                  <c:v>15.987528716215888</c:v>
                </c:pt>
                <c:pt idx="105">
                  <c:v>16.142571667199125</c:v>
                </c:pt>
                <c:pt idx="106">
                  <c:v>16.297616117789669</c:v>
                </c:pt>
                <c:pt idx="107">
                  <c:v>16.452660568380217</c:v>
                </c:pt>
                <c:pt idx="108">
                  <c:v>16.607703519362826</c:v>
                </c:pt>
                <c:pt idx="109">
                  <c:v>16.76274796995337</c:v>
                </c:pt>
                <c:pt idx="110">
                  <c:v>16.917790920936611</c:v>
                </c:pt>
                <c:pt idx="111">
                  <c:v>17.072835371527155</c:v>
                </c:pt>
                <c:pt idx="112">
                  <c:v>17.2278798221177</c:v>
                </c:pt>
                <c:pt idx="113">
                  <c:v>17.382922773100312</c:v>
                </c:pt>
                <c:pt idx="114">
                  <c:v>17.537967223690856</c:v>
                </c:pt>
                <c:pt idx="115">
                  <c:v>17.693010174674097</c:v>
                </c:pt>
                <c:pt idx="116">
                  <c:v>17.848054625264638</c:v>
                </c:pt>
                <c:pt idx="117">
                  <c:v>18.003099075855182</c:v>
                </c:pt>
                <c:pt idx="118">
                  <c:v>18.158142026837798</c:v>
                </c:pt>
                <c:pt idx="119">
                  <c:v>18.313186477428339</c:v>
                </c:pt>
                <c:pt idx="120">
                  <c:v>18.46822942841095</c:v>
                </c:pt>
                <c:pt idx="121">
                  <c:v>18.623273879002124</c:v>
                </c:pt>
                <c:pt idx="122">
                  <c:v>18.778318329592668</c:v>
                </c:pt>
                <c:pt idx="123">
                  <c:v>18.93336128057528</c:v>
                </c:pt>
                <c:pt idx="124">
                  <c:v>19.088405731165821</c:v>
                </c:pt>
                <c:pt idx="125">
                  <c:v>19.243448682148433</c:v>
                </c:pt>
                <c:pt idx="126">
                  <c:v>19.39849313273961</c:v>
                </c:pt>
                <c:pt idx="127">
                  <c:v>19.553536083722218</c:v>
                </c:pt>
                <c:pt idx="128">
                  <c:v>19.708580534312762</c:v>
                </c:pt>
                <c:pt idx="129">
                  <c:v>19.863624984903307</c:v>
                </c:pt>
                <c:pt idx="130">
                  <c:v>20.018667935885919</c:v>
                </c:pt>
                <c:pt idx="131">
                  <c:v>20.173712386476463</c:v>
                </c:pt>
                <c:pt idx="132">
                  <c:v>20.3287553374597</c:v>
                </c:pt>
                <c:pt idx="133">
                  <c:v>20.483799788050248</c:v>
                </c:pt>
                <c:pt idx="134">
                  <c:v>20.638844238640793</c:v>
                </c:pt>
                <c:pt idx="135">
                  <c:v>20.793887189623401</c:v>
                </c:pt>
                <c:pt idx="136">
                  <c:v>20.948931640213946</c:v>
                </c:pt>
                <c:pt idx="137">
                  <c:v>21.103974591197186</c:v>
                </c:pt>
                <c:pt idx="138">
                  <c:v>21.259019041787731</c:v>
                </c:pt>
                <c:pt idx="139">
                  <c:v>21.414063492378276</c:v>
                </c:pt>
                <c:pt idx="140">
                  <c:v>21.569106443360887</c:v>
                </c:pt>
                <c:pt idx="141">
                  <c:v>21.724150893951432</c:v>
                </c:pt>
                <c:pt idx="142">
                  <c:v>21.879193844934672</c:v>
                </c:pt>
                <c:pt idx="143">
                  <c:v>22.034238295525213</c:v>
                </c:pt>
                <c:pt idx="144">
                  <c:v>22.189282746115758</c:v>
                </c:pt>
                <c:pt idx="145">
                  <c:v>22.344325697098373</c:v>
                </c:pt>
                <c:pt idx="146">
                  <c:v>22.499370147688914</c:v>
                </c:pt>
                <c:pt idx="147">
                  <c:v>22.654413098672155</c:v>
                </c:pt>
                <c:pt idx="148">
                  <c:v>22.809457549262699</c:v>
                </c:pt>
                <c:pt idx="149">
                  <c:v>22.964501999853244</c:v>
                </c:pt>
                <c:pt idx="150">
                  <c:v>23.119544950835856</c:v>
                </c:pt>
                <c:pt idx="151">
                  <c:v>23.274589401426397</c:v>
                </c:pt>
                <c:pt idx="152">
                  <c:v>23.429632352409641</c:v>
                </c:pt>
                <c:pt idx="153">
                  <c:v>23.584676803000185</c:v>
                </c:pt>
                <c:pt idx="154">
                  <c:v>23.739719753982794</c:v>
                </c:pt>
                <c:pt idx="155">
                  <c:v>23.894764204573338</c:v>
                </c:pt>
                <c:pt idx="156">
                  <c:v>24.049808655163883</c:v>
                </c:pt>
                <c:pt idx="157">
                  <c:v>24.204851606147123</c:v>
                </c:pt>
                <c:pt idx="158">
                  <c:v>24.359896056737668</c:v>
                </c:pt>
                <c:pt idx="159">
                  <c:v>24.514939007720276</c:v>
                </c:pt>
                <c:pt idx="160">
                  <c:v>24.669983458310824</c:v>
                </c:pt>
                <c:pt idx="161">
                  <c:v>24.825027908901369</c:v>
                </c:pt>
                <c:pt idx="162">
                  <c:v>24.980070859883977</c:v>
                </c:pt>
                <c:pt idx="163">
                  <c:v>25.13511531047515</c:v>
                </c:pt>
                <c:pt idx="164">
                  <c:v>25.290159761065695</c:v>
                </c:pt>
                <c:pt idx="165">
                  <c:v>25.44520421165624</c:v>
                </c:pt>
                <c:pt idx="166">
                  <c:v>25.600245663030918</c:v>
                </c:pt>
                <c:pt idx="167">
                  <c:v>25.755290113621463</c:v>
                </c:pt>
                <c:pt idx="168">
                  <c:v>25.910334564212636</c:v>
                </c:pt>
                <c:pt idx="169">
                  <c:v>26.065379014803181</c:v>
                </c:pt>
                <c:pt idx="170">
                  <c:v>26.220420466177856</c:v>
                </c:pt>
                <c:pt idx="171">
                  <c:v>26.375464916768401</c:v>
                </c:pt>
                <c:pt idx="172">
                  <c:v>26.530509367358945</c:v>
                </c:pt>
                <c:pt idx="173">
                  <c:v>26.685553817949486</c:v>
                </c:pt>
                <c:pt idx="174">
                  <c:v>26.840598268540663</c:v>
                </c:pt>
                <c:pt idx="175">
                  <c:v>26.995639719915342</c:v>
                </c:pt>
                <c:pt idx="176">
                  <c:v>27.150684170505883</c:v>
                </c:pt>
                <c:pt idx="177">
                  <c:v>27.305728621096428</c:v>
                </c:pt>
                <c:pt idx="178">
                  <c:v>27.460773071686976</c:v>
                </c:pt>
                <c:pt idx="179">
                  <c:v>27.615817522278146</c:v>
                </c:pt>
                <c:pt idx="180">
                  <c:v>27.770858973652825</c:v>
                </c:pt>
                <c:pt idx="181">
                  <c:v>27.925903424243369</c:v>
                </c:pt>
                <c:pt idx="182">
                  <c:v>28.080947874833917</c:v>
                </c:pt>
                <c:pt idx="183">
                  <c:v>28.235992325424458</c:v>
                </c:pt>
                <c:pt idx="184">
                  <c:v>28.391036776015003</c:v>
                </c:pt>
                <c:pt idx="185">
                  <c:v>28.546078227390314</c:v>
                </c:pt>
                <c:pt idx="186">
                  <c:v>28.701122677980855</c:v>
                </c:pt>
                <c:pt idx="187">
                  <c:v>28.8561671285714</c:v>
                </c:pt>
                <c:pt idx="188">
                  <c:v>29.011211579161944</c:v>
                </c:pt>
                <c:pt idx="189">
                  <c:v>29.166256029752486</c:v>
                </c:pt>
                <c:pt idx="190">
                  <c:v>29.321297481127797</c:v>
                </c:pt>
                <c:pt idx="191">
                  <c:v>29.476341931718341</c:v>
                </c:pt>
                <c:pt idx="192">
                  <c:v>29.631386382308882</c:v>
                </c:pt>
                <c:pt idx="193">
                  <c:v>29.786430832899427</c:v>
                </c:pt>
                <c:pt idx="194">
                  <c:v>29.941475283489972</c:v>
                </c:pt>
                <c:pt idx="195">
                  <c:v>30.096516734865279</c:v>
                </c:pt>
                <c:pt idx="196">
                  <c:v>30.251561185455824</c:v>
                </c:pt>
                <c:pt idx="197">
                  <c:v>30.406605636046365</c:v>
                </c:pt>
                <c:pt idx="198">
                  <c:v>30.561650086636909</c:v>
                </c:pt>
                <c:pt idx="199">
                  <c:v>30.716694537227454</c:v>
                </c:pt>
                <c:pt idx="200">
                  <c:v>30.871735988602762</c:v>
                </c:pt>
                <c:pt idx="201">
                  <c:v>31.026780439193306</c:v>
                </c:pt>
                <c:pt idx="202">
                  <c:v>31.181824889783851</c:v>
                </c:pt>
                <c:pt idx="203">
                  <c:v>31.336869340374392</c:v>
                </c:pt>
                <c:pt idx="204">
                  <c:v>31.491913790964936</c:v>
                </c:pt>
                <c:pt idx="205">
                  <c:v>31.646955242340244</c:v>
                </c:pt>
                <c:pt idx="206">
                  <c:v>31.801999692930789</c:v>
                </c:pt>
                <c:pt idx="207">
                  <c:v>31.957044143521333</c:v>
                </c:pt>
                <c:pt idx="208">
                  <c:v>32.112088594111881</c:v>
                </c:pt>
                <c:pt idx="209">
                  <c:v>32.267133044702426</c:v>
                </c:pt>
                <c:pt idx="210">
                  <c:v>32.42217449607773</c:v>
                </c:pt>
                <c:pt idx="211">
                  <c:v>32.577218946668275</c:v>
                </c:pt>
                <c:pt idx="212">
                  <c:v>32.732263397258819</c:v>
                </c:pt>
                <c:pt idx="213">
                  <c:v>32.887307847849364</c:v>
                </c:pt>
                <c:pt idx="214">
                  <c:v>33.042352298439909</c:v>
                </c:pt>
                <c:pt idx="215">
                  <c:v>33.197393749815213</c:v>
                </c:pt>
                <c:pt idx="216">
                  <c:v>33.352438200405764</c:v>
                </c:pt>
                <c:pt idx="217">
                  <c:v>33.507482650996302</c:v>
                </c:pt>
                <c:pt idx="218">
                  <c:v>33.662527101586846</c:v>
                </c:pt>
                <c:pt idx="219">
                  <c:v>33.817571552177391</c:v>
                </c:pt>
                <c:pt idx="220">
                  <c:v>33.972613003552702</c:v>
                </c:pt>
                <c:pt idx="221">
                  <c:v>34.127657454143247</c:v>
                </c:pt>
                <c:pt idx="222">
                  <c:v>34.282701904733791</c:v>
                </c:pt>
                <c:pt idx="223">
                  <c:v>34.437746355324329</c:v>
                </c:pt>
                <c:pt idx="224">
                  <c:v>34.592790805914873</c:v>
                </c:pt>
                <c:pt idx="225">
                  <c:v>34.747832257290185</c:v>
                </c:pt>
                <c:pt idx="226">
                  <c:v>34.902876707880729</c:v>
                </c:pt>
                <c:pt idx="227">
                  <c:v>35.057921158471274</c:v>
                </c:pt>
                <c:pt idx="228">
                  <c:v>35.212965609061811</c:v>
                </c:pt>
                <c:pt idx="229">
                  <c:v>35.368010059652356</c:v>
                </c:pt>
                <c:pt idx="230">
                  <c:v>35.523051511027035</c:v>
                </c:pt>
                <c:pt idx="231">
                  <c:v>35.678095961618212</c:v>
                </c:pt>
                <c:pt idx="232">
                  <c:v>35.833140412208756</c:v>
                </c:pt>
                <c:pt idx="233">
                  <c:v>35.988184862799301</c:v>
                </c:pt>
                <c:pt idx="234">
                  <c:v>36.143226314173972</c:v>
                </c:pt>
                <c:pt idx="235">
                  <c:v>36.298270764764524</c:v>
                </c:pt>
                <c:pt idx="236">
                  <c:v>36.453315215355694</c:v>
                </c:pt>
                <c:pt idx="237">
                  <c:v>36.608359665946239</c:v>
                </c:pt>
                <c:pt idx="238">
                  <c:v>36.763404116536783</c:v>
                </c:pt>
                <c:pt idx="239">
                  <c:v>36.918445567911462</c:v>
                </c:pt>
                <c:pt idx="240">
                  <c:v>37.073490018502007</c:v>
                </c:pt>
                <c:pt idx="241">
                  <c:v>37.228534469092551</c:v>
                </c:pt>
                <c:pt idx="242">
                  <c:v>37.383578919683721</c:v>
                </c:pt>
                <c:pt idx="243">
                  <c:v>37.538623370274273</c:v>
                </c:pt>
                <c:pt idx="244">
                  <c:v>37.693664821648944</c:v>
                </c:pt>
                <c:pt idx="245">
                  <c:v>37.848709272239489</c:v>
                </c:pt>
                <c:pt idx="246">
                  <c:v>38.003753722830034</c:v>
                </c:pt>
                <c:pt idx="247">
                  <c:v>38.158798173421211</c:v>
                </c:pt>
                <c:pt idx="248">
                  <c:v>38.313842624011755</c:v>
                </c:pt>
                <c:pt idx="249">
                  <c:v>38.468884075386434</c:v>
                </c:pt>
                <c:pt idx="250">
                  <c:v>38.623928525976972</c:v>
                </c:pt>
                <c:pt idx="251">
                  <c:v>38.778972976567516</c:v>
                </c:pt>
                <c:pt idx="252">
                  <c:v>38.934017427158061</c:v>
                </c:pt>
                <c:pt idx="253">
                  <c:v>39.089061877749238</c:v>
                </c:pt>
                <c:pt idx="254">
                  <c:v>39.244103329123917</c:v>
                </c:pt>
                <c:pt idx="255">
                  <c:v>39.399147779714454</c:v>
                </c:pt>
                <c:pt idx="256">
                  <c:v>39.554192230304999</c:v>
                </c:pt>
                <c:pt idx="257">
                  <c:v>39.709236680895543</c:v>
                </c:pt>
                <c:pt idx="258">
                  <c:v>39.86428113148672</c:v>
                </c:pt>
                <c:pt idx="259">
                  <c:v>40.019322582861399</c:v>
                </c:pt>
                <c:pt idx="260">
                  <c:v>40.174367033451944</c:v>
                </c:pt>
                <c:pt idx="261">
                  <c:v>40.329411484042481</c:v>
                </c:pt>
                <c:pt idx="262">
                  <c:v>40.484455934633033</c:v>
                </c:pt>
                <c:pt idx="263">
                  <c:v>40.639500385223577</c:v>
                </c:pt>
                <c:pt idx="264">
                  <c:v>40.794541836598881</c:v>
                </c:pt>
                <c:pt idx="265">
                  <c:v>40.949586287189426</c:v>
                </c:pt>
                <c:pt idx="266">
                  <c:v>41.104630737779971</c:v>
                </c:pt>
                <c:pt idx="267">
                  <c:v>41.259675188370515</c:v>
                </c:pt>
                <c:pt idx="268">
                  <c:v>41.41471963896106</c:v>
                </c:pt>
                <c:pt idx="269">
                  <c:v>41.569761090336364</c:v>
                </c:pt>
                <c:pt idx="270">
                  <c:v>41.724805540926916</c:v>
                </c:pt>
                <c:pt idx="271">
                  <c:v>41.879849991517453</c:v>
                </c:pt>
                <c:pt idx="272">
                  <c:v>42.034894442107998</c:v>
                </c:pt>
                <c:pt idx="273">
                  <c:v>42.189938892698542</c:v>
                </c:pt>
                <c:pt idx="274">
                  <c:v>42.344980344073853</c:v>
                </c:pt>
                <c:pt idx="275">
                  <c:v>42.500024794664398</c:v>
                </c:pt>
                <c:pt idx="276">
                  <c:v>42.655069245254943</c:v>
                </c:pt>
                <c:pt idx="277">
                  <c:v>42.81011369584548</c:v>
                </c:pt>
                <c:pt idx="278">
                  <c:v>42.965158146436025</c:v>
                </c:pt>
                <c:pt idx="279">
                  <c:v>43.120199597811336</c:v>
                </c:pt>
                <c:pt idx="280">
                  <c:v>43.275244048401881</c:v>
                </c:pt>
                <c:pt idx="281">
                  <c:v>43.430288498992425</c:v>
                </c:pt>
                <c:pt idx="282">
                  <c:v>43.585332949582963</c:v>
                </c:pt>
                <c:pt idx="283">
                  <c:v>43.740377400173507</c:v>
                </c:pt>
                <c:pt idx="284">
                  <c:v>43.895418851548818</c:v>
                </c:pt>
                <c:pt idx="285">
                  <c:v>44.050463302139363</c:v>
                </c:pt>
                <c:pt idx="286">
                  <c:v>44.205507752729908</c:v>
                </c:pt>
                <c:pt idx="287">
                  <c:v>44.360552203320452</c:v>
                </c:pt>
                <c:pt idx="288">
                  <c:v>44.51559665391099</c:v>
                </c:pt>
                <c:pt idx="289">
                  <c:v>44.670638105286301</c:v>
                </c:pt>
                <c:pt idx="290">
                  <c:v>44.825682555876845</c:v>
                </c:pt>
                <c:pt idx="291">
                  <c:v>44.98072700646739</c:v>
                </c:pt>
                <c:pt idx="292">
                  <c:v>45.135771457057935</c:v>
                </c:pt>
                <c:pt idx="293">
                  <c:v>45.290815907648479</c:v>
                </c:pt>
                <c:pt idx="294">
                  <c:v>45.445857359023783</c:v>
                </c:pt>
                <c:pt idx="295">
                  <c:v>45.600901809614328</c:v>
                </c:pt>
                <c:pt idx="296">
                  <c:v>45.75594626020488</c:v>
                </c:pt>
                <c:pt idx="297">
                  <c:v>45.910990710795424</c:v>
                </c:pt>
                <c:pt idx="298">
                  <c:v>46.066032162170728</c:v>
                </c:pt>
                <c:pt idx="299">
                  <c:v>46.221076612761266</c:v>
                </c:pt>
                <c:pt idx="300">
                  <c:v>46.376121063351817</c:v>
                </c:pt>
                <c:pt idx="301">
                  <c:v>46.531165513942362</c:v>
                </c:pt>
                <c:pt idx="302">
                  <c:v>46.686209964532907</c:v>
                </c:pt>
                <c:pt idx="303">
                  <c:v>46.841251415907585</c:v>
                </c:pt>
                <c:pt idx="304">
                  <c:v>46.996295866498755</c:v>
                </c:pt>
                <c:pt idx="305">
                  <c:v>47.1513403170893</c:v>
                </c:pt>
                <c:pt idx="306">
                  <c:v>47.306384767679845</c:v>
                </c:pt>
                <c:pt idx="307">
                  <c:v>47.461429218270389</c:v>
                </c:pt>
                <c:pt idx="308">
                  <c:v>47.616470669645068</c:v>
                </c:pt>
                <c:pt idx="309">
                  <c:v>47.771515120235613</c:v>
                </c:pt>
                <c:pt idx="310">
                  <c:v>47.926559570826782</c:v>
                </c:pt>
                <c:pt idx="311">
                  <c:v>48.081604021417327</c:v>
                </c:pt>
                <c:pt idx="312">
                  <c:v>48.236648472007872</c:v>
                </c:pt>
                <c:pt idx="313">
                  <c:v>48.39168992338255</c:v>
                </c:pt>
                <c:pt idx="314">
                  <c:v>48.546734373973095</c:v>
                </c:pt>
                <c:pt idx="315">
                  <c:v>48.701778824564265</c:v>
                </c:pt>
                <c:pt idx="316">
                  <c:v>48.856823275154809</c:v>
                </c:pt>
                <c:pt idx="317">
                  <c:v>49.011867725745354</c:v>
                </c:pt>
                <c:pt idx="318">
                  <c:v>49.166909177120033</c:v>
                </c:pt>
                <c:pt idx="319">
                  <c:v>49.321953627710577</c:v>
                </c:pt>
                <c:pt idx="320">
                  <c:v>49.476998078301122</c:v>
                </c:pt>
                <c:pt idx="321">
                  <c:v>49.632042528892292</c:v>
                </c:pt>
                <c:pt idx="322">
                  <c:v>49.787086979482837</c:v>
                </c:pt>
                <c:pt idx="323">
                  <c:v>49.942128430857515</c:v>
                </c:pt>
                <c:pt idx="324">
                  <c:v>50.097172881448067</c:v>
                </c:pt>
                <c:pt idx="325">
                  <c:v>50.252217332038605</c:v>
                </c:pt>
                <c:pt idx="326">
                  <c:v>50.407258783413909</c:v>
                </c:pt>
                <c:pt idx="327">
                  <c:v>50.562306233220326</c:v>
                </c:pt>
                <c:pt idx="328">
                  <c:v>50.717347684594998</c:v>
                </c:pt>
                <c:pt idx="329">
                  <c:v>50.872395134401415</c:v>
                </c:pt>
                <c:pt idx="330">
                  <c:v>51.027436585776087</c:v>
                </c:pt>
                <c:pt idx="331">
                  <c:v>51.182478037151398</c:v>
                </c:pt>
                <c:pt idx="332">
                  <c:v>51.337525486957809</c:v>
                </c:pt>
                <c:pt idx="333">
                  <c:v>51.49256693833248</c:v>
                </c:pt>
                <c:pt idx="334">
                  <c:v>51.647614388138898</c:v>
                </c:pt>
                <c:pt idx="335">
                  <c:v>51.802655839513577</c:v>
                </c:pt>
                <c:pt idx="336">
                  <c:v>51.957697290888881</c:v>
                </c:pt>
                <c:pt idx="337">
                  <c:v>52.112744740695291</c:v>
                </c:pt>
                <c:pt idx="338">
                  <c:v>52.267786192069963</c:v>
                </c:pt>
                <c:pt idx="339">
                  <c:v>52.42283364187638</c:v>
                </c:pt>
                <c:pt idx="340">
                  <c:v>52.577875093251066</c:v>
                </c:pt>
                <c:pt idx="341">
                  <c:v>52.732916544626363</c:v>
                </c:pt>
                <c:pt idx="342">
                  <c:v>52.887963994432148</c:v>
                </c:pt>
                <c:pt idx="343">
                  <c:v>53.043005445807459</c:v>
                </c:pt>
                <c:pt idx="344">
                  <c:v>53.198052895613863</c:v>
                </c:pt>
                <c:pt idx="345">
                  <c:v>53.353094346988549</c:v>
                </c:pt>
                <c:pt idx="346">
                  <c:v>53.508135798363853</c:v>
                </c:pt>
                <c:pt idx="347">
                  <c:v>53.663183248169631</c:v>
                </c:pt>
                <c:pt idx="348">
                  <c:v>53.818224699544942</c:v>
                </c:pt>
                <c:pt idx="349">
                  <c:v>53.973272149351345</c:v>
                </c:pt>
                <c:pt idx="350">
                  <c:v>54.128313600726031</c:v>
                </c:pt>
                <c:pt idx="351">
                  <c:v>54.283355052101342</c:v>
                </c:pt>
                <c:pt idx="352">
                  <c:v>54.438402501907113</c:v>
                </c:pt>
                <c:pt idx="353">
                  <c:v>54.593443953282424</c:v>
                </c:pt>
                <c:pt idx="354">
                  <c:v>54.748491403088828</c:v>
                </c:pt>
                <c:pt idx="355">
                  <c:v>54.903532854463514</c:v>
                </c:pt>
                <c:pt idx="356">
                  <c:v>55.058574305838825</c:v>
                </c:pt>
                <c:pt idx="357">
                  <c:v>55.213621755644603</c:v>
                </c:pt>
                <c:pt idx="358">
                  <c:v>55.368663207019907</c:v>
                </c:pt>
                <c:pt idx="359">
                  <c:v>55.52371065682631</c:v>
                </c:pt>
                <c:pt idx="360">
                  <c:v>55.678752108200996</c:v>
                </c:pt>
                <c:pt idx="361">
                  <c:v>55.833793559576307</c:v>
                </c:pt>
                <c:pt idx="362">
                  <c:v>55.988841009382085</c:v>
                </c:pt>
                <c:pt idx="363">
                  <c:v>56.143882460757389</c:v>
                </c:pt>
                <c:pt idx="364">
                  <c:v>56.298929910563167</c:v>
                </c:pt>
                <c:pt idx="365">
                  <c:v>56.453971361938478</c:v>
                </c:pt>
                <c:pt idx="366">
                  <c:v>56.60901281331379</c:v>
                </c:pt>
                <c:pt idx="367">
                  <c:v>56.764060263119568</c:v>
                </c:pt>
                <c:pt idx="368">
                  <c:v>56.919101714494872</c:v>
                </c:pt>
                <c:pt idx="369">
                  <c:v>57.07414916430065</c:v>
                </c:pt>
                <c:pt idx="370">
                  <c:v>57.229190615675961</c:v>
                </c:pt>
                <c:pt idx="371">
                  <c:v>57.384232067050647</c:v>
                </c:pt>
                <c:pt idx="372">
                  <c:v>57.53927951685705</c:v>
                </c:pt>
                <c:pt idx="373">
                  <c:v>57.694320968232361</c:v>
                </c:pt>
                <c:pt idx="374">
                  <c:v>57.849368418038139</c:v>
                </c:pt>
                <c:pt idx="375">
                  <c:v>58.004409869413443</c:v>
                </c:pt>
                <c:pt idx="376">
                  <c:v>58.159451320788129</c:v>
                </c:pt>
                <c:pt idx="377">
                  <c:v>58.314498770594533</c:v>
                </c:pt>
                <c:pt idx="378">
                  <c:v>58.469540221969844</c:v>
                </c:pt>
                <c:pt idx="379">
                  <c:v>58.624587671775622</c:v>
                </c:pt>
                <c:pt idx="380">
                  <c:v>58.779629123150926</c:v>
                </c:pt>
                <c:pt idx="381">
                  <c:v>58.934670574525612</c:v>
                </c:pt>
                <c:pt idx="382">
                  <c:v>59.089718024332015</c:v>
                </c:pt>
                <c:pt idx="383">
                  <c:v>59.244759475707326</c:v>
                </c:pt>
                <c:pt idx="384">
                  <c:v>59.399806925513104</c:v>
                </c:pt>
                <c:pt idx="385">
                  <c:v>59.554848376888408</c:v>
                </c:pt>
                <c:pt idx="386">
                  <c:v>59.709889828263094</c:v>
                </c:pt>
                <c:pt idx="387">
                  <c:v>59.864937278069497</c:v>
                </c:pt>
                <c:pt idx="388">
                  <c:v>60.019978729444809</c:v>
                </c:pt>
                <c:pt idx="389">
                  <c:v>60.175020180819494</c:v>
                </c:pt>
                <c:pt idx="390">
                  <c:v>60.330067630625898</c:v>
                </c:pt>
                <c:pt idx="391">
                  <c:v>60.485109082000577</c:v>
                </c:pt>
                <c:pt idx="392">
                  <c:v>60.640156531806994</c:v>
                </c:pt>
                <c:pt idx="393">
                  <c:v>60.795197983181666</c:v>
                </c:pt>
                <c:pt idx="394">
                  <c:v>60.950239434556977</c:v>
                </c:pt>
                <c:pt idx="395">
                  <c:v>61.10528688436338</c:v>
                </c:pt>
                <c:pt idx="396">
                  <c:v>61.260328335738059</c:v>
                </c:pt>
                <c:pt idx="397">
                  <c:v>61.415375785544477</c:v>
                </c:pt>
                <c:pt idx="398">
                  <c:v>61.570417236919148</c:v>
                </c:pt>
                <c:pt idx="399">
                  <c:v>61.725458688294459</c:v>
                </c:pt>
                <c:pt idx="400">
                  <c:v>61.88050613810087</c:v>
                </c:pt>
                <c:pt idx="401">
                  <c:v>62.035547589475541</c:v>
                </c:pt>
                <c:pt idx="402">
                  <c:v>62.190595039281959</c:v>
                </c:pt>
                <c:pt idx="403">
                  <c:v>62.345636490656631</c:v>
                </c:pt>
                <c:pt idx="404">
                  <c:v>62.500677942031942</c:v>
                </c:pt>
                <c:pt idx="405">
                  <c:v>62.655725391838352</c:v>
                </c:pt>
                <c:pt idx="406">
                  <c:v>62.810766843213031</c:v>
                </c:pt>
                <c:pt idx="407">
                  <c:v>62.965814293017552</c:v>
                </c:pt>
                <c:pt idx="408">
                  <c:v>63.120855744391598</c:v>
                </c:pt>
                <c:pt idx="409">
                  <c:v>63.27589719577194</c:v>
                </c:pt>
                <c:pt idx="410">
                  <c:v>63.430944645575202</c:v>
                </c:pt>
                <c:pt idx="411">
                  <c:v>63.585986096949263</c:v>
                </c:pt>
                <c:pt idx="412">
                  <c:v>63.741033546758814</c:v>
                </c:pt>
                <c:pt idx="413">
                  <c:v>63.89607499813286</c:v>
                </c:pt>
                <c:pt idx="414">
                  <c:v>64.051116449506907</c:v>
                </c:pt>
                <c:pt idx="415">
                  <c:v>64.20616389931017</c:v>
                </c:pt>
                <c:pt idx="416">
                  <c:v>64.361205350690511</c:v>
                </c:pt>
                <c:pt idx="417">
                  <c:v>64.516252800493788</c:v>
                </c:pt>
                <c:pt idx="418">
                  <c:v>64.671294251867835</c:v>
                </c:pt>
                <c:pt idx="419">
                  <c:v>64.826335703241881</c:v>
                </c:pt>
                <c:pt idx="420">
                  <c:v>64.981383153051425</c:v>
                </c:pt>
                <c:pt idx="421">
                  <c:v>65.136424604425471</c:v>
                </c:pt>
                <c:pt idx="422">
                  <c:v>65.291472054228748</c:v>
                </c:pt>
                <c:pt idx="423">
                  <c:v>65.44651350560909</c:v>
                </c:pt>
                <c:pt idx="424">
                  <c:v>65.601554956983136</c:v>
                </c:pt>
                <c:pt idx="425">
                  <c:v>65.756602406786399</c:v>
                </c:pt>
                <c:pt idx="426">
                  <c:v>65.911643858160446</c:v>
                </c:pt>
                <c:pt idx="427">
                  <c:v>66.066691307970004</c:v>
                </c:pt>
                <c:pt idx="428">
                  <c:v>66.221732759344064</c:v>
                </c:pt>
                <c:pt idx="429">
                  <c:v>66.376774210718111</c:v>
                </c:pt>
                <c:pt idx="430">
                  <c:v>66.531821660527655</c:v>
                </c:pt>
                <c:pt idx="431">
                  <c:v>66.686863111901701</c:v>
                </c:pt>
                <c:pt idx="432">
                  <c:v>66.841910561704964</c:v>
                </c:pt>
                <c:pt idx="433">
                  <c:v>66.996952013079024</c:v>
                </c:pt>
                <c:pt idx="434">
                  <c:v>67.151993464459366</c:v>
                </c:pt>
                <c:pt idx="435">
                  <c:v>67.307040914262629</c:v>
                </c:pt>
                <c:pt idx="436">
                  <c:v>67.462082365636675</c:v>
                </c:pt>
                <c:pt idx="437">
                  <c:v>67.617129815446233</c:v>
                </c:pt>
                <c:pt idx="438">
                  <c:v>67.77217126682028</c:v>
                </c:pt>
                <c:pt idx="439">
                  <c:v>67.92721271819434</c:v>
                </c:pt>
                <c:pt idx="440">
                  <c:v>68.082260167997603</c:v>
                </c:pt>
                <c:pt idx="441">
                  <c:v>68.237301619377931</c:v>
                </c:pt>
                <c:pt idx="442">
                  <c:v>68.392349069181193</c:v>
                </c:pt>
                <c:pt idx="443">
                  <c:v>68.54739052055524</c:v>
                </c:pt>
                <c:pt idx="444">
                  <c:v>68.702431971929286</c:v>
                </c:pt>
                <c:pt idx="445">
                  <c:v>68.857479421738859</c:v>
                </c:pt>
                <c:pt idx="446">
                  <c:v>69.012520873112905</c:v>
                </c:pt>
                <c:pt idx="447">
                  <c:v>69.167568322916168</c:v>
                </c:pt>
                <c:pt idx="448">
                  <c:v>69.322609774296509</c:v>
                </c:pt>
                <c:pt idx="449">
                  <c:v>69.477651225670556</c:v>
                </c:pt>
                <c:pt idx="450">
                  <c:v>69.632698675473819</c:v>
                </c:pt>
                <c:pt idx="451">
                  <c:v>69.787740126847879</c:v>
                </c:pt>
                <c:pt idx="452">
                  <c:v>69.942787576657423</c:v>
                </c:pt>
                <c:pt idx="453">
                  <c:v>70.09782902803147</c:v>
                </c:pt>
                <c:pt idx="454">
                  <c:v>70.252870479405516</c:v>
                </c:pt>
                <c:pt idx="455">
                  <c:v>70.407917929215074</c:v>
                </c:pt>
                <c:pt idx="456">
                  <c:v>70.562959380589135</c:v>
                </c:pt>
                <c:pt idx="457">
                  <c:v>70.718006830392397</c:v>
                </c:pt>
                <c:pt idx="458">
                  <c:v>70.873048281766444</c:v>
                </c:pt>
                <c:pt idx="459">
                  <c:v>71.028089733146786</c:v>
                </c:pt>
                <c:pt idx="460">
                  <c:v>71.183137182950048</c:v>
                </c:pt>
                <c:pt idx="461">
                  <c:v>71.338178634324095</c:v>
                </c:pt>
                <c:pt idx="462">
                  <c:v>71.493226084133653</c:v>
                </c:pt>
                <c:pt idx="463">
                  <c:v>71.648267535507699</c:v>
                </c:pt>
                <c:pt idx="464">
                  <c:v>71.803308986881746</c:v>
                </c:pt>
                <c:pt idx="465">
                  <c:v>71.958356436685008</c:v>
                </c:pt>
                <c:pt idx="466">
                  <c:v>72.11339788806535</c:v>
                </c:pt>
                <c:pt idx="467">
                  <c:v>72.268445337868613</c:v>
                </c:pt>
                <c:pt idx="468">
                  <c:v>72.423486789242673</c:v>
                </c:pt>
                <c:pt idx="469">
                  <c:v>72.57852824061672</c:v>
                </c:pt>
                <c:pt idx="470">
                  <c:v>72.733575690426278</c:v>
                </c:pt>
                <c:pt idx="471">
                  <c:v>72.888617141800324</c:v>
                </c:pt>
                <c:pt idx="472">
                  <c:v>73.043664591603587</c:v>
                </c:pt>
                <c:pt idx="473">
                  <c:v>73.198706042983915</c:v>
                </c:pt>
                <c:pt idx="474">
                  <c:v>73.353747494357975</c:v>
                </c:pt>
                <c:pt idx="475">
                  <c:v>73.508794944161238</c:v>
                </c:pt>
                <c:pt idx="476">
                  <c:v>73.663836395535284</c:v>
                </c:pt>
                <c:pt idx="477">
                  <c:v>73.818883845344843</c:v>
                </c:pt>
                <c:pt idx="478">
                  <c:v>73.973925296718889</c:v>
                </c:pt>
                <c:pt idx="479">
                  <c:v>74.12896674809295</c:v>
                </c:pt>
                <c:pt idx="480">
                  <c:v>74.284014197902508</c:v>
                </c:pt>
                <c:pt idx="481">
                  <c:v>74.439055649276554</c:v>
                </c:pt>
                <c:pt idx="482">
                  <c:v>74.594103099079817</c:v>
                </c:pt>
                <c:pt idx="483">
                  <c:v>74.749144550453863</c:v>
                </c:pt>
                <c:pt idx="484">
                  <c:v>74.904186001834191</c:v>
                </c:pt>
                <c:pt idx="485">
                  <c:v>75.059233451637468</c:v>
                </c:pt>
                <c:pt idx="486">
                  <c:v>75.214274903011514</c:v>
                </c:pt>
                <c:pt idx="487">
                  <c:v>75.369322352821072</c:v>
                </c:pt>
                <c:pt idx="488">
                  <c:v>75.524363804195119</c:v>
                </c:pt>
                <c:pt idx="489">
                  <c:v>75.679405255569165</c:v>
                </c:pt>
                <c:pt idx="490">
                  <c:v>75.834452705372428</c:v>
                </c:pt>
                <c:pt idx="491">
                  <c:v>75.989494156752784</c:v>
                </c:pt>
                <c:pt idx="492">
                  <c:v>76.144541606556047</c:v>
                </c:pt>
                <c:pt idx="493">
                  <c:v>76.299583057930093</c:v>
                </c:pt>
                <c:pt idx="494">
                  <c:v>76.454624509304139</c:v>
                </c:pt>
                <c:pt idx="495">
                  <c:v>76.609671959113683</c:v>
                </c:pt>
                <c:pt idx="496">
                  <c:v>76.764713410487744</c:v>
                </c:pt>
                <c:pt idx="497">
                  <c:v>76.919760860291007</c:v>
                </c:pt>
                <c:pt idx="498">
                  <c:v>77.074802311671348</c:v>
                </c:pt>
                <c:pt idx="499">
                  <c:v>77.229843763045395</c:v>
                </c:pt>
                <c:pt idx="500">
                  <c:v>77.384891212848657</c:v>
                </c:pt>
                <c:pt idx="501">
                  <c:v>77.539932664222704</c:v>
                </c:pt>
                <c:pt idx="502">
                  <c:v>77.694980114032276</c:v>
                </c:pt>
                <c:pt idx="503">
                  <c:v>77.850021565406323</c:v>
                </c:pt>
                <c:pt idx="504">
                  <c:v>78.005063016780369</c:v>
                </c:pt>
                <c:pt idx="505">
                  <c:v>78.160110466589913</c:v>
                </c:pt>
                <c:pt idx="506">
                  <c:v>78.315151917963959</c:v>
                </c:pt>
                <c:pt idx="507">
                  <c:v>78.470199367767236</c:v>
                </c:pt>
                <c:pt idx="508">
                  <c:v>78.625240819141283</c:v>
                </c:pt>
                <c:pt idx="509">
                  <c:v>78.780282270515329</c:v>
                </c:pt>
                <c:pt idx="510">
                  <c:v>78.935329720324887</c:v>
                </c:pt>
                <c:pt idx="511">
                  <c:v>79.090371171698933</c:v>
                </c:pt>
                <c:pt idx="512">
                  <c:v>79.245418621508492</c:v>
                </c:pt>
                <c:pt idx="513">
                  <c:v>79.400460072882552</c:v>
                </c:pt>
                <c:pt idx="514">
                  <c:v>79.555501524256599</c:v>
                </c:pt>
                <c:pt idx="515">
                  <c:v>79.710548974059861</c:v>
                </c:pt>
                <c:pt idx="516">
                  <c:v>79.865590425433908</c:v>
                </c:pt>
                <c:pt idx="517">
                  <c:v>80.020631876814235</c:v>
                </c:pt>
                <c:pt idx="518">
                  <c:v>80.175679326617512</c:v>
                </c:pt>
                <c:pt idx="519">
                  <c:v>80.330720777991559</c:v>
                </c:pt>
                <c:pt idx="520">
                  <c:v>80.485768227801117</c:v>
                </c:pt>
                <c:pt idx="521">
                  <c:v>80.640809679175163</c:v>
                </c:pt>
                <c:pt idx="522">
                  <c:v>80.79585113054921</c:v>
                </c:pt>
                <c:pt idx="523">
                  <c:v>80.950898580358768</c:v>
                </c:pt>
                <c:pt idx="524">
                  <c:v>81.105940031732828</c:v>
                </c:pt>
                <c:pt idx="525">
                  <c:v>81.260987481536091</c:v>
                </c:pt>
                <c:pt idx="526">
                  <c:v>81.416028932910137</c:v>
                </c:pt>
                <c:pt idx="527">
                  <c:v>81.571070384284184</c:v>
                </c:pt>
                <c:pt idx="528">
                  <c:v>81.726117834093728</c:v>
                </c:pt>
                <c:pt idx="529">
                  <c:v>81.881159285467774</c:v>
                </c:pt>
                <c:pt idx="530">
                  <c:v>82.036206735277332</c:v>
                </c:pt>
                <c:pt idx="531">
                  <c:v>82.191248186651393</c:v>
                </c:pt>
                <c:pt idx="532">
                  <c:v>82.346289638025439</c:v>
                </c:pt>
                <c:pt idx="533">
                  <c:v>82.501337087828702</c:v>
                </c:pt>
                <c:pt idx="534">
                  <c:v>82.656378539202748</c:v>
                </c:pt>
                <c:pt idx="535">
                  <c:v>82.811425989012307</c:v>
                </c:pt>
                <c:pt idx="536">
                  <c:v>82.966467440386367</c:v>
                </c:pt>
                <c:pt idx="537">
                  <c:v>83.121508891760413</c:v>
                </c:pt>
                <c:pt idx="538">
                  <c:v>83.276556341569957</c:v>
                </c:pt>
                <c:pt idx="539">
                  <c:v>83.431597792944004</c:v>
                </c:pt>
                <c:pt idx="540">
                  <c:v>83.586645242747267</c:v>
                </c:pt>
                <c:pt idx="541">
                  <c:v>83.741686694121327</c:v>
                </c:pt>
                <c:pt idx="542">
                  <c:v>83.896728145501669</c:v>
                </c:pt>
                <c:pt idx="543">
                  <c:v>84.051775595304932</c:v>
                </c:pt>
                <c:pt idx="544">
                  <c:v>84.206817046678978</c:v>
                </c:pt>
                <c:pt idx="545">
                  <c:v>84.361864496488536</c:v>
                </c:pt>
                <c:pt idx="546">
                  <c:v>84.516905947862583</c:v>
                </c:pt>
                <c:pt idx="547">
                  <c:v>84.671947399236643</c:v>
                </c:pt>
                <c:pt idx="548">
                  <c:v>84.826994849039906</c:v>
                </c:pt>
                <c:pt idx="549">
                  <c:v>84.982036300420233</c:v>
                </c:pt>
                <c:pt idx="550">
                  <c:v>85.137083750223496</c:v>
                </c:pt>
                <c:pt idx="551">
                  <c:v>85.292125201597543</c:v>
                </c:pt>
                <c:pt idx="552">
                  <c:v>85.447166652971603</c:v>
                </c:pt>
                <c:pt idx="553">
                  <c:v>85.602214102781161</c:v>
                </c:pt>
                <c:pt idx="554">
                  <c:v>85.757255554155208</c:v>
                </c:pt>
                <c:pt idx="555">
                  <c:v>85.912303003958471</c:v>
                </c:pt>
                <c:pt idx="556">
                  <c:v>86.067344455338812</c:v>
                </c:pt>
                <c:pt idx="557">
                  <c:v>86.222385906712859</c:v>
                </c:pt>
                <c:pt idx="558">
                  <c:v>86.377433356516121</c:v>
                </c:pt>
                <c:pt idx="559">
                  <c:v>86.532474807890182</c:v>
                </c:pt>
                <c:pt idx="560">
                  <c:v>86.687522257699726</c:v>
                </c:pt>
                <c:pt idx="561">
                  <c:v>86.842563709073772</c:v>
                </c:pt>
                <c:pt idx="562">
                  <c:v>86.997605160447819</c:v>
                </c:pt>
                <c:pt idx="563">
                  <c:v>87.152652610257377</c:v>
                </c:pt>
                <c:pt idx="564">
                  <c:v>87.307694061631437</c:v>
                </c:pt>
                <c:pt idx="565">
                  <c:v>87.4627415114347</c:v>
                </c:pt>
                <c:pt idx="566">
                  <c:v>87.617782962808747</c:v>
                </c:pt>
                <c:pt idx="567">
                  <c:v>87.772824414189088</c:v>
                </c:pt>
                <c:pt idx="568">
                  <c:v>87.927871863992351</c:v>
                </c:pt>
                <c:pt idx="569">
                  <c:v>88.082913315366397</c:v>
                </c:pt>
                <c:pt idx="570">
                  <c:v>88.237960765175956</c:v>
                </c:pt>
                <c:pt idx="571">
                  <c:v>88.393002216550002</c:v>
                </c:pt>
                <c:pt idx="572">
                  <c:v>88.548043667924048</c:v>
                </c:pt>
                <c:pt idx="573">
                  <c:v>88.703091117727311</c:v>
                </c:pt>
                <c:pt idx="574">
                  <c:v>88.858132569107653</c:v>
                </c:pt>
                <c:pt idx="575">
                  <c:v>89.013180018910916</c:v>
                </c:pt>
                <c:pt idx="576">
                  <c:v>89.168221470284976</c:v>
                </c:pt>
                <c:pt idx="577">
                  <c:v>89.323262921659023</c:v>
                </c:pt>
                <c:pt idx="578">
                  <c:v>89.478310371468581</c:v>
                </c:pt>
                <c:pt idx="579">
                  <c:v>89.633351822842627</c:v>
                </c:pt>
                <c:pt idx="580">
                  <c:v>89.78839927264589</c:v>
                </c:pt>
                <c:pt idx="581">
                  <c:v>89.943440724026232</c:v>
                </c:pt>
                <c:pt idx="582">
                  <c:v>90.098482175400278</c:v>
                </c:pt>
                <c:pt idx="583">
                  <c:v>90.253529625203541</c:v>
                </c:pt>
                <c:pt idx="584">
                  <c:v>90.408571076577587</c:v>
                </c:pt>
                <c:pt idx="585">
                  <c:v>90.563618526387145</c:v>
                </c:pt>
                <c:pt idx="586">
                  <c:v>90.718659977761192</c:v>
                </c:pt>
                <c:pt idx="587">
                  <c:v>90.873701429135252</c:v>
                </c:pt>
                <c:pt idx="588">
                  <c:v>91.02874887894481</c:v>
                </c:pt>
                <c:pt idx="589">
                  <c:v>91.183790330318857</c:v>
                </c:pt>
                <c:pt idx="590">
                  <c:v>91.33883778012212</c:v>
                </c:pt>
                <c:pt idx="591">
                  <c:v>91.493879231496166</c:v>
                </c:pt>
                <c:pt idx="592">
                  <c:v>91.648920682876494</c:v>
                </c:pt>
                <c:pt idx="593">
                  <c:v>91.803968132679771</c:v>
                </c:pt>
                <c:pt idx="594">
                  <c:v>91.959009584053817</c:v>
                </c:pt>
                <c:pt idx="595">
                  <c:v>92.114057033863375</c:v>
                </c:pt>
                <c:pt idx="596">
                  <c:v>92.269098485237421</c:v>
                </c:pt>
                <c:pt idx="597">
                  <c:v>92.424139936611468</c:v>
                </c:pt>
                <c:pt idx="598">
                  <c:v>92.579187386414745</c:v>
                </c:pt>
                <c:pt idx="599">
                  <c:v>92.734228837795087</c:v>
                </c:pt>
                <c:pt idx="600">
                  <c:v>92.889276287598349</c:v>
                </c:pt>
                <c:pt idx="601">
                  <c:v>93.044317738972396</c:v>
                </c:pt>
                <c:pt idx="602">
                  <c:v>93.199359190346442</c:v>
                </c:pt>
                <c:pt idx="603">
                  <c:v>93.354406640156</c:v>
                </c:pt>
                <c:pt idx="604">
                  <c:v>93.509448091530047</c:v>
                </c:pt>
                <c:pt idx="605">
                  <c:v>93.664495541333309</c:v>
                </c:pt>
                <c:pt idx="606">
                  <c:v>93.819536992713651</c:v>
                </c:pt>
                <c:pt idx="607">
                  <c:v>93.974578444087697</c:v>
                </c:pt>
                <c:pt idx="608">
                  <c:v>94.12962589389096</c:v>
                </c:pt>
                <c:pt idx="609">
                  <c:v>94.284667345265007</c:v>
                </c:pt>
                <c:pt idx="610">
                  <c:v>94.439714795074579</c:v>
                </c:pt>
                <c:pt idx="611">
                  <c:v>94.594756246448625</c:v>
                </c:pt>
                <c:pt idx="612">
                  <c:v>94.749797697822672</c:v>
                </c:pt>
                <c:pt idx="613">
                  <c:v>94.904845147632216</c:v>
                </c:pt>
                <c:pt idx="614">
                  <c:v>95.059886599006262</c:v>
                </c:pt>
                <c:pt idx="615">
                  <c:v>95.214934048809539</c:v>
                </c:pt>
                <c:pt idx="616">
                  <c:v>95.369975500183585</c:v>
                </c:pt>
                <c:pt idx="617">
                  <c:v>95.525016951563927</c:v>
                </c:pt>
                <c:pt idx="618">
                  <c:v>95.68006440136719</c:v>
                </c:pt>
                <c:pt idx="619">
                  <c:v>95.835105852741236</c:v>
                </c:pt>
                <c:pt idx="620">
                  <c:v>95.990153302550794</c:v>
                </c:pt>
                <c:pt idx="621">
                  <c:v>96.145194753924855</c:v>
                </c:pt>
                <c:pt idx="622">
                  <c:v>96.300236205298901</c:v>
                </c:pt>
                <c:pt idx="623">
                  <c:v>96.455283655102164</c:v>
                </c:pt>
                <c:pt idx="624">
                  <c:v>96.610325106482492</c:v>
                </c:pt>
                <c:pt idx="625">
                  <c:v>96.765372556285769</c:v>
                </c:pt>
                <c:pt idx="626">
                  <c:v>96.920414007659815</c:v>
                </c:pt>
                <c:pt idx="627">
                  <c:v>97.075455459033861</c:v>
                </c:pt>
                <c:pt idx="628">
                  <c:v>97.23050290884342</c:v>
                </c:pt>
                <c:pt idx="629">
                  <c:v>97.385544360217466</c:v>
                </c:pt>
                <c:pt idx="630">
                  <c:v>97.540591810020729</c:v>
                </c:pt>
                <c:pt idx="631">
                  <c:v>97.695633261401071</c:v>
                </c:pt>
                <c:pt idx="632">
                  <c:v>97.850674712775131</c:v>
                </c:pt>
                <c:pt idx="633">
                  <c:v>98.005722162578394</c:v>
                </c:pt>
                <c:pt idx="634">
                  <c:v>98.16076361395244</c:v>
                </c:pt>
                <c:pt idx="635">
                  <c:v>98.315811063761984</c:v>
                </c:pt>
                <c:pt idx="636">
                  <c:v>98.470852515136031</c:v>
                </c:pt>
                <c:pt idx="637">
                  <c:v>98.625893966510091</c:v>
                </c:pt>
                <c:pt idx="638">
                  <c:v>98.780941416319635</c:v>
                </c:pt>
                <c:pt idx="639">
                  <c:v>98.935982867693696</c:v>
                </c:pt>
                <c:pt idx="640">
                  <c:v>99.091024319067742</c:v>
                </c:pt>
                <c:pt idx="641">
                  <c:v>99.246071768871005</c:v>
                </c:pt>
                <c:pt idx="642">
                  <c:v>99.401113220251347</c:v>
                </c:pt>
                <c:pt idx="643">
                  <c:v>99.556160670054609</c:v>
                </c:pt>
                <c:pt idx="644">
                  <c:v>99.71120212142867</c:v>
                </c:pt>
                <c:pt idx="645">
                  <c:v>99.866243572802716</c:v>
                </c:pt>
                <c:pt idx="646">
                  <c:v>100.02129102261226</c:v>
                </c:pt>
                <c:pt idx="647">
                  <c:v>100.17633247398631</c:v>
                </c:pt>
                <c:pt idx="648">
                  <c:v>100.33137992378958</c:v>
                </c:pt>
                <c:pt idx="649">
                  <c:v>100.48642137516991</c:v>
                </c:pt>
                <c:pt idx="650">
                  <c:v>100.64146282654396</c:v>
                </c:pt>
                <c:pt idx="651">
                  <c:v>100.79651027634722</c:v>
                </c:pt>
                <c:pt idx="652">
                  <c:v>100.95155772615679</c:v>
                </c:pt>
                <c:pt idx="653">
                  <c:v>101.10659317909534</c:v>
                </c:pt>
                <c:pt idx="654">
                  <c:v>101.26164062890489</c:v>
                </c:pt>
                <c:pt idx="655">
                  <c:v>101.41668807870815</c:v>
                </c:pt>
                <c:pt idx="656">
                  <c:v>101.57172353165298</c:v>
                </c:pt>
                <c:pt idx="657">
                  <c:v>101.72677098146254</c:v>
                </c:pt>
                <c:pt idx="658">
                  <c:v>101.8818184312658</c:v>
                </c:pt>
                <c:pt idx="659">
                  <c:v>102.03686588107537</c:v>
                </c:pt>
                <c:pt idx="660">
                  <c:v>102.19190133401391</c:v>
                </c:pt>
                <c:pt idx="661">
                  <c:v>102.34694878382346</c:v>
                </c:pt>
                <c:pt idx="662">
                  <c:v>102.50199623362673</c:v>
                </c:pt>
                <c:pt idx="663">
                  <c:v>102.65703168657156</c:v>
                </c:pt>
                <c:pt idx="664">
                  <c:v>102.81207913638113</c:v>
                </c:pt>
                <c:pt idx="665">
                  <c:v>102.96712658618439</c:v>
                </c:pt>
                <c:pt idx="666">
                  <c:v>103.12216203912922</c:v>
                </c:pt>
                <c:pt idx="667">
                  <c:v>103.27720948893248</c:v>
                </c:pt>
                <c:pt idx="668">
                  <c:v>103.43225693874203</c:v>
                </c:pt>
                <c:pt idx="669">
                  <c:v>103.58730438854529</c:v>
                </c:pt>
                <c:pt idx="670">
                  <c:v>103.74233984149014</c:v>
                </c:pt>
                <c:pt idx="671">
                  <c:v>103.89738729129968</c:v>
                </c:pt>
                <c:pt idx="672">
                  <c:v>104.05243474110294</c:v>
                </c:pt>
                <c:pt idx="673">
                  <c:v>104.20747019404777</c:v>
                </c:pt>
                <c:pt idx="674">
                  <c:v>104.36251764385104</c:v>
                </c:pt>
                <c:pt idx="675">
                  <c:v>104.51756509366061</c:v>
                </c:pt>
                <c:pt idx="676">
                  <c:v>104.67260054660544</c:v>
                </c:pt>
                <c:pt idx="677">
                  <c:v>104.8276479964087</c:v>
                </c:pt>
                <c:pt idx="678">
                  <c:v>104.98269544621826</c:v>
                </c:pt>
                <c:pt idx="679">
                  <c:v>105.13774289602152</c:v>
                </c:pt>
                <c:pt idx="680">
                  <c:v>105.29277834896635</c:v>
                </c:pt>
                <c:pt idx="681">
                  <c:v>105.44782579877592</c:v>
                </c:pt>
                <c:pt idx="682">
                  <c:v>105.60287324857919</c:v>
                </c:pt>
                <c:pt idx="683">
                  <c:v>105.75790870152402</c:v>
                </c:pt>
                <c:pt idx="684">
                  <c:v>105.91295615132728</c:v>
                </c:pt>
                <c:pt idx="685">
                  <c:v>106.06800360113682</c:v>
                </c:pt>
                <c:pt idx="686">
                  <c:v>106.22303905408168</c:v>
                </c:pt>
                <c:pt idx="687">
                  <c:v>106.37808650388494</c:v>
                </c:pt>
                <c:pt idx="688">
                  <c:v>106.53313395369449</c:v>
                </c:pt>
                <c:pt idx="689">
                  <c:v>106.68818140349775</c:v>
                </c:pt>
                <c:pt idx="690">
                  <c:v>106.84321685644258</c:v>
                </c:pt>
                <c:pt idx="691">
                  <c:v>106.99826430624584</c:v>
                </c:pt>
                <c:pt idx="692">
                  <c:v>107.1533117560554</c:v>
                </c:pt>
                <c:pt idx="693">
                  <c:v>107.30834720900023</c:v>
                </c:pt>
                <c:pt idx="694">
                  <c:v>107.46339465880349</c:v>
                </c:pt>
                <c:pt idx="695">
                  <c:v>107.61844210861307</c:v>
                </c:pt>
                <c:pt idx="696">
                  <c:v>107.77347756155159</c:v>
                </c:pt>
                <c:pt idx="697">
                  <c:v>107.92852501136116</c:v>
                </c:pt>
                <c:pt idx="698">
                  <c:v>108.08357246116442</c:v>
                </c:pt>
                <c:pt idx="699">
                  <c:v>108.23861991097398</c:v>
                </c:pt>
                <c:pt idx="700">
                  <c:v>108.39365536391881</c:v>
                </c:pt>
                <c:pt idx="701">
                  <c:v>108.54870281372207</c:v>
                </c:pt>
                <c:pt idx="702">
                  <c:v>108.70375026353162</c:v>
                </c:pt>
                <c:pt idx="703">
                  <c:v>108.85878571647017</c:v>
                </c:pt>
                <c:pt idx="704">
                  <c:v>109.01383316627974</c:v>
                </c:pt>
                <c:pt idx="705">
                  <c:v>109.168880616083</c:v>
                </c:pt>
                <c:pt idx="706">
                  <c:v>109.32391606902783</c:v>
                </c:pt>
                <c:pt idx="707">
                  <c:v>109.47896351883738</c:v>
                </c:pt>
                <c:pt idx="708">
                  <c:v>109.63401096864064</c:v>
                </c:pt>
                <c:pt idx="709">
                  <c:v>109.7890464215855</c:v>
                </c:pt>
                <c:pt idx="710">
                  <c:v>109.94409387138876</c:v>
                </c:pt>
                <c:pt idx="711">
                  <c:v>110.0991413211983</c:v>
                </c:pt>
                <c:pt idx="712">
                  <c:v>110.25418877100157</c:v>
                </c:pt>
                <c:pt idx="713">
                  <c:v>110.4092242239464</c:v>
                </c:pt>
                <c:pt idx="714">
                  <c:v>110.56427167375595</c:v>
                </c:pt>
                <c:pt idx="715">
                  <c:v>110.71931912355922</c:v>
                </c:pt>
                <c:pt idx="716">
                  <c:v>110.87435457650405</c:v>
                </c:pt>
                <c:pt idx="717">
                  <c:v>111.02940202630731</c:v>
                </c:pt>
                <c:pt idx="718">
                  <c:v>111.18444947611688</c:v>
                </c:pt>
                <c:pt idx="719">
                  <c:v>111.33948492906171</c:v>
                </c:pt>
                <c:pt idx="720">
                  <c:v>111.49453237886497</c:v>
                </c:pt>
                <c:pt idx="721">
                  <c:v>111.64957982867453</c:v>
                </c:pt>
                <c:pt idx="722">
                  <c:v>111.8046272784778</c:v>
                </c:pt>
                <c:pt idx="723">
                  <c:v>111.95966273142263</c:v>
                </c:pt>
                <c:pt idx="724">
                  <c:v>112.11471018122589</c:v>
                </c:pt>
                <c:pt idx="725">
                  <c:v>112.26975763103543</c:v>
                </c:pt>
                <c:pt idx="726">
                  <c:v>112.42479308398029</c:v>
                </c:pt>
                <c:pt idx="727">
                  <c:v>112.57984053378355</c:v>
                </c:pt>
                <c:pt idx="728">
                  <c:v>112.7348879835931</c:v>
                </c:pt>
                <c:pt idx="729">
                  <c:v>112.88992343653793</c:v>
                </c:pt>
                <c:pt idx="730">
                  <c:v>113.04497088634119</c:v>
                </c:pt>
                <c:pt idx="731">
                  <c:v>113.20001833614445</c:v>
                </c:pt>
                <c:pt idx="732">
                  <c:v>113.35506578595403</c:v>
                </c:pt>
                <c:pt idx="733">
                  <c:v>113.51010123889884</c:v>
                </c:pt>
                <c:pt idx="734">
                  <c:v>113.66514868870212</c:v>
                </c:pt>
                <c:pt idx="735">
                  <c:v>113.82019613851168</c:v>
                </c:pt>
                <c:pt idx="736">
                  <c:v>113.97523159145651</c:v>
                </c:pt>
                <c:pt idx="737">
                  <c:v>114.13027904125977</c:v>
                </c:pt>
                <c:pt idx="738">
                  <c:v>114.28532649106303</c:v>
                </c:pt>
                <c:pt idx="739">
                  <c:v>114.44036194400786</c:v>
                </c:pt>
                <c:pt idx="740">
                  <c:v>114.59540939381743</c:v>
                </c:pt>
                <c:pt idx="741">
                  <c:v>114.7504568436207</c:v>
                </c:pt>
                <c:pt idx="742">
                  <c:v>114.90550429343024</c:v>
                </c:pt>
                <c:pt idx="743">
                  <c:v>115.06053974637508</c:v>
                </c:pt>
                <c:pt idx="744">
                  <c:v>115.21558719617835</c:v>
                </c:pt>
                <c:pt idx="745">
                  <c:v>115.37063464598161</c:v>
                </c:pt>
                <c:pt idx="746">
                  <c:v>115.52567009892644</c:v>
                </c:pt>
                <c:pt idx="747">
                  <c:v>115.68071754873598</c:v>
                </c:pt>
                <c:pt idx="748">
                  <c:v>115.83576499853925</c:v>
                </c:pt>
                <c:pt idx="749">
                  <c:v>115.99080045148411</c:v>
                </c:pt>
                <c:pt idx="750">
                  <c:v>116.14584790129365</c:v>
                </c:pt>
                <c:pt idx="751">
                  <c:v>116.30089535109691</c:v>
                </c:pt>
                <c:pt idx="752">
                  <c:v>116.45594280090647</c:v>
                </c:pt>
                <c:pt idx="753">
                  <c:v>116.610978253845</c:v>
                </c:pt>
                <c:pt idx="754">
                  <c:v>116.76602570365456</c:v>
                </c:pt>
                <c:pt idx="755">
                  <c:v>116.92107315345784</c:v>
                </c:pt>
                <c:pt idx="756">
                  <c:v>117.07610860640267</c:v>
                </c:pt>
                <c:pt idx="757">
                  <c:v>117.23115605621223</c:v>
                </c:pt>
                <c:pt idx="758">
                  <c:v>117.38620350601549</c:v>
                </c:pt>
                <c:pt idx="759">
                  <c:v>117.54123895896032</c:v>
                </c:pt>
                <c:pt idx="760">
                  <c:v>117.69628640876358</c:v>
                </c:pt>
                <c:pt idx="761">
                  <c:v>117.85133385857316</c:v>
                </c:pt>
                <c:pt idx="762">
                  <c:v>118.00638130837642</c:v>
                </c:pt>
                <c:pt idx="763">
                  <c:v>118.16141676132125</c:v>
                </c:pt>
                <c:pt idx="764">
                  <c:v>118.31646421113079</c:v>
                </c:pt>
                <c:pt idx="765">
                  <c:v>118.47151166093406</c:v>
                </c:pt>
                <c:pt idx="766">
                  <c:v>118.6265471138789</c:v>
                </c:pt>
                <c:pt idx="767">
                  <c:v>118.78159456368216</c:v>
                </c:pt>
                <c:pt idx="768">
                  <c:v>118.93664201349171</c:v>
                </c:pt>
                <c:pt idx="769">
                  <c:v>119.09167746643654</c:v>
                </c:pt>
                <c:pt idx="770">
                  <c:v>119.2467249162398</c:v>
                </c:pt>
                <c:pt idx="771">
                  <c:v>119.40177236604937</c:v>
                </c:pt>
                <c:pt idx="772">
                  <c:v>119.55681981585263</c:v>
                </c:pt>
                <c:pt idx="773">
                  <c:v>119.71185526879746</c:v>
                </c:pt>
                <c:pt idx="774">
                  <c:v>119.86690271860073</c:v>
                </c:pt>
                <c:pt idx="775">
                  <c:v>120.02195016841029</c:v>
                </c:pt>
                <c:pt idx="776">
                  <c:v>120.17698562135512</c:v>
                </c:pt>
                <c:pt idx="777">
                  <c:v>120.33203307115838</c:v>
                </c:pt>
                <c:pt idx="778">
                  <c:v>120.48708052096795</c:v>
                </c:pt>
                <c:pt idx="779">
                  <c:v>120.64211597390648</c:v>
                </c:pt>
                <c:pt idx="780">
                  <c:v>120.79716342371604</c:v>
                </c:pt>
                <c:pt idx="781">
                  <c:v>120.95221087351931</c:v>
                </c:pt>
                <c:pt idx="782">
                  <c:v>121.10725832332885</c:v>
                </c:pt>
                <c:pt idx="783">
                  <c:v>121.26229377627371</c:v>
                </c:pt>
                <c:pt idx="784">
                  <c:v>121.41734122607697</c:v>
                </c:pt>
                <c:pt idx="785">
                  <c:v>121.57238867588651</c:v>
                </c:pt>
                <c:pt idx="786">
                  <c:v>121.72742412882506</c:v>
                </c:pt>
                <c:pt idx="787">
                  <c:v>121.88247157863461</c:v>
                </c:pt>
                <c:pt idx="788">
                  <c:v>122.03751902843787</c:v>
                </c:pt>
                <c:pt idx="789">
                  <c:v>122.19255448138271</c:v>
                </c:pt>
                <c:pt idx="790">
                  <c:v>122.34760193119226</c:v>
                </c:pt>
                <c:pt idx="791">
                  <c:v>122.50264938099552</c:v>
                </c:pt>
                <c:pt idx="792">
                  <c:v>122.65769683080509</c:v>
                </c:pt>
                <c:pt idx="793">
                  <c:v>122.81273228374361</c:v>
                </c:pt>
                <c:pt idx="794">
                  <c:v>122.96777973355319</c:v>
                </c:pt>
                <c:pt idx="795">
                  <c:v>123.12282718335645</c:v>
                </c:pt>
                <c:pt idx="796">
                  <c:v>123.27786263630128</c:v>
                </c:pt>
                <c:pt idx="797">
                  <c:v>123.43291008611084</c:v>
                </c:pt>
                <c:pt idx="798">
                  <c:v>123.5879575359141</c:v>
                </c:pt>
                <c:pt idx="799">
                  <c:v>123.74299298885893</c:v>
                </c:pt>
                <c:pt idx="800">
                  <c:v>123.8980404386685</c:v>
                </c:pt>
                <c:pt idx="801">
                  <c:v>124.05308788847177</c:v>
                </c:pt>
                <c:pt idx="802">
                  <c:v>124.20813533827503</c:v>
                </c:pt>
                <c:pt idx="803">
                  <c:v>124.36317079121986</c:v>
                </c:pt>
                <c:pt idx="804">
                  <c:v>124.5182182410294</c:v>
                </c:pt>
                <c:pt idx="805">
                  <c:v>124.67326569083266</c:v>
                </c:pt>
                <c:pt idx="806">
                  <c:v>124.82830114377752</c:v>
                </c:pt>
                <c:pt idx="807">
                  <c:v>124.98334859358707</c:v>
                </c:pt>
                <c:pt idx="808">
                  <c:v>125.13839604339033</c:v>
                </c:pt>
                <c:pt idx="809">
                  <c:v>125.29343149633516</c:v>
                </c:pt>
                <c:pt idx="810">
                  <c:v>125.44847894613842</c:v>
                </c:pt>
                <c:pt idx="811">
                  <c:v>125.60352639594798</c:v>
                </c:pt>
                <c:pt idx="812">
                  <c:v>125.75857384575124</c:v>
                </c:pt>
                <c:pt idx="813">
                  <c:v>125.91360929869607</c:v>
                </c:pt>
                <c:pt idx="814">
                  <c:v>126.06865674850565</c:v>
                </c:pt>
                <c:pt idx="815">
                  <c:v>126.22370419830891</c:v>
                </c:pt>
                <c:pt idx="816">
                  <c:v>126.37873965125374</c:v>
                </c:pt>
                <c:pt idx="817">
                  <c:v>126.533787101057</c:v>
                </c:pt>
                <c:pt idx="818">
                  <c:v>126.68883455086656</c:v>
                </c:pt>
                <c:pt idx="819">
                  <c:v>126.84387000381139</c:v>
                </c:pt>
                <c:pt idx="820">
                  <c:v>126.99891745361465</c:v>
                </c:pt>
                <c:pt idx="821">
                  <c:v>127.1539649034242</c:v>
                </c:pt>
                <c:pt idx="822">
                  <c:v>127.30901235322746</c:v>
                </c:pt>
                <c:pt idx="823">
                  <c:v>127.46404780617232</c:v>
                </c:pt>
                <c:pt idx="824">
                  <c:v>127.61909525597558</c:v>
                </c:pt>
                <c:pt idx="825">
                  <c:v>127.77414270578512</c:v>
                </c:pt>
                <c:pt idx="826">
                  <c:v>127.92917815872995</c:v>
                </c:pt>
                <c:pt idx="827">
                  <c:v>128.08422560853322</c:v>
                </c:pt>
                <c:pt idx="828">
                  <c:v>128.23927305834277</c:v>
                </c:pt>
                <c:pt idx="829">
                  <c:v>128.39430851128134</c:v>
                </c:pt>
                <c:pt idx="830">
                  <c:v>128.54935596109087</c:v>
                </c:pt>
                <c:pt idx="831">
                  <c:v>128.70440341089414</c:v>
                </c:pt>
                <c:pt idx="832">
                  <c:v>128.85943886383896</c:v>
                </c:pt>
                <c:pt idx="833">
                  <c:v>129.01448631364855</c:v>
                </c:pt>
                <c:pt idx="834">
                  <c:v>129.1695337634518</c:v>
                </c:pt>
                <c:pt idx="835">
                  <c:v>129.32458121326135</c:v>
                </c:pt>
                <c:pt idx="836">
                  <c:v>129.47961666619989</c:v>
                </c:pt>
                <c:pt idx="837">
                  <c:v>129.63466411600945</c:v>
                </c:pt>
                <c:pt idx="838">
                  <c:v>129.78971156581272</c:v>
                </c:pt>
                <c:pt idx="839">
                  <c:v>129.94474701875754</c:v>
                </c:pt>
                <c:pt idx="840">
                  <c:v>130.09979446856713</c:v>
                </c:pt>
                <c:pt idx="841">
                  <c:v>130.25484191837037</c:v>
                </c:pt>
                <c:pt idx="842">
                  <c:v>130.40987737131522</c:v>
                </c:pt>
                <c:pt idx="843">
                  <c:v>130.56492482111847</c:v>
                </c:pt>
                <c:pt idx="844">
                  <c:v>130.71997227092803</c:v>
                </c:pt>
                <c:pt idx="845">
                  <c:v>130.87501972073127</c:v>
                </c:pt>
                <c:pt idx="846">
                  <c:v>131.03005517367612</c:v>
                </c:pt>
                <c:pt idx="847">
                  <c:v>131.18510262348568</c:v>
                </c:pt>
                <c:pt idx="848">
                  <c:v>131.34015007328892</c:v>
                </c:pt>
                <c:pt idx="849">
                  <c:v>131.49518552623377</c:v>
                </c:pt>
                <c:pt idx="850">
                  <c:v>131.65023297603705</c:v>
                </c:pt>
                <c:pt idx="851">
                  <c:v>131.8052804258466</c:v>
                </c:pt>
                <c:pt idx="852">
                  <c:v>131.96031587879142</c:v>
                </c:pt>
                <c:pt idx="853">
                  <c:v>132.1153633285947</c:v>
                </c:pt>
                <c:pt idx="854">
                  <c:v>132.27041077840425</c:v>
                </c:pt>
                <c:pt idx="855">
                  <c:v>132.42545822820753</c:v>
                </c:pt>
                <c:pt idx="856">
                  <c:v>132.58049368115235</c:v>
                </c:pt>
                <c:pt idx="857">
                  <c:v>132.73554113095562</c:v>
                </c:pt>
                <c:pt idx="858">
                  <c:v>132.89058858076518</c:v>
                </c:pt>
                <c:pt idx="859">
                  <c:v>133.04562403371</c:v>
                </c:pt>
                <c:pt idx="860">
                  <c:v>133.20067148351328</c:v>
                </c:pt>
                <c:pt idx="861">
                  <c:v>133.35571893332281</c:v>
                </c:pt>
                <c:pt idx="862">
                  <c:v>133.51075438626768</c:v>
                </c:pt>
                <c:pt idx="863">
                  <c:v>133.66580183607093</c:v>
                </c:pt>
                <c:pt idx="864">
                  <c:v>133.8208492858742</c:v>
                </c:pt>
                <c:pt idx="865">
                  <c:v>133.97589673568373</c:v>
                </c:pt>
                <c:pt idx="866">
                  <c:v>134.13093218862858</c:v>
                </c:pt>
                <c:pt idx="867">
                  <c:v>134.28597963843183</c:v>
                </c:pt>
                <c:pt idx="868">
                  <c:v>134.44102708824138</c:v>
                </c:pt>
                <c:pt idx="869">
                  <c:v>134.59606254118623</c:v>
                </c:pt>
                <c:pt idx="870">
                  <c:v>134.75110999098948</c:v>
                </c:pt>
                <c:pt idx="871">
                  <c:v>134.90615744079906</c:v>
                </c:pt>
                <c:pt idx="872">
                  <c:v>135.06119289373757</c:v>
                </c:pt>
                <c:pt idx="873">
                  <c:v>135.21624034354716</c:v>
                </c:pt>
                <c:pt idx="874">
                  <c:v>135.3712877933504</c:v>
                </c:pt>
                <c:pt idx="875">
                  <c:v>135.52633524315999</c:v>
                </c:pt>
                <c:pt idx="876">
                  <c:v>135.68137069610481</c:v>
                </c:pt>
                <c:pt idx="877">
                  <c:v>135.83641814590808</c:v>
                </c:pt>
                <c:pt idx="878">
                  <c:v>135.99146559571761</c:v>
                </c:pt>
                <c:pt idx="879">
                  <c:v>136.14650104865618</c:v>
                </c:pt>
                <c:pt idx="880">
                  <c:v>136.30154849846573</c:v>
                </c:pt>
                <c:pt idx="881">
                  <c:v>136.45659594826898</c:v>
                </c:pt>
                <c:pt idx="882">
                  <c:v>136.61163140121383</c:v>
                </c:pt>
                <c:pt idx="883">
                  <c:v>136.76667885102336</c:v>
                </c:pt>
                <c:pt idx="884">
                  <c:v>136.92172630082663</c:v>
                </c:pt>
                <c:pt idx="885">
                  <c:v>137.07677375063619</c:v>
                </c:pt>
              </c:numCache>
            </c:numRef>
          </c:xVal>
          <c:yVal>
            <c:numRef>
              <c:f>Simulation!$O$7:$O$892</c:f>
              <c:numCache>
                <c:formatCode>General</c:formatCode>
                <c:ptCount val="886"/>
                <c:pt idx="2">
                  <c:v>0</c:v>
                </c:pt>
                <c:pt idx="3">
                  <c:v>0</c:v>
                </c:pt>
                <c:pt idx="4">
                  <c:v>0</c:v>
                </c:pt>
                <c:pt idx="5">
                  <c:v>0</c:v>
                </c:pt>
                <c:pt idx="6">
                  <c:v>0</c:v>
                </c:pt>
                <c:pt idx="7">
                  <c:v>5.0832358607061434E-6</c:v>
                </c:pt>
                <c:pt idx="8">
                  <c:v>1.6490452322659206E-5</c:v>
                </c:pt>
                <c:pt idx="9">
                  <c:v>3.1648932657524066E-5</c:v>
                </c:pt>
                <c:pt idx="10">
                  <c:v>5.253263251310107E-5</c:v>
                </c:pt>
                <c:pt idx="11">
                  <c:v>8.0449431276631461E-5</c:v>
                </c:pt>
                <c:pt idx="12">
                  <c:v>1.1676810246112319E-4</c:v>
                </c:pt>
                <c:pt idx="13">
                  <c:v>1.6294484986471383E-4</c:v>
                </c:pt>
                <c:pt idx="14">
                  <c:v>2.2065589417685254E-4</c:v>
                </c:pt>
                <c:pt idx="15">
                  <c:v>2.9192568932670965E-4</c:v>
                </c:pt>
                <c:pt idx="16">
                  <c:v>3.7890480779426714E-4</c:v>
                </c:pt>
                <c:pt idx="17">
                  <c:v>4.8410902808196317E-4</c:v>
                </c:pt>
                <c:pt idx="18">
                  <c:v>6.1060279798257121E-4</c:v>
                </c:pt>
                <c:pt idx="19">
                  <c:v>7.6138700543684746E-4</c:v>
                </c:pt>
                <c:pt idx="20">
                  <c:v>9.4045931445546431E-4</c:v>
                </c:pt>
                <c:pt idx="21">
                  <c:v>1.1516440589426503E-3</c:v>
                </c:pt>
                <c:pt idx="22">
                  <c:v>1.3994183635579575E-3</c:v>
                </c:pt>
                <c:pt idx="23">
                  <c:v>1.6893528352801273E-3</c:v>
                </c:pt>
                <c:pt idx="24">
                  <c:v>2.0262793843711367E-3</c:v>
                </c:pt>
                <c:pt idx="25">
                  <c:v>2.4172404829182689E-3</c:v>
                </c:pt>
                <c:pt idx="26">
                  <c:v>2.868301842281503E-3</c:v>
                </c:pt>
                <c:pt idx="27">
                  <c:v>3.386690276570846E-3</c:v>
                </c:pt>
                <c:pt idx="28">
                  <c:v>3.9817154641595305E-3</c:v>
                </c:pt>
                <c:pt idx="29">
                  <c:v>4.6604974706627687E-3</c:v>
                </c:pt>
                <c:pt idx="30">
                  <c:v>5.4346745912867856E-3</c:v>
                </c:pt>
                <c:pt idx="31">
                  <c:v>6.3130849248900032E-3</c:v>
                </c:pt>
                <c:pt idx="32">
                  <c:v>7.3067281507337017E-3</c:v>
                </c:pt>
                <c:pt idx="33">
                  <c:v>8.4304430276168872E-3</c:v>
                </c:pt>
                <c:pt idx="34">
                  <c:v>9.6938052750986225E-3</c:v>
                </c:pt>
                <c:pt idx="35">
                  <c:v>1.1115338679045041E-2</c:v>
                </c:pt>
                <c:pt idx="36">
                  <c:v>1.270693601722709E-2</c:v>
                </c:pt>
                <c:pt idx="37">
                  <c:v>1.4484669932732813E-2</c:v>
                </c:pt>
                <c:pt idx="38">
                  <c:v>1.6471254982351795E-2</c:v>
                </c:pt>
                <c:pt idx="39">
                  <c:v>1.8680633983187783E-2</c:v>
                </c:pt>
                <c:pt idx="40">
                  <c:v>2.1132239158371025E-2</c:v>
                </c:pt>
                <c:pt idx="41">
                  <c:v>2.3855205766777583E-2</c:v>
                </c:pt>
                <c:pt idx="42">
                  <c:v>2.6862057128667825E-2</c:v>
                </c:pt>
                <c:pt idx="43">
                  <c:v>3.0189401922018421E-2</c:v>
                </c:pt>
                <c:pt idx="44">
                  <c:v>3.3853783282204175E-2</c:v>
                </c:pt>
                <c:pt idx="45">
                  <c:v>3.7881474306066316E-2</c:v>
                </c:pt>
                <c:pt idx="46">
                  <c:v>4.2316124774697046E-2</c:v>
                </c:pt>
                <c:pt idx="47">
                  <c:v>4.7169095146912948E-2</c:v>
                </c:pt>
                <c:pt idx="48">
                  <c:v>5.2495120468454469E-2</c:v>
                </c:pt>
                <c:pt idx="49">
                  <c:v>5.8312116789308574E-2</c:v>
                </c:pt>
                <c:pt idx="50">
                  <c:v>6.4654504432919507E-2</c:v>
                </c:pt>
                <c:pt idx="51">
                  <c:v>7.1585334858730434E-2</c:v>
                </c:pt>
                <c:pt idx="52">
                  <c:v>7.9111885283899744E-2</c:v>
                </c:pt>
                <c:pt idx="53">
                  <c:v>8.7313423235040669E-2</c:v>
                </c:pt>
                <c:pt idx="54">
                  <c:v>9.6207192791349677E-2</c:v>
                </c:pt>
                <c:pt idx="55">
                  <c:v>0.10583723199318817</c:v>
                </c:pt>
                <c:pt idx="56">
                  <c:v>0.11629053429254119</c:v>
                </c:pt>
                <c:pt idx="57">
                  <c:v>0.12756835876055503</c:v>
                </c:pt>
                <c:pt idx="58">
                  <c:v>0.13978143938057994</c:v>
                </c:pt>
                <c:pt idx="59">
                  <c:v>0.15294187423692709</c:v>
                </c:pt>
                <c:pt idx="60">
                  <c:v>0.16710510096030054</c:v>
                </c:pt>
                <c:pt idx="61">
                  <c:v>0.18239174597049918</c:v>
                </c:pt>
                <c:pt idx="62">
                  <c:v>0.1987860707218809</c:v>
                </c:pt>
                <c:pt idx="63">
                  <c:v>0.21644458647778167</c:v>
                </c:pt>
                <c:pt idx="64">
                  <c:v>0.23536709956717292</c:v>
                </c:pt>
                <c:pt idx="65">
                  <c:v>0.25562011678704644</c:v>
                </c:pt>
                <c:pt idx="66">
                  <c:v>0.27737053932674721</c:v>
                </c:pt>
                <c:pt idx="67">
                  <c:v>0.3006095151475971</c:v>
                </c:pt>
                <c:pt idx="68">
                  <c:v>0.32540677353809755</c:v>
                </c:pt>
                <c:pt idx="69">
                  <c:v>0.35196595876094239</c:v>
                </c:pt>
                <c:pt idx="70">
                  <c:v>0.38021251022834929</c:v>
                </c:pt>
                <c:pt idx="71">
                  <c:v>0.41041373176940116</c:v>
                </c:pt>
                <c:pt idx="72">
                  <c:v>0.44252504900200046</c:v>
                </c:pt>
                <c:pt idx="73">
                  <c:v>0.47663896072688305</c:v>
                </c:pt>
                <c:pt idx="74">
                  <c:v>0.51302156524729559</c:v>
                </c:pt>
                <c:pt idx="75">
                  <c:v>0.55154187626641216</c:v>
                </c:pt>
                <c:pt idx="76">
                  <c:v>0.59256079655121063</c:v>
                </c:pt>
                <c:pt idx="77">
                  <c:v>0.63599082575531718</c:v>
                </c:pt>
                <c:pt idx="78">
                  <c:v>0.68193791771333478</c:v>
                </c:pt>
                <c:pt idx="79">
                  <c:v>0.73075353161742018</c:v>
                </c:pt>
                <c:pt idx="80">
                  <c:v>0.78222708429387744</c:v>
                </c:pt>
                <c:pt idx="81">
                  <c:v>0.83684090253883137</c:v>
                </c:pt>
                <c:pt idx="82">
                  <c:v>0.89443868653816394</c:v>
                </c:pt>
                <c:pt idx="83">
                  <c:v>0.95515093372443338</c:v>
                </c:pt>
                <c:pt idx="84">
                  <c:v>1.0194184499456642</c:v>
                </c:pt>
                <c:pt idx="85">
                  <c:v>1.0869359884399903</c:v>
                </c:pt>
                <c:pt idx="86">
                  <c:v>1.1583514608617316</c:v>
                </c:pt>
                <c:pt idx="87">
                  <c:v>1.2333843256508799</c:v>
                </c:pt>
                <c:pt idx="88">
                  <c:v>1.3122016033713844</c:v>
                </c:pt>
                <c:pt idx="89">
                  <c:v>1.3953774529419274</c:v>
                </c:pt>
                <c:pt idx="90">
                  <c:v>1.4826304149353078</c:v>
                </c:pt>
                <c:pt idx="91">
                  <c:v>1.5740952510536799</c:v>
                </c:pt>
                <c:pt idx="92">
                  <c:v>1.6704447720784097</c:v>
                </c:pt>
                <c:pt idx="93">
                  <c:v>1.7711330300758679</c:v>
                </c:pt>
                <c:pt idx="94">
                  <c:v>1.877085862514154</c:v>
                </c:pt>
                <c:pt idx="95">
                  <c:v>1.9879066693369458</c:v>
                </c:pt>
                <c:pt idx="96">
                  <c:v>2.1036544699487743</c:v>
                </c:pt>
                <c:pt idx="97">
                  <c:v>2.2253211875776366</c:v>
                </c:pt>
                <c:pt idx="98">
                  <c:v>2.3520505323158321</c:v>
                </c:pt>
                <c:pt idx="99">
                  <c:v>2.4850563696887868</c:v>
                </c:pt>
                <c:pt idx="100">
                  <c:v>2.6237711712510814</c:v>
                </c:pt>
                <c:pt idx="101">
                  <c:v>2.768234786810527</c:v>
                </c:pt>
                <c:pt idx="102">
                  <c:v>2.9197114390853671</c:v>
                </c:pt>
                <c:pt idx="103">
                  <c:v>3.0770368217785533</c:v>
                </c:pt>
                <c:pt idx="104">
                  <c:v>3.2417459235629322</c:v>
                </c:pt>
                <c:pt idx="105">
                  <c:v>3.4130717890436455</c:v>
                </c:pt>
                <c:pt idx="106">
                  <c:v>3.5910164671992857</c:v>
                </c:pt>
                <c:pt idx="107">
                  <c:v>3.777164878710952</c:v>
                </c:pt>
                <c:pt idx="108">
                  <c:v>3.9699858602648757</c:v>
                </c:pt>
                <c:pt idx="109">
                  <c:v>4.171406430669756</c:v>
                </c:pt>
                <c:pt idx="110">
                  <c:v>4.3803774897340322</c:v>
                </c:pt>
                <c:pt idx="111">
                  <c:v>4.5968851697598367</c:v>
                </c:pt>
                <c:pt idx="112">
                  <c:v>4.822899710766591</c:v>
                </c:pt>
                <c:pt idx="113">
                  <c:v>5.0564007008915342</c:v>
                </c:pt>
                <c:pt idx="114">
                  <c:v>5.2998275604168574</c:v>
                </c:pt>
                <c:pt idx="115">
                  <c:v>5.5517809040554358</c:v>
                </c:pt>
                <c:pt idx="116">
                  <c:v>5.8121818981519455</c:v>
                </c:pt>
                <c:pt idx="117">
                  <c:v>6.083506938940932</c:v>
                </c:pt>
                <c:pt idx="118">
                  <c:v>6.3638962558762904</c:v>
                </c:pt>
                <c:pt idx="119">
                  <c:v>6.6532900590137967</c:v>
                </c:pt>
                <c:pt idx="120">
                  <c:v>6.9545619742213631</c:v>
                </c:pt>
                <c:pt idx="121">
                  <c:v>7.2644094556470069</c:v>
                </c:pt>
                <c:pt idx="122">
                  <c:v>7.586676801080479</c:v>
                </c:pt>
                <c:pt idx="123">
                  <c:v>7.9189866304233538</c:v>
                </c:pt>
                <c:pt idx="124">
                  <c:v>8.2612192815752401</c:v>
                </c:pt>
                <c:pt idx="125">
                  <c:v>8.6168922359674287</c:v>
                </c:pt>
                <c:pt idx="126">
                  <c:v>8.9818661539325682</c:v>
                </c:pt>
                <c:pt idx="127">
                  <c:v>9.3609008810305188</c:v>
                </c:pt>
                <c:pt idx="128">
                  <c:v>9.7506925222999037</c:v>
                </c:pt>
                <c:pt idx="129">
                  <c:v>10.151575869890948</c:v>
                </c:pt>
                <c:pt idx="130">
                  <c:v>10.567416220017991</c:v>
                </c:pt>
                <c:pt idx="131">
                  <c:v>10.993235010780932</c:v>
                </c:pt>
                <c:pt idx="132">
                  <c:v>11.43477943028431</c:v>
                </c:pt>
                <c:pt idx="133">
                  <c:v>11.887917598244211</c:v>
                </c:pt>
                <c:pt idx="134">
                  <c:v>12.353082377547558</c:v>
                </c:pt>
                <c:pt idx="135">
                  <c:v>12.834887823537709</c:v>
                </c:pt>
                <c:pt idx="136">
                  <c:v>13.327188746367568</c:v>
                </c:pt>
                <c:pt idx="137">
                  <c:v>13.836982963768623</c:v>
                </c:pt>
                <c:pt idx="138">
                  <c:v>14.359169285182064</c:v>
                </c:pt>
                <c:pt idx="139">
                  <c:v>14.894181595874192</c:v>
                </c:pt>
                <c:pt idx="140">
                  <c:v>15.447616063410686</c:v>
                </c:pt>
                <c:pt idx="141">
                  <c:v>16.013879018576151</c:v>
                </c:pt>
                <c:pt idx="142">
                  <c:v>16.593589263464384</c:v>
                </c:pt>
                <c:pt idx="143">
                  <c:v>17.192302538980439</c:v>
                </c:pt>
                <c:pt idx="144">
                  <c:v>17.80260021144926</c:v>
                </c:pt>
                <c:pt idx="145">
                  <c:v>18.433107674796769</c:v>
                </c:pt>
                <c:pt idx="146">
                  <c:v>19.077084641781266</c:v>
                </c:pt>
                <c:pt idx="147">
                  <c:v>19.735227492670681</c:v>
                </c:pt>
                <c:pt idx="148">
                  <c:v>20.414088680662967</c:v>
                </c:pt>
                <c:pt idx="149">
                  <c:v>21.104819453175104</c:v>
                </c:pt>
                <c:pt idx="150">
                  <c:v>21.817514001227412</c:v>
                </c:pt>
                <c:pt idx="151">
                  <c:v>22.544258694302346</c:v>
                </c:pt>
                <c:pt idx="152">
                  <c:v>23.285771499432649</c:v>
                </c:pt>
                <c:pt idx="153">
                  <c:v>24.049658824758708</c:v>
                </c:pt>
                <c:pt idx="154">
                  <c:v>24.825818819240919</c:v>
                </c:pt>
                <c:pt idx="155">
                  <c:v>25.625040080436229</c:v>
                </c:pt>
                <c:pt idx="156">
                  <c:v>26.439346111863699</c:v>
                </c:pt>
                <c:pt idx="157">
                  <c:v>27.268716609678766</c:v>
                </c:pt>
                <c:pt idx="158">
                  <c:v>28.122148758697371</c:v>
                </c:pt>
                <c:pt idx="159">
                  <c:v>28.987794264028107</c:v>
                </c:pt>
                <c:pt idx="160">
                  <c:v>29.87820866394793</c:v>
                </c:pt>
                <c:pt idx="161">
                  <c:v>30.784029997325341</c:v>
                </c:pt>
                <c:pt idx="162">
                  <c:v>31.705195215300012</c:v>
                </c:pt>
                <c:pt idx="163">
                  <c:v>32.65214601517804</c:v>
                </c:pt>
                <c:pt idx="164">
                  <c:v>33.614611766848675</c:v>
                </c:pt>
                <c:pt idx="165">
                  <c:v>34.592170438415842</c:v>
                </c:pt>
                <c:pt idx="166">
                  <c:v>35.597880338303248</c:v>
                </c:pt>
                <c:pt idx="167">
                  <c:v>36.613078137040404</c:v>
                </c:pt>
                <c:pt idx="168">
                  <c:v>37.657239761783032</c:v>
                </c:pt>
                <c:pt idx="169">
                  <c:v>38.716597991579881</c:v>
                </c:pt>
                <c:pt idx="170">
                  <c:v>39.791638538925163</c:v>
                </c:pt>
                <c:pt idx="171">
                  <c:v>40.894469557669538</c:v>
                </c:pt>
                <c:pt idx="172">
                  <c:v>42.008119048622333</c:v>
                </c:pt>
                <c:pt idx="173">
                  <c:v>43.151796712687776</c:v>
                </c:pt>
                <c:pt idx="174">
                  <c:v>44.310451525499474</c:v>
                </c:pt>
                <c:pt idx="175">
                  <c:v>45.484614956618728</c:v>
                </c:pt>
                <c:pt idx="176">
                  <c:v>46.68808287057626</c:v>
                </c:pt>
                <c:pt idx="177">
                  <c:v>47.90147036828138</c:v>
                </c:pt>
                <c:pt idx="178">
                  <c:v>49.146459043415135</c:v>
                </c:pt>
                <c:pt idx="179">
                  <c:v>50.40613721491475</c:v>
                </c:pt>
                <c:pt idx="180">
                  <c:v>51.680939000049364</c:v>
                </c:pt>
                <c:pt idx="181">
                  <c:v>52.986341069577186</c:v>
                </c:pt>
                <c:pt idx="182">
                  <c:v>54.300608295138815</c:v>
                </c:pt>
                <c:pt idx="183">
                  <c:v>55.648133379838796</c:v>
                </c:pt>
                <c:pt idx="184">
                  <c:v>57.009534176189376</c:v>
                </c:pt>
                <c:pt idx="185">
                  <c:v>58.385625112219365</c:v>
                </c:pt>
                <c:pt idx="186">
                  <c:v>59.793685932664928</c:v>
                </c:pt>
                <c:pt idx="187">
                  <c:v>61.208954365375298</c:v>
                </c:pt>
                <c:pt idx="188">
                  <c:v>62.659266033078865</c:v>
                </c:pt>
                <c:pt idx="189">
                  <c:v>64.122558337819584</c:v>
                </c:pt>
                <c:pt idx="190">
                  <c:v>65.599536278927374</c:v>
                </c:pt>
                <c:pt idx="191">
                  <c:v>67.109969959548451</c:v>
                </c:pt>
                <c:pt idx="192">
                  <c:v>68.63399766528228</c:v>
                </c:pt>
                <c:pt idx="193">
                  <c:v>70.169744549371529</c:v>
                </c:pt>
                <c:pt idx="194">
                  <c:v>71.742410581301087</c:v>
                </c:pt>
                <c:pt idx="195">
                  <c:v>73.319280756637042</c:v>
                </c:pt>
                <c:pt idx="196">
                  <c:v>74.930840205205328</c:v>
                </c:pt>
                <c:pt idx="197">
                  <c:v>76.554861598702445</c:v>
                </c:pt>
                <c:pt idx="198">
                  <c:v>78.189250411750535</c:v>
                </c:pt>
                <c:pt idx="199">
                  <c:v>79.862056629638943</c:v>
                </c:pt>
                <c:pt idx="200">
                  <c:v>81.536898008295964</c:v>
                </c:pt>
                <c:pt idx="201">
                  <c:v>83.247335722701308</c:v>
                </c:pt>
                <c:pt idx="202">
                  <c:v>84.969120863197105</c:v>
                </c:pt>
                <c:pt idx="203">
                  <c:v>86.699682999247216</c:v>
                </c:pt>
                <c:pt idx="204">
                  <c:v>88.469833507221367</c:v>
                </c:pt>
                <c:pt idx="205">
                  <c:v>90.239752874321823</c:v>
                </c:pt>
                <c:pt idx="206">
                  <c:v>92.046322410339855</c:v>
                </c:pt>
                <c:pt idx="207">
                  <c:v>93.862395970186569</c:v>
                </c:pt>
                <c:pt idx="208">
                  <c:v>95.685698005294157</c:v>
                </c:pt>
                <c:pt idx="209">
                  <c:v>97.549946012749743</c:v>
                </c:pt>
                <c:pt idx="210">
                  <c:v>99.410881455113284</c:v>
                </c:pt>
                <c:pt idx="211">
                  <c:v>101.30972355946345</c:v>
                </c:pt>
                <c:pt idx="212">
                  <c:v>103.21627407165856</c:v>
                </c:pt>
                <c:pt idx="213">
                  <c:v>105.12771753839422</c:v>
                </c:pt>
                <c:pt idx="214">
                  <c:v>107.08169084989029</c:v>
                </c:pt>
                <c:pt idx="215">
                  <c:v>109.04214516638294</c:v>
                </c:pt>
                <c:pt idx="216">
                  <c:v>111.0022737588496</c:v>
                </c:pt>
                <c:pt idx="217">
                  <c:v>113.00747344197542</c:v>
                </c:pt>
                <c:pt idx="218">
                  <c:v>115.00208296386415</c:v>
                </c:pt>
                <c:pt idx="219">
                  <c:v>117.04048729043397</c:v>
                </c:pt>
                <c:pt idx="220">
                  <c:v>119.08334001940743</c:v>
                </c:pt>
                <c:pt idx="221">
                  <c:v>121.12274396097405</c:v>
                </c:pt>
                <c:pt idx="222">
                  <c:v>123.20896528123001</c:v>
                </c:pt>
                <c:pt idx="223">
                  <c:v>125.28080058344361</c:v>
                </c:pt>
                <c:pt idx="224">
                  <c:v>127.39762093079729</c:v>
                </c:pt>
                <c:pt idx="225">
                  <c:v>129.51655823220526</c:v>
                </c:pt>
                <c:pt idx="226">
                  <c:v>131.62905388863024</c:v>
                </c:pt>
                <c:pt idx="227">
                  <c:v>133.78972772730614</c:v>
                </c:pt>
                <c:pt idx="228">
                  <c:v>135.93222677231637</c:v>
                </c:pt>
                <c:pt idx="229">
                  <c:v>138.1204488375366</c:v>
                </c:pt>
                <c:pt idx="230">
                  <c:v>140.30868766752644</c:v>
                </c:pt>
                <c:pt idx="231">
                  <c:v>142.48729713040046</c:v>
                </c:pt>
                <c:pt idx="232">
                  <c:v>144.71498129075016</c:v>
                </c:pt>
                <c:pt idx="233">
                  <c:v>146.92079445870999</c:v>
                </c:pt>
                <c:pt idx="234">
                  <c:v>149.17627928062302</c:v>
                </c:pt>
                <c:pt idx="235">
                  <c:v>151.41999108458043</c:v>
                </c:pt>
                <c:pt idx="236">
                  <c:v>153.65991283294233</c:v>
                </c:pt>
                <c:pt idx="237">
                  <c:v>155.94723303589427</c:v>
                </c:pt>
                <c:pt idx="238">
                  <c:v>158.20792413804659</c:v>
                </c:pt>
                <c:pt idx="239">
                  <c:v>160.51999359080494</c:v>
                </c:pt>
                <c:pt idx="240">
                  <c:v>162.81681770745749</c:v>
                </c:pt>
                <c:pt idx="241">
                  <c:v>165.10654618453279</c:v>
                </c:pt>
                <c:pt idx="242">
                  <c:v>167.44516158760464</c:v>
                </c:pt>
                <c:pt idx="243">
                  <c:v>169.77286622915472</c:v>
                </c:pt>
                <c:pt idx="244">
                  <c:v>172.09179048038817</c:v>
                </c:pt>
                <c:pt idx="245">
                  <c:v>174.45353731523437</c:v>
                </c:pt>
                <c:pt idx="246">
                  <c:v>176.78456090002427</c:v>
                </c:pt>
                <c:pt idx="247">
                  <c:v>179.1654707422615</c:v>
                </c:pt>
                <c:pt idx="248">
                  <c:v>181.53224185957322</c:v>
                </c:pt>
                <c:pt idx="249">
                  <c:v>183.88720155785805</c:v>
                </c:pt>
                <c:pt idx="250">
                  <c:v>186.28550914166536</c:v>
                </c:pt>
                <c:pt idx="251">
                  <c:v>188.64879869076583</c:v>
                </c:pt>
                <c:pt idx="252">
                  <c:v>191.06236421722301</c:v>
                </c:pt>
                <c:pt idx="253">
                  <c:v>193.45905423972656</c:v>
                </c:pt>
                <c:pt idx="254">
                  <c:v>195.84082772888993</c:v>
                </c:pt>
                <c:pt idx="255">
                  <c:v>198.26583609139567</c:v>
                </c:pt>
                <c:pt idx="256">
                  <c:v>200.65186322498852</c:v>
                </c:pt>
                <c:pt idx="257">
                  <c:v>203.08908078004038</c:v>
                </c:pt>
                <c:pt idx="258">
                  <c:v>205.50545429547338</c:v>
                </c:pt>
                <c:pt idx="259">
                  <c:v>207.90435858220414</c:v>
                </c:pt>
                <c:pt idx="260">
                  <c:v>210.34693686448514</c:v>
                </c:pt>
                <c:pt idx="261">
                  <c:v>212.74531347596493</c:v>
                </c:pt>
                <c:pt idx="262">
                  <c:v>215.19641314423828</c:v>
                </c:pt>
                <c:pt idx="263">
                  <c:v>217.62322971453847</c:v>
                </c:pt>
                <c:pt idx="264">
                  <c:v>220.0287451089807</c:v>
                </c:pt>
                <c:pt idx="265">
                  <c:v>222.47901571967643</c:v>
                </c:pt>
                <c:pt idx="266">
                  <c:v>224.90719500742449</c:v>
                </c:pt>
                <c:pt idx="267">
                  <c:v>227.30774038135712</c:v>
                </c:pt>
                <c:pt idx="268">
                  <c:v>229.76209925420559</c:v>
                </c:pt>
                <c:pt idx="269">
                  <c:v>232.16466385779472</c:v>
                </c:pt>
                <c:pt idx="270">
                  <c:v>234.61241148668446</c:v>
                </c:pt>
                <c:pt idx="271">
                  <c:v>237.03485361944189</c:v>
                </c:pt>
                <c:pt idx="272">
                  <c:v>239.42621497032874</c:v>
                </c:pt>
                <c:pt idx="273">
                  <c:v>241.87229447021772</c:v>
                </c:pt>
                <c:pt idx="274">
                  <c:v>244.26214792625808</c:v>
                </c:pt>
                <c:pt idx="275">
                  <c:v>246.69689208750532</c:v>
                </c:pt>
                <c:pt idx="276">
                  <c:v>249.10384667230011</c:v>
                </c:pt>
                <c:pt idx="277">
                  <c:v>251.4762981053164</c:v>
                </c:pt>
                <c:pt idx="278">
                  <c:v>253.90362188382019</c:v>
                </c:pt>
                <c:pt idx="279">
                  <c:v>256.2708549056494</c:v>
                </c:pt>
                <c:pt idx="280">
                  <c:v>258.68339540884028</c:v>
                </c:pt>
                <c:pt idx="281">
                  <c:v>261.06422545790048</c:v>
                </c:pt>
                <c:pt idx="282">
                  <c:v>263.40794298667373</c:v>
                </c:pt>
                <c:pt idx="283">
                  <c:v>265.80714165087238</c:v>
                </c:pt>
                <c:pt idx="284">
                  <c:v>268.14173503260571</c:v>
                </c:pt>
                <c:pt idx="285">
                  <c:v>270.52205485707481</c:v>
                </c:pt>
                <c:pt idx="286">
                  <c:v>272.86753406077628</c:v>
                </c:pt>
                <c:pt idx="287">
                  <c:v>275.17261186812294</c:v>
                </c:pt>
                <c:pt idx="288">
                  <c:v>277.53432406249419</c:v>
                </c:pt>
                <c:pt idx="289">
                  <c:v>279.85945573029551</c:v>
                </c:pt>
                <c:pt idx="290">
                  <c:v>282.13139934790115</c:v>
                </c:pt>
                <c:pt idx="291">
                  <c:v>284.46592955549687</c:v>
                </c:pt>
                <c:pt idx="292">
                  <c:v>286.72240872123365</c:v>
                </c:pt>
                <c:pt idx="293">
                  <c:v>289.0372626055227</c:v>
                </c:pt>
                <c:pt idx="294">
                  <c:v>291.31255527981506</c:v>
                </c:pt>
                <c:pt idx="295">
                  <c:v>293.53019765515182</c:v>
                </c:pt>
                <c:pt idx="296">
                  <c:v>295.81241897321325</c:v>
                </c:pt>
                <c:pt idx="297">
                  <c:v>298.01179786312775</c:v>
                </c:pt>
                <c:pt idx="298">
                  <c:v>300.27630621933844</c:v>
                </c:pt>
                <c:pt idx="299">
                  <c:v>302.4808825799513</c:v>
                </c:pt>
                <c:pt idx="300">
                  <c:v>304.64182503291551</c:v>
                </c:pt>
                <c:pt idx="301">
                  <c:v>306.86264903500251</c:v>
                </c:pt>
                <c:pt idx="302">
                  <c:v>308.99658164219233</c:v>
                </c:pt>
                <c:pt idx="303">
                  <c:v>311.19587884391177</c:v>
                </c:pt>
                <c:pt idx="304">
                  <c:v>313.33276281617691</c:v>
                </c:pt>
                <c:pt idx="305">
                  <c:v>315.42328555126744</c:v>
                </c:pt>
                <c:pt idx="306">
                  <c:v>317.5737029469783</c:v>
                </c:pt>
                <c:pt idx="307">
                  <c:v>319.63400508704581</c:v>
                </c:pt>
                <c:pt idx="308">
                  <c:v>321.7608099522414</c:v>
                </c:pt>
                <c:pt idx="309">
                  <c:v>323.82102335500832</c:v>
                </c:pt>
                <c:pt idx="310">
                  <c:v>325.83324240975668</c:v>
                </c:pt>
                <c:pt idx="311">
                  <c:v>327.90630459274536</c:v>
                </c:pt>
                <c:pt idx="312">
                  <c:v>329.88431611837819</c:v>
                </c:pt>
                <c:pt idx="313">
                  <c:v>331.93095562399282</c:v>
                </c:pt>
                <c:pt idx="314">
                  <c:v>333.9079298547727</c:v>
                </c:pt>
                <c:pt idx="315">
                  <c:v>335.83348996837009</c:v>
                </c:pt>
                <c:pt idx="316">
                  <c:v>337.82183761683979</c:v>
                </c:pt>
                <c:pt idx="317">
                  <c:v>339.75181198248629</c:v>
                </c:pt>
                <c:pt idx="318">
                  <c:v>341.62906350973373</c:v>
                </c:pt>
                <c:pt idx="319">
                  <c:v>343.55648477116199</c:v>
                </c:pt>
                <c:pt idx="320">
                  <c:v>345.3892066987832</c:v>
                </c:pt>
                <c:pt idx="321">
                  <c:v>347.28572713915196</c:v>
                </c:pt>
                <c:pt idx="322">
                  <c:v>349.12144497344354</c:v>
                </c:pt>
                <c:pt idx="323">
                  <c:v>350.90224685405548</c:v>
                </c:pt>
                <c:pt idx="324">
                  <c:v>352.73386008646719</c:v>
                </c:pt>
                <c:pt idx="325">
                  <c:v>354.46790314113099</c:v>
                </c:pt>
                <c:pt idx="326">
                  <c:v>356.27257075785411</c:v>
                </c:pt>
                <c:pt idx="327">
                  <c:v>357.9945479194111</c:v>
                </c:pt>
                <c:pt idx="328">
                  <c:v>359.68033738791695</c:v>
                </c:pt>
                <c:pt idx="329">
                  <c:v>361.40259760233374</c:v>
                </c:pt>
                <c:pt idx="330">
                  <c:v>363.04639500037501</c:v>
                </c:pt>
                <c:pt idx="331">
                  <c:v>364.74092549399808</c:v>
                </c:pt>
                <c:pt idx="332">
                  <c:v>366.3561809110098</c:v>
                </c:pt>
                <c:pt idx="333">
                  <c:v>367.9349944898284</c:v>
                </c:pt>
                <c:pt idx="334">
                  <c:v>369.55062647659031</c:v>
                </c:pt>
                <c:pt idx="335">
                  <c:v>371.08444271625496</c:v>
                </c:pt>
                <c:pt idx="336">
                  <c:v>372.67076613334189</c:v>
                </c:pt>
                <c:pt idx="337">
                  <c:v>374.17564586744936</c:v>
                </c:pt>
                <c:pt idx="338">
                  <c:v>375.64179290146029</c:v>
                </c:pt>
                <c:pt idx="339">
                  <c:v>377.14627810717741</c:v>
                </c:pt>
                <c:pt idx="340">
                  <c:v>378.61157268900411</c:v>
                </c:pt>
                <c:pt idx="341">
                  <c:v>379.99474675385233</c:v>
                </c:pt>
                <c:pt idx="342">
                  <c:v>381.43004071465151</c:v>
                </c:pt>
                <c:pt idx="343">
                  <c:v>382.78035107966059</c:v>
                </c:pt>
                <c:pt idx="344">
                  <c:v>384.16942770893331</c:v>
                </c:pt>
                <c:pt idx="345">
                  <c:v>385.51869195987621</c:v>
                </c:pt>
                <c:pt idx="346">
                  <c:v>386.78295932984383</c:v>
                </c:pt>
                <c:pt idx="347">
                  <c:v>388.10120377047474</c:v>
                </c:pt>
                <c:pt idx="348">
                  <c:v>389.33238141752577</c:v>
                </c:pt>
                <c:pt idx="349">
                  <c:v>390.60282979609053</c:v>
                </c:pt>
                <c:pt idx="350">
                  <c:v>391.83263907515214</c:v>
                </c:pt>
                <c:pt idx="351">
                  <c:v>392.97592113370155</c:v>
                </c:pt>
                <c:pt idx="352">
                  <c:v>394.17390495942965</c:v>
                </c:pt>
                <c:pt idx="353">
                  <c:v>395.28374885287678</c:v>
                </c:pt>
                <c:pt idx="354">
                  <c:v>396.43220911773392</c:v>
                </c:pt>
                <c:pt idx="355">
                  <c:v>397.54052019132115</c:v>
                </c:pt>
                <c:pt idx="356">
                  <c:v>398.56099820170408</c:v>
                </c:pt>
                <c:pt idx="357">
                  <c:v>399.6357438214888</c:v>
                </c:pt>
                <c:pt idx="358">
                  <c:v>400.62232089786397</c:v>
                </c:pt>
                <c:pt idx="359">
                  <c:v>401.64804805697412</c:v>
                </c:pt>
                <c:pt idx="360">
                  <c:v>402.63187816499141</c:v>
                </c:pt>
                <c:pt idx="361">
                  <c:v>403.52800911315364</c:v>
                </c:pt>
                <c:pt idx="362">
                  <c:v>404.47917050302033</c:v>
                </c:pt>
                <c:pt idx="363">
                  <c:v>405.33995185467626</c:v>
                </c:pt>
                <c:pt idx="364">
                  <c:v>406.24162249353719</c:v>
                </c:pt>
                <c:pt idx="365">
                  <c:v>407.10102695417891</c:v>
                </c:pt>
                <c:pt idx="366">
                  <c:v>407.87068712693997</c:v>
                </c:pt>
                <c:pt idx="367">
                  <c:v>408.6973292661018</c:v>
                </c:pt>
                <c:pt idx="368">
                  <c:v>409.4815457288081</c:v>
                </c:pt>
                <c:pt idx="369">
                  <c:v>410.15973172398338</c:v>
                </c:pt>
                <c:pt idx="370">
                  <c:v>410.94297968451912</c:v>
                </c:pt>
                <c:pt idx="371">
                  <c:v>411.58663825480272</c:v>
                </c:pt>
                <c:pt idx="372">
                  <c:v>412.28803175847361</c:v>
                </c:pt>
                <c:pt idx="373">
                  <c:v>412.94683148682969</c:v>
                </c:pt>
                <c:pt idx="374">
                  <c:v>413.49897768414007</c:v>
                </c:pt>
                <c:pt idx="375">
                  <c:v>414.15731445047902</c:v>
                </c:pt>
                <c:pt idx="376">
                  <c:v>414.67564463676541</c:v>
                </c:pt>
                <c:pt idx="377">
                  <c:v>415.25120628687091</c:v>
                </c:pt>
                <c:pt idx="378">
                  <c:v>415.78539250750669</c:v>
                </c:pt>
                <c:pt idx="379">
                  <c:v>416.21251838816005</c:v>
                </c:pt>
                <c:pt idx="380">
                  <c:v>416.74563001223135</c:v>
                </c:pt>
                <c:pt idx="381">
                  <c:v>417.1394441846266</c:v>
                </c:pt>
                <c:pt idx="382">
                  <c:v>417.59119036622889</c:v>
                </c:pt>
                <c:pt idx="383">
                  <c:v>418.00045242764929</c:v>
                </c:pt>
                <c:pt idx="384">
                  <c:v>418.30373697307539</c:v>
                </c:pt>
                <c:pt idx="385">
                  <c:v>418.7139175235522</c:v>
                </c:pt>
                <c:pt idx="386">
                  <c:v>418.98329662355241</c:v>
                </c:pt>
                <c:pt idx="387">
                  <c:v>419.31255550244265</c:v>
                </c:pt>
                <c:pt idx="388">
                  <c:v>419.59956358651374</c:v>
                </c:pt>
                <c:pt idx="389">
                  <c:v>419.79564638649578</c:v>
                </c:pt>
                <c:pt idx="390">
                  <c:v>420.0519814652298</c:v>
                </c:pt>
                <c:pt idx="391">
                  <c:v>420.26627741310887</c:v>
                </c:pt>
                <c:pt idx="392">
                  <c:v>420.37355907628358</c:v>
                </c:pt>
                <c:pt idx="393">
                  <c:v>420.59026689324583</c:v>
                </c:pt>
                <c:pt idx="394">
                  <c:v>420.66588863521537</c:v>
                </c:pt>
                <c:pt idx="395">
                  <c:v>420.80242346864287</c:v>
                </c:pt>
                <c:pt idx="396">
                  <c:v>420.89735376934567</c:v>
                </c:pt>
                <c:pt idx="397">
                  <c:v>420.88561755139767</c:v>
                </c:pt>
                <c:pt idx="398">
                  <c:v>420.9840196956319</c:v>
                </c:pt>
                <c:pt idx="399">
                  <c:v>420.94219204215477</c:v>
                </c:pt>
                <c:pt idx="400">
                  <c:v>420.96057854689633</c:v>
                </c:pt>
                <c:pt idx="401">
                  <c:v>420.9391751175026</c:v>
                </c:pt>
                <c:pt idx="402">
                  <c:v>420.81170621640729</c:v>
                </c:pt>
                <c:pt idx="403">
                  <c:v>420.79366220720203</c:v>
                </c:pt>
                <c:pt idx="404">
                  <c:v>420.63729435757944</c:v>
                </c:pt>
                <c:pt idx="405">
                  <c:v>420.54172577506165</c:v>
                </c:pt>
                <c:pt idx="406">
                  <c:v>420.40572722002941</c:v>
                </c:pt>
                <c:pt idx="407">
                  <c:v>420.16570720408561</c:v>
                </c:pt>
                <c:pt idx="408">
                  <c:v>420.03515288648384</c:v>
                </c:pt>
                <c:pt idx="409">
                  <c:v>419.76714282546811</c:v>
                </c:pt>
                <c:pt idx="410">
                  <c:v>419.56047368127645</c:v>
                </c:pt>
                <c:pt idx="411">
                  <c:v>419.31411325595559</c:v>
                </c:pt>
                <c:pt idx="412">
                  <c:v>418.96466654970823</c:v>
                </c:pt>
                <c:pt idx="413">
                  <c:v>418.72546076870088</c:v>
                </c:pt>
                <c:pt idx="414">
                  <c:v>418.39844193798922</c:v>
                </c:pt>
                <c:pt idx="415">
                  <c:v>417.9851571028683</c:v>
                </c:pt>
                <c:pt idx="416">
                  <c:v>417.68226318063768</c:v>
                </c:pt>
                <c:pt idx="417">
                  <c:v>417.22639516432275</c:v>
                </c:pt>
                <c:pt idx="418">
                  <c:v>416.8822753175163</c:v>
                </c:pt>
                <c:pt idx="419">
                  <c:v>416.45139633477493</c:v>
                </c:pt>
                <c:pt idx="420">
                  <c:v>415.93414650868453</c:v>
                </c:pt>
                <c:pt idx="421">
                  <c:v>415.52873860772763</c:v>
                </c:pt>
                <c:pt idx="422">
                  <c:v>414.97142346496543</c:v>
                </c:pt>
                <c:pt idx="423">
                  <c:v>414.52596526919911</c:v>
                </c:pt>
                <c:pt idx="424">
                  <c:v>413.9949761649184</c:v>
                </c:pt>
                <c:pt idx="425">
                  <c:v>413.37886916686523</c:v>
                </c:pt>
                <c:pt idx="426">
                  <c:v>412.87466332589804</c:v>
                </c:pt>
                <c:pt idx="427">
                  <c:v>412.22069786255486</c:v>
                </c:pt>
                <c:pt idx="428">
                  <c:v>411.67735033544409</c:v>
                </c:pt>
                <c:pt idx="429">
                  <c:v>411.05101435334751</c:v>
                </c:pt>
                <c:pt idx="430">
                  <c:v>410.3409575096386</c:v>
                </c:pt>
                <c:pt idx="431">
                  <c:v>409.7415002404324</c:v>
                </c:pt>
                <c:pt idx="432">
                  <c:v>408.99539721880041</c:v>
                </c:pt>
                <c:pt idx="433">
                  <c:v>408.35983579438562</c:v>
                </c:pt>
                <c:pt idx="434">
                  <c:v>407.64152554975863</c:v>
                </c:pt>
                <c:pt idx="435">
                  <c:v>406.84218929175478</c:v>
                </c:pt>
                <c:pt idx="436">
                  <c:v>406.15326726025711</c:v>
                </c:pt>
                <c:pt idx="437">
                  <c:v>405.31856816478944</c:v>
                </c:pt>
                <c:pt idx="438">
                  <c:v>404.59541059059814</c:v>
                </c:pt>
                <c:pt idx="439">
                  <c:v>403.79102528506132</c:v>
                </c:pt>
                <c:pt idx="440">
                  <c:v>402.90600127477859</c:v>
                </c:pt>
                <c:pt idx="441">
                  <c:v>402.13232555650785</c:v>
                </c:pt>
                <c:pt idx="442">
                  <c:v>401.2628530806715</c:v>
                </c:pt>
                <c:pt idx="443">
                  <c:v>400.36025903174317</c:v>
                </c:pt>
                <c:pt idx="444">
                  <c:v>399.52229325509876</c:v>
                </c:pt>
                <c:pt idx="445">
                  <c:v>398.55731700644179</c:v>
                </c:pt>
                <c:pt idx="446">
                  <c:v>397.70329364378449</c:v>
                </c:pt>
                <c:pt idx="447">
                  <c:v>396.75532285498008</c:v>
                </c:pt>
                <c:pt idx="448">
                  <c:v>395.77543966968972</c:v>
                </c:pt>
                <c:pt idx="449">
                  <c:v>394.86026648787396</c:v>
                </c:pt>
                <c:pt idx="450">
                  <c:v>393.82074060813966</c:v>
                </c:pt>
                <c:pt idx="451">
                  <c:v>392.89049121565125</c:v>
                </c:pt>
                <c:pt idx="452">
                  <c:v>391.86942253564916</c:v>
                </c:pt>
                <c:pt idx="453">
                  <c:v>390.81761838287747</c:v>
                </c:pt>
                <c:pt idx="454">
                  <c:v>389.82935939980877</c:v>
                </c:pt>
                <c:pt idx="455">
                  <c:v>388.7203482072552</c:v>
                </c:pt>
                <c:pt idx="456">
                  <c:v>387.7200156496296</c:v>
                </c:pt>
                <c:pt idx="457">
                  <c:v>386.62970624075376</c:v>
                </c:pt>
                <c:pt idx="458">
                  <c:v>385.51108418234497</c:v>
                </c:pt>
                <c:pt idx="459">
                  <c:v>384.45594644448113</c:v>
                </c:pt>
                <c:pt idx="460">
                  <c:v>383.28136765463699</c:v>
                </c:pt>
                <c:pt idx="461">
                  <c:v>382.2159277184038</c:v>
                </c:pt>
                <c:pt idx="462">
                  <c:v>381.06259505874056</c:v>
                </c:pt>
                <c:pt idx="463">
                  <c:v>379.88103211480438</c:v>
                </c:pt>
                <c:pt idx="464">
                  <c:v>378.76399455946341</c:v>
                </c:pt>
                <c:pt idx="465">
                  <c:v>377.57466730356151</c:v>
                </c:pt>
                <c:pt idx="466">
                  <c:v>376.35900101290031</c:v>
                </c:pt>
                <c:pt idx="467">
                  <c:v>375.19209892220078</c:v>
                </c:pt>
                <c:pt idx="468">
                  <c:v>373.95344141150798</c:v>
                </c:pt>
                <c:pt idx="469">
                  <c:v>372.77910999581331</c:v>
                </c:pt>
                <c:pt idx="470">
                  <c:v>371.53481921939067</c:v>
                </c:pt>
                <c:pt idx="471">
                  <c:v>370.26431823186317</c:v>
                </c:pt>
                <c:pt idx="472">
                  <c:v>369.04371684689312</c:v>
                </c:pt>
                <c:pt idx="473">
                  <c:v>367.752979675868</c:v>
                </c:pt>
                <c:pt idx="474">
                  <c:v>366.52630312628293</c:v>
                </c:pt>
                <c:pt idx="475">
                  <c:v>365.23165148210819</c:v>
                </c:pt>
                <c:pt idx="476">
                  <c:v>363.91206048590203</c:v>
                </c:pt>
                <c:pt idx="477">
                  <c:v>362.64230935771656</c:v>
                </c:pt>
                <c:pt idx="478">
                  <c:v>361.30480953497556</c:v>
                </c:pt>
                <c:pt idx="479">
                  <c:v>360.02997235890552</c:v>
                </c:pt>
                <c:pt idx="480">
                  <c:v>358.69023034557222</c:v>
                </c:pt>
                <c:pt idx="481">
                  <c:v>357.3268039036156</c:v>
                </c:pt>
                <c:pt idx="482">
                  <c:v>356.0120603940619</c:v>
                </c:pt>
                <c:pt idx="483">
                  <c:v>354.63267080388522</c:v>
                </c:pt>
                <c:pt idx="484">
                  <c:v>353.31557823699876</c:v>
                </c:pt>
                <c:pt idx="485">
                  <c:v>351.93452626857311</c:v>
                </c:pt>
                <c:pt idx="486">
                  <c:v>350.53207862407652</c:v>
                </c:pt>
                <c:pt idx="487">
                  <c:v>349.1781769841806</c:v>
                </c:pt>
                <c:pt idx="488">
                  <c:v>347.76061759962033</c:v>
                </c:pt>
                <c:pt idx="489">
                  <c:v>346.40596321579955</c:v>
                </c:pt>
                <c:pt idx="490">
                  <c:v>344.98937907533701</c:v>
                </c:pt>
                <c:pt idx="491">
                  <c:v>343.55159559570944</c:v>
                </c:pt>
                <c:pt idx="492">
                  <c:v>342.1631806407164</c:v>
                </c:pt>
                <c:pt idx="493">
                  <c:v>340.75371411199069</c:v>
                </c:pt>
                <c:pt idx="494">
                  <c:v>339.28416587096325</c:v>
                </c:pt>
                <c:pt idx="495">
                  <c:v>337.87702472322309</c:v>
                </c:pt>
                <c:pt idx="496">
                  <c:v>336.40919014432421</c:v>
                </c:pt>
                <c:pt idx="497">
                  <c:v>334.99047855366973</c:v>
                </c:pt>
                <c:pt idx="498">
                  <c:v>333.55188785252938</c:v>
                </c:pt>
                <c:pt idx="499">
                  <c:v>332.05525373216949</c:v>
                </c:pt>
                <c:pt idx="500">
                  <c:v>330.62047706820675</c:v>
                </c:pt>
                <c:pt idx="501">
                  <c:v>329.12736347263029</c:v>
                </c:pt>
                <c:pt idx="502">
                  <c:v>327.68207286897029</c:v>
                </c:pt>
                <c:pt idx="503">
                  <c:v>326.21908934235017</c:v>
                </c:pt>
                <c:pt idx="504">
                  <c:v>324.70008375217731</c:v>
                </c:pt>
                <c:pt idx="505">
                  <c:v>323.24131894786194</c:v>
                </c:pt>
                <c:pt idx="506">
                  <c:v>321.72723972628734</c:v>
                </c:pt>
                <c:pt idx="507">
                  <c:v>320.26064662454507</c:v>
                </c:pt>
                <c:pt idx="508">
                  <c:v>318.77651738936601</c:v>
                </c:pt>
                <c:pt idx="509">
                  <c:v>317.23933084701173</c:v>
                </c:pt>
                <c:pt idx="510">
                  <c:v>315.76172767770942</c:v>
                </c:pt>
                <c:pt idx="511">
                  <c:v>314.2298752250374</c:v>
                </c:pt>
                <c:pt idx="512">
                  <c:v>312.7460693758631</c:v>
                </c:pt>
                <c:pt idx="513">
                  <c:v>311.24584428892047</c:v>
                </c:pt>
                <c:pt idx="514">
                  <c:v>309.69359350823458</c:v>
                </c:pt>
                <c:pt idx="515">
                  <c:v>308.2011624927718</c:v>
                </c:pt>
                <c:pt idx="516">
                  <c:v>306.69297444682519</c:v>
                </c:pt>
                <c:pt idx="517">
                  <c:v>305.13394180956072</c:v>
                </c:pt>
                <c:pt idx="518">
                  <c:v>303.6342693204021</c:v>
                </c:pt>
                <c:pt idx="519">
                  <c:v>302.08323903786749</c:v>
                </c:pt>
                <c:pt idx="520">
                  <c:v>300.57949375592341</c:v>
                </c:pt>
                <c:pt idx="521">
                  <c:v>299.06105938056879</c:v>
                </c:pt>
                <c:pt idx="522">
                  <c:v>297.49374798792201</c:v>
                </c:pt>
                <c:pt idx="523">
                  <c:v>295.9849803238688</c:v>
                </c:pt>
                <c:pt idx="524">
                  <c:v>294.42711464146686</c:v>
                </c:pt>
                <c:pt idx="525">
                  <c:v>292.91512840116508</c:v>
                </c:pt>
                <c:pt idx="526">
                  <c:v>291.39036909942325</c:v>
                </c:pt>
                <c:pt idx="527">
                  <c:v>289.81865736114565</c:v>
                </c:pt>
                <c:pt idx="528">
                  <c:v>288.30378632546939</c:v>
                </c:pt>
                <c:pt idx="529">
                  <c:v>286.7426120873788</c:v>
                </c:pt>
                <c:pt idx="530">
                  <c:v>285.22676313029473</c:v>
                </c:pt>
                <c:pt idx="531">
                  <c:v>283.69827832961397</c:v>
                </c:pt>
                <c:pt idx="532">
                  <c:v>282.12557855788714</c:v>
                </c:pt>
                <c:pt idx="533">
                  <c:v>280.60856289039981</c:v>
                </c:pt>
                <c:pt idx="534">
                  <c:v>279.04712872818709</c:v>
                </c:pt>
                <c:pt idx="535">
                  <c:v>277.53044412640855</c:v>
                </c:pt>
                <c:pt idx="536">
                  <c:v>276.00208151555478</c:v>
                </c:pt>
                <c:pt idx="537">
                  <c:v>274.4313318273646</c:v>
                </c:pt>
                <c:pt idx="538">
                  <c:v>272.91563919333237</c:v>
                </c:pt>
                <c:pt idx="539">
                  <c:v>271.38884329972689</c:v>
                </c:pt>
                <c:pt idx="540">
                  <c:v>269.81030605363958</c:v>
                </c:pt>
                <c:pt idx="541">
                  <c:v>268.31752446226994</c:v>
                </c:pt>
                <c:pt idx="542">
                  <c:v>266.75123420030479</c:v>
                </c:pt>
                <c:pt idx="543">
                  <c:v>265.23988652970041</c:v>
                </c:pt>
                <c:pt idx="544">
                  <c:v>263.71833278193418</c:v>
                </c:pt>
                <c:pt idx="545">
                  <c:v>262.14629945304301</c:v>
                </c:pt>
                <c:pt idx="546">
                  <c:v>260.65897290760785</c:v>
                </c:pt>
                <c:pt idx="547">
                  <c:v>259.10056339427587</c:v>
                </c:pt>
                <c:pt idx="548">
                  <c:v>257.59609411429005</c:v>
                </c:pt>
                <c:pt idx="549">
                  <c:v>256.08228366733147</c:v>
                </c:pt>
                <c:pt idx="550">
                  <c:v>254.52003793685944</c:v>
                </c:pt>
                <c:pt idx="551">
                  <c:v>253.04061656977362</c:v>
                </c:pt>
                <c:pt idx="552">
                  <c:v>251.49301384175683</c:v>
                </c:pt>
                <c:pt idx="553">
                  <c:v>249.99757016578258</c:v>
                </c:pt>
                <c:pt idx="554">
                  <c:v>248.49436576904725</c:v>
                </c:pt>
                <c:pt idx="555">
                  <c:v>246.94473458828745</c:v>
                </c:pt>
                <c:pt idx="556">
                  <c:v>245.47526483164486</c:v>
                </c:pt>
                <c:pt idx="557">
                  <c:v>243.94092216432327</c:v>
                </c:pt>
                <c:pt idx="558">
                  <c:v>242.4577296842827</c:v>
                </c:pt>
                <c:pt idx="559">
                  <c:v>240.96683182711345</c:v>
                </c:pt>
                <c:pt idx="560">
                  <c:v>239.43217361795482</c:v>
                </c:pt>
                <c:pt idx="561">
                  <c:v>237.97575848651107</c:v>
                </c:pt>
                <c:pt idx="562">
                  <c:v>236.45626508575236</c:v>
                </c:pt>
                <c:pt idx="563">
                  <c:v>234.98759449041833</c:v>
                </c:pt>
                <c:pt idx="564">
                  <c:v>233.51197086427473</c:v>
                </c:pt>
                <c:pt idx="565">
                  <c:v>231.99375870691225</c:v>
                </c:pt>
                <c:pt idx="566">
                  <c:v>230.55257225718498</c:v>
                </c:pt>
                <c:pt idx="567">
                  <c:v>229.07803762888656</c:v>
                </c:pt>
                <c:pt idx="568">
                  <c:v>227.57095982426435</c:v>
                </c:pt>
                <c:pt idx="569">
                  <c:v>226.13974438283296</c:v>
                </c:pt>
                <c:pt idx="570">
                  <c:v>224.64047212977303</c:v>
                </c:pt>
                <c:pt idx="571">
                  <c:v>223.21629243831728</c:v>
                </c:pt>
                <c:pt idx="572">
                  <c:v>221.76030945786943</c:v>
                </c:pt>
                <c:pt idx="573">
                  <c:v>220.27329644114013</c:v>
                </c:pt>
                <c:pt idx="574">
                  <c:v>218.86019592382507</c:v>
                </c:pt>
                <c:pt idx="575">
                  <c:v>217.38193261325497</c:v>
                </c:pt>
                <c:pt idx="576">
                  <c:v>215.97615065740828</c:v>
                </c:pt>
                <c:pt idx="577">
                  <c:v>214.54072173579655</c:v>
                </c:pt>
                <c:pt idx="578">
                  <c:v>213.07574574679629</c:v>
                </c:pt>
                <c:pt idx="579">
                  <c:v>211.682091918488</c:v>
                </c:pt>
                <c:pt idx="580">
                  <c:v>210.2265030839736</c:v>
                </c:pt>
                <c:pt idx="581">
                  <c:v>208.84146368754847</c:v>
                </c:pt>
                <c:pt idx="582">
                  <c:v>207.42757561407035</c:v>
                </c:pt>
                <c:pt idx="583">
                  <c:v>205.98618705823742</c:v>
                </c:pt>
                <c:pt idx="584">
                  <c:v>204.61419801367668</c:v>
                </c:pt>
                <c:pt idx="585">
                  <c:v>203.18217407942686</c:v>
                </c:pt>
                <c:pt idx="586">
                  <c:v>201.81938221472473</c:v>
                </c:pt>
                <c:pt idx="587">
                  <c:v>200.42913158318891</c:v>
                </c:pt>
                <c:pt idx="588">
                  <c:v>199.01214123824352</c:v>
                </c:pt>
                <c:pt idx="589">
                  <c:v>197.66323114680864</c:v>
                </c:pt>
                <c:pt idx="590">
                  <c:v>196.27989421666413</c:v>
                </c:pt>
                <c:pt idx="591">
                  <c:v>194.89393652805646</c:v>
                </c:pt>
                <c:pt idx="592">
                  <c:v>193.5516383584534</c:v>
                </c:pt>
                <c:pt idx="593">
                  <c:v>192.16073999592837</c:v>
                </c:pt>
                <c:pt idx="594">
                  <c:v>190.83596477352168</c:v>
                </c:pt>
                <c:pt idx="595">
                  <c:v>189.47854994919439</c:v>
                </c:pt>
                <c:pt idx="596">
                  <c:v>188.1184484927243</c:v>
                </c:pt>
                <c:pt idx="597">
                  <c:v>186.80143572857054</c:v>
                </c:pt>
                <c:pt idx="598">
                  <c:v>185.43772548318918</c:v>
                </c:pt>
                <c:pt idx="599">
                  <c:v>184.13822776536216</c:v>
                </c:pt>
                <c:pt idx="600">
                  <c:v>182.80761592468977</c:v>
                </c:pt>
                <c:pt idx="601">
                  <c:v>181.47479321737455</c:v>
                </c:pt>
                <c:pt idx="602">
                  <c:v>180.18391738716628</c:v>
                </c:pt>
                <c:pt idx="603">
                  <c:v>178.84855492553231</c:v>
                </c:pt>
                <c:pt idx="604">
                  <c:v>177.57496145603838</c:v>
                </c:pt>
                <c:pt idx="605">
                  <c:v>176.27226393113747</c:v>
                </c:pt>
                <c:pt idx="606">
                  <c:v>174.96779995016146</c:v>
                </c:pt>
                <c:pt idx="607">
                  <c:v>173.70361626585625</c:v>
                </c:pt>
                <c:pt idx="608">
                  <c:v>172.39743264505998</c:v>
                </c:pt>
                <c:pt idx="609">
                  <c:v>171.15113602956004</c:v>
                </c:pt>
                <c:pt idx="610">
                  <c:v>169.87662402072354</c:v>
                </c:pt>
                <c:pt idx="611">
                  <c:v>168.60128027734481</c:v>
                </c:pt>
                <c:pt idx="612">
                  <c:v>167.36509587650008</c:v>
                </c:pt>
                <c:pt idx="613">
                  <c:v>166.088282353718</c:v>
                </c:pt>
                <c:pt idx="614">
                  <c:v>164.87000928220621</c:v>
                </c:pt>
                <c:pt idx="615">
                  <c:v>163.62488737684467</c:v>
                </c:pt>
                <c:pt idx="616">
                  <c:v>162.37880285747141</c:v>
                </c:pt>
                <c:pt idx="617">
                  <c:v>161.1712534368107</c:v>
                </c:pt>
                <c:pt idx="618">
                  <c:v>159.94393808830063</c:v>
                </c:pt>
                <c:pt idx="619">
                  <c:v>158.71588358540083</c:v>
                </c:pt>
                <c:pt idx="620">
                  <c:v>157.51958465574239</c:v>
                </c:pt>
                <c:pt idx="621">
                  <c:v>156.30363554775198</c:v>
                </c:pt>
                <c:pt idx="622">
                  <c:v>155.12509121435701</c:v>
                </c:pt>
                <c:pt idx="623">
                  <c:v>153.9278286589672</c:v>
                </c:pt>
                <c:pt idx="624">
                  <c:v>152.73016565849983</c:v>
                </c:pt>
                <c:pt idx="625">
                  <c:v>151.56337065957499</c:v>
                </c:pt>
                <c:pt idx="626">
                  <c:v>150.37811887620902</c:v>
                </c:pt>
                <c:pt idx="627">
                  <c:v>149.22870448688803</c:v>
                </c:pt>
                <c:pt idx="628">
                  <c:v>148.06203321266557</c:v>
                </c:pt>
                <c:pt idx="629">
                  <c:v>146.89526282498196</c:v>
                </c:pt>
                <c:pt idx="630">
                  <c:v>145.75803486825555</c:v>
                </c:pt>
                <c:pt idx="631">
                  <c:v>144.60378405018795</c:v>
                </c:pt>
                <c:pt idx="632">
                  <c:v>143.48427584824529</c:v>
                </c:pt>
                <c:pt idx="633">
                  <c:v>142.34802404315928</c:v>
                </c:pt>
                <c:pt idx="634">
                  <c:v>141.21238700490437</c:v>
                </c:pt>
                <c:pt idx="635">
                  <c:v>140.10542875792191</c:v>
                </c:pt>
                <c:pt idx="636">
                  <c:v>138.98196519084661</c:v>
                </c:pt>
                <c:pt idx="637">
                  <c:v>137.89258295716937</c:v>
                </c:pt>
                <c:pt idx="638">
                  <c:v>136.78737326980911</c:v>
                </c:pt>
                <c:pt idx="639">
                  <c:v>135.68261440291462</c:v>
                </c:pt>
                <c:pt idx="640">
                  <c:v>134.61128479218388</c:v>
                </c:pt>
                <c:pt idx="641">
                  <c:v>133.52466709316732</c:v>
                </c:pt>
                <c:pt idx="642">
                  <c:v>132.43864849120558</c:v>
                </c:pt>
                <c:pt idx="643">
                  <c:v>131.3803237852477</c:v>
                </c:pt>
                <c:pt idx="644">
                  <c:v>130.30679429361314</c:v>
                </c:pt>
                <c:pt idx="645">
                  <c:v>129.26561869282273</c:v>
                </c:pt>
                <c:pt idx="646">
                  <c:v>128.21000576406911</c:v>
                </c:pt>
                <c:pt idx="647">
                  <c:v>127.15521476648451</c:v>
                </c:pt>
                <c:pt idx="648">
                  <c:v>126.12725838919212</c:v>
                </c:pt>
                <c:pt idx="649">
                  <c:v>125.08507084695684</c:v>
                </c:pt>
                <c:pt idx="650">
                  <c:v>124.07380139949333</c:v>
                </c:pt>
                <c:pt idx="651">
                  <c:v>123.04927700908112</c:v>
                </c:pt>
                <c:pt idx="652">
                  <c:v>122.02105641584275</c:v>
                </c:pt>
                <c:pt idx="653">
                  <c:v>121.03726678571869</c:v>
                </c:pt>
                <c:pt idx="654">
                  <c:v>120.01231090647852</c:v>
                </c:pt>
                <c:pt idx="655">
                  <c:v>119.03129069751043</c:v>
                </c:pt>
                <c:pt idx="656">
                  <c:v>118.05113059154455</c:v>
                </c:pt>
                <c:pt idx="657">
                  <c:v>117.04512360765467</c:v>
                </c:pt>
                <c:pt idx="658">
                  <c:v>116.08197900067412</c:v>
                </c:pt>
                <c:pt idx="659">
                  <c:v>115.09753732815477</c:v>
                </c:pt>
                <c:pt idx="660">
                  <c:v>114.15529962209449</c:v>
                </c:pt>
                <c:pt idx="661">
                  <c:v>113.18766607754786</c:v>
                </c:pt>
                <c:pt idx="662">
                  <c:v>112.22180549564692</c:v>
                </c:pt>
                <c:pt idx="663">
                  <c:v>111.2972175091401</c:v>
                </c:pt>
                <c:pt idx="664">
                  <c:v>110.34799243698332</c:v>
                </c:pt>
                <c:pt idx="665">
                  <c:v>109.40062061557914</c:v>
                </c:pt>
                <c:pt idx="666">
                  <c:v>108.49360145432658</c:v>
                </c:pt>
                <c:pt idx="667">
                  <c:v>107.54988388001998</c:v>
                </c:pt>
                <c:pt idx="668">
                  <c:v>106.64638104066643</c:v>
                </c:pt>
                <c:pt idx="669">
                  <c:v>105.73596597737865</c:v>
                </c:pt>
                <c:pt idx="670">
                  <c:v>104.82706599756909</c:v>
                </c:pt>
                <c:pt idx="671">
                  <c:v>103.93306266915711</c:v>
                </c:pt>
                <c:pt idx="672">
                  <c:v>103.02818152463318</c:v>
                </c:pt>
                <c:pt idx="673">
                  <c:v>102.16187120005938</c:v>
                </c:pt>
                <c:pt idx="674">
                  <c:v>101.2733072228435</c:v>
                </c:pt>
                <c:pt idx="675">
                  <c:v>100.38651533328822</c:v>
                </c:pt>
                <c:pt idx="676">
                  <c:v>99.537411356565968</c:v>
                </c:pt>
                <c:pt idx="677">
                  <c:v>98.654996014439178</c:v>
                </c:pt>
                <c:pt idx="678">
                  <c:v>97.809529197084984</c:v>
                </c:pt>
                <c:pt idx="679">
                  <c:v>96.958357312608655</c:v>
                </c:pt>
                <c:pt idx="680">
                  <c:v>96.108918701607465</c:v>
                </c:pt>
                <c:pt idx="681">
                  <c:v>95.273200025122392</c:v>
                </c:pt>
                <c:pt idx="682">
                  <c:v>94.428227991874408</c:v>
                </c:pt>
                <c:pt idx="683">
                  <c:v>93.618654263660645</c:v>
                </c:pt>
                <c:pt idx="684">
                  <c:v>92.789022367207778</c:v>
                </c:pt>
                <c:pt idx="685">
                  <c:v>91.961618366436724</c:v>
                </c:pt>
                <c:pt idx="686">
                  <c:v>91.16878411783587</c:v>
                </c:pt>
                <c:pt idx="687">
                  <c:v>90.34575761078807</c:v>
                </c:pt>
                <c:pt idx="688">
                  <c:v>89.557155399752716</c:v>
                </c:pt>
                <c:pt idx="689">
                  <c:v>88.763373524886546</c:v>
                </c:pt>
                <c:pt idx="690">
                  <c:v>87.971487377669803</c:v>
                </c:pt>
                <c:pt idx="691">
                  <c:v>87.192726031967709</c:v>
                </c:pt>
                <c:pt idx="692">
                  <c:v>86.415817472088705</c:v>
                </c:pt>
                <c:pt idx="693">
                  <c:v>85.640843873303652</c:v>
                </c:pt>
                <c:pt idx="694">
                  <c:v>84.878736270751688</c:v>
                </c:pt>
                <c:pt idx="695">
                  <c:v>84.10842692881738</c:v>
                </c:pt>
                <c:pt idx="696">
                  <c:v>83.370275373203413</c:v>
                </c:pt>
                <c:pt idx="697">
                  <c:v>82.614627871067128</c:v>
                </c:pt>
                <c:pt idx="698">
                  <c:v>81.861086532266071</c:v>
                </c:pt>
                <c:pt idx="699">
                  <c:v>81.132652634656736</c:v>
                </c:pt>
                <c:pt idx="700">
                  <c:v>80.396481863732959</c:v>
                </c:pt>
                <c:pt idx="701">
                  <c:v>79.672334946060545</c:v>
                </c:pt>
                <c:pt idx="702">
                  <c:v>78.950391588193568</c:v>
                </c:pt>
                <c:pt idx="703">
                  <c:v>78.23048005212199</c:v>
                </c:pt>
                <c:pt idx="704">
                  <c:v>77.522348350307894</c:v>
                </c:pt>
                <c:pt idx="705">
                  <c:v>76.807293782818022</c:v>
                </c:pt>
                <c:pt idx="706">
                  <c:v>76.121632123454503</c:v>
                </c:pt>
                <c:pt idx="707">
                  <c:v>75.420253431315999</c:v>
                </c:pt>
                <c:pt idx="708">
                  <c:v>74.721273417438411</c:v>
                </c:pt>
                <c:pt idx="709">
                  <c:v>74.050960116224061</c:v>
                </c:pt>
                <c:pt idx="710">
                  <c:v>73.356696015661285</c:v>
                </c:pt>
                <c:pt idx="711">
                  <c:v>72.690950188658675</c:v>
                </c:pt>
                <c:pt idx="712">
                  <c:v>72.021556817737178</c:v>
                </c:pt>
                <c:pt idx="713">
                  <c:v>71.354252166069401</c:v>
                </c:pt>
                <c:pt idx="714">
                  <c:v>70.698143283929596</c:v>
                </c:pt>
                <c:pt idx="715">
                  <c:v>70.044004421403088</c:v>
                </c:pt>
                <c:pt idx="716">
                  <c:v>69.392175821681747</c:v>
                </c:pt>
                <c:pt idx="717">
                  <c:v>68.751089594447521</c:v>
                </c:pt>
                <c:pt idx="718">
                  <c:v>68.103951810153887</c:v>
                </c:pt>
                <c:pt idx="719">
                  <c:v>67.483368717109769</c:v>
                </c:pt>
                <c:pt idx="720">
                  <c:v>66.84912780857033</c:v>
                </c:pt>
                <c:pt idx="721">
                  <c:v>66.217097279245166</c:v>
                </c:pt>
                <c:pt idx="722">
                  <c:v>65.605869714711744</c:v>
                </c:pt>
                <c:pt idx="723">
                  <c:v>64.988809358520967</c:v>
                </c:pt>
                <c:pt idx="724">
                  <c:v>64.382150206449268</c:v>
                </c:pt>
                <c:pt idx="725">
                  <c:v>63.777556227057822</c:v>
                </c:pt>
                <c:pt idx="726">
                  <c:v>63.175076108840379</c:v>
                </c:pt>
                <c:pt idx="727">
                  <c:v>62.582765279245308</c:v>
                </c:pt>
                <c:pt idx="728">
                  <c:v>61.985142872470824</c:v>
                </c:pt>
                <c:pt idx="729">
                  <c:v>61.411696549942924</c:v>
                </c:pt>
                <c:pt idx="730">
                  <c:v>60.826199198155273</c:v>
                </c:pt>
                <c:pt idx="731">
                  <c:v>60.242903447276156</c:v>
                </c:pt>
                <c:pt idx="732">
                  <c:v>59.678541768578846</c:v>
                </c:pt>
                <c:pt idx="733">
                  <c:v>59.10929880334902</c:v>
                </c:pt>
                <c:pt idx="734">
                  <c:v>58.549520262728599</c:v>
                </c:pt>
                <c:pt idx="735">
                  <c:v>57.991798116217041</c:v>
                </c:pt>
                <c:pt idx="736">
                  <c:v>57.436355933183414</c:v>
                </c:pt>
                <c:pt idx="737">
                  <c:v>56.890163297021225</c:v>
                </c:pt>
                <c:pt idx="738">
                  <c:v>56.339316173927507</c:v>
                </c:pt>
                <c:pt idx="739">
                  <c:v>55.810784406420048</c:v>
                </c:pt>
                <c:pt idx="740">
                  <c:v>55.271300584478055</c:v>
                </c:pt>
                <c:pt idx="741">
                  <c:v>54.733989611018174</c:v>
                </c:pt>
                <c:pt idx="742">
                  <c:v>54.214213004929384</c:v>
                </c:pt>
                <c:pt idx="743">
                  <c:v>53.696388389045488</c:v>
                </c:pt>
                <c:pt idx="744">
                  <c:v>53.168216422333607</c:v>
                </c:pt>
                <c:pt idx="745">
                  <c:v>52.661280498479456</c:v>
                </c:pt>
                <c:pt idx="746">
                  <c:v>52.150032407809213</c:v>
                </c:pt>
                <c:pt idx="747">
                  <c:v>51.64749271269973</c:v>
                </c:pt>
                <c:pt idx="748">
                  <c:v>51.146969976390444</c:v>
                </c:pt>
                <c:pt idx="749">
                  <c:v>50.64850242875324</c:v>
                </c:pt>
                <c:pt idx="750">
                  <c:v>50.158537978599611</c:v>
                </c:pt>
                <c:pt idx="751">
                  <c:v>49.664666672044063</c:v>
                </c:pt>
                <c:pt idx="752">
                  <c:v>49.186701096843947</c:v>
                </c:pt>
                <c:pt idx="753">
                  <c:v>48.710800506141887</c:v>
                </c:pt>
                <c:pt idx="754">
                  <c:v>48.225658631649608</c:v>
                </c:pt>
                <c:pt idx="755">
                  <c:v>47.759773138864155</c:v>
                </c:pt>
                <c:pt idx="756">
                  <c:v>47.29030630021672</c:v>
                </c:pt>
                <c:pt idx="757">
                  <c:v>46.828733573958523</c:v>
                </c:pt>
                <c:pt idx="758">
                  <c:v>46.369125361708022</c:v>
                </c:pt>
                <c:pt idx="759">
                  <c:v>45.911653809926754</c:v>
                </c:pt>
                <c:pt idx="760">
                  <c:v>45.461885697577927</c:v>
                </c:pt>
                <c:pt idx="761">
                  <c:v>45.008707110904545</c:v>
                </c:pt>
                <c:pt idx="762">
                  <c:v>44.570207632564397</c:v>
                </c:pt>
                <c:pt idx="763">
                  <c:v>44.133572027211976</c:v>
                </c:pt>
                <c:pt idx="764">
                  <c:v>43.688688385187639</c:v>
                </c:pt>
                <c:pt idx="765">
                  <c:v>43.261506012450852</c:v>
                </c:pt>
                <c:pt idx="766">
                  <c:v>42.836171106939709</c:v>
                </c:pt>
                <c:pt idx="767">
                  <c:v>42.402865954825771</c:v>
                </c:pt>
                <c:pt idx="768">
                  <c:v>41.98677576440263</c:v>
                </c:pt>
                <c:pt idx="769">
                  <c:v>41.567523817724826</c:v>
                </c:pt>
                <c:pt idx="770">
                  <c:v>41.155488391659311</c:v>
                </c:pt>
                <c:pt idx="771">
                  <c:v>40.745329820725459</c:v>
                </c:pt>
                <c:pt idx="772">
                  <c:v>40.333952262955883</c:v>
                </c:pt>
                <c:pt idx="773">
                  <c:v>39.938942954177655</c:v>
                </c:pt>
                <c:pt idx="774">
                  <c:v>39.531782214927858</c:v>
                </c:pt>
                <c:pt idx="775">
                  <c:v>39.140628873330378</c:v>
                </c:pt>
                <c:pt idx="776">
                  <c:v>38.746759069197537</c:v>
                </c:pt>
                <c:pt idx="777">
                  <c:v>38.364138623797565</c:v>
                </c:pt>
                <c:pt idx="778">
                  <c:v>37.969692110063676</c:v>
                </c:pt>
                <c:pt idx="779">
                  <c:v>37.590807127179801</c:v>
                </c:pt>
                <c:pt idx="780">
                  <c:v>37.21834838328752</c:v>
                </c:pt>
                <c:pt idx="781">
                  <c:v>36.834447583308894</c:v>
                </c:pt>
                <c:pt idx="782">
                  <c:v>36.462850355468341</c:v>
                </c:pt>
                <c:pt idx="783">
                  <c:v>36.097325176940167</c:v>
                </c:pt>
                <c:pt idx="784">
                  <c:v>35.738116534966693</c:v>
                </c:pt>
                <c:pt idx="785">
                  <c:v>35.367958162046918</c:v>
                </c:pt>
                <c:pt idx="786">
                  <c:v>35.012255640459585</c:v>
                </c:pt>
                <c:pt idx="787">
                  <c:v>34.662706498734821</c:v>
                </c:pt>
                <c:pt idx="788">
                  <c:v>34.302566439154035</c:v>
                </c:pt>
                <c:pt idx="789">
                  <c:v>33.956474122956926</c:v>
                </c:pt>
                <c:pt idx="790">
                  <c:v>33.61637734729419</c:v>
                </c:pt>
                <c:pt idx="791">
                  <c:v>33.266033993859921</c:v>
                </c:pt>
                <c:pt idx="792">
                  <c:v>32.926791467537896</c:v>
                </c:pt>
                <c:pt idx="793">
                  <c:v>32.593249639976762</c:v>
                </c:pt>
                <c:pt idx="794">
                  <c:v>32.265398957876862</c:v>
                </c:pt>
                <c:pt idx="795">
                  <c:v>31.927746743444914</c:v>
                </c:pt>
                <c:pt idx="796">
                  <c:v>31.603322957277992</c:v>
                </c:pt>
                <c:pt idx="797">
                  <c:v>31.284442383818138</c:v>
                </c:pt>
                <c:pt idx="798">
                  <c:v>30.956082811271465</c:v>
                </c:pt>
                <c:pt idx="799">
                  <c:v>30.640573102552896</c:v>
                </c:pt>
                <c:pt idx="800">
                  <c:v>30.330459424193382</c:v>
                </c:pt>
                <c:pt idx="801">
                  <c:v>30.011179951302889</c:v>
                </c:pt>
                <c:pt idx="802">
                  <c:v>29.70208334775279</c:v>
                </c:pt>
                <c:pt idx="803">
                  <c:v>29.405111169552139</c:v>
                </c:pt>
                <c:pt idx="804">
                  <c:v>29.092427028667579</c:v>
                </c:pt>
                <c:pt idx="805">
                  <c:v>28.791911149866475</c:v>
                </c:pt>
                <c:pt idx="806">
                  <c:v>28.49635782144783</c:v>
                </c:pt>
                <c:pt idx="807">
                  <c:v>28.205958742244103</c:v>
                </c:pt>
                <c:pt idx="808">
                  <c:v>27.90708599781259</c:v>
                </c:pt>
                <c:pt idx="809">
                  <c:v>27.619784017167746</c:v>
                </c:pt>
                <c:pt idx="810">
                  <c:v>27.337496256763281</c:v>
                </c:pt>
                <c:pt idx="811">
                  <c:v>27.047015362123478</c:v>
                </c:pt>
                <c:pt idx="812">
                  <c:v>26.765699360992844</c:v>
                </c:pt>
                <c:pt idx="813">
                  <c:v>26.495454889389759</c:v>
                </c:pt>
                <c:pt idx="814">
                  <c:v>26.211116735291604</c:v>
                </c:pt>
                <c:pt idx="815">
                  <c:v>25.937730564634311</c:v>
                </c:pt>
                <c:pt idx="816">
                  <c:v>25.668982961037816</c:v>
                </c:pt>
                <c:pt idx="817">
                  <c:v>25.404861548364369</c:v>
                </c:pt>
                <c:pt idx="818">
                  <c:v>25.13316947587197</c:v>
                </c:pt>
                <c:pt idx="819">
                  <c:v>24.872035079677911</c:v>
                </c:pt>
                <c:pt idx="820">
                  <c:v>24.615401603202066</c:v>
                </c:pt>
                <c:pt idx="821">
                  <c:v>24.351450762365864</c:v>
                </c:pt>
                <c:pt idx="822">
                  <c:v>24.095883578660946</c:v>
                </c:pt>
                <c:pt idx="823">
                  <c:v>23.85026843446343</c:v>
                </c:pt>
                <c:pt idx="824">
                  <c:v>23.592024833022883</c:v>
                </c:pt>
                <c:pt idx="825">
                  <c:v>23.343764737478406</c:v>
                </c:pt>
                <c:pt idx="826">
                  <c:v>23.105162387268216</c:v>
                </c:pt>
                <c:pt idx="827">
                  <c:v>22.854343526183563</c:v>
                </c:pt>
                <c:pt idx="828">
                  <c:v>22.613212354633934</c:v>
                </c:pt>
                <c:pt idx="829">
                  <c:v>22.376103793292891</c:v>
                </c:pt>
                <c:pt idx="830">
                  <c:v>22.143164332391919</c:v>
                </c:pt>
                <c:pt idx="831">
                  <c:v>21.90369401326096</c:v>
                </c:pt>
                <c:pt idx="832">
                  <c:v>21.673426723205328</c:v>
                </c:pt>
                <c:pt idx="833">
                  <c:v>21.447212296969152</c:v>
                </c:pt>
                <c:pt idx="834">
                  <c:v>21.214686597786535</c:v>
                </c:pt>
                <c:pt idx="835">
                  <c:v>20.98946476090304</c:v>
                </c:pt>
                <c:pt idx="836">
                  <c:v>20.773038386122273</c:v>
                </c:pt>
                <c:pt idx="837">
                  <c:v>20.545675581858042</c:v>
                </c:pt>
                <c:pt idx="838">
                  <c:v>20.327008001636134</c:v>
                </c:pt>
                <c:pt idx="839">
                  <c:v>20.112084099948426</c:v>
                </c:pt>
                <c:pt idx="840">
                  <c:v>19.900872187932556</c:v>
                </c:pt>
                <c:pt idx="841">
                  <c:v>19.683896062010177</c:v>
                </c:pt>
                <c:pt idx="842">
                  <c:v>19.4752350231321</c:v>
                </c:pt>
                <c:pt idx="843">
                  <c:v>19.270201025107003</c:v>
                </c:pt>
                <c:pt idx="844">
                  <c:v>19.059598036446317</c:v>
                </c:pt>
                <c:pt idx="845">
                  <c:v>18.855600117656163</c:v>
                </c:pt>
                <c:pt idx="846">
                  <c:v>18.659488820071022</c:v>
                </c:pt>
                <c:pt idx="847">
                  <c:v>18.45365049998534</c:v>
                </c:pt>
                <c:pt idx="848">
                  <c:v>18.255645481318759</c:v>
                </c:pt>
                <c:pt idx="849">
                  <c:v>18.061043825905919</c:v>
                </c:pt>
                <c:pt idx="850">
                  <c:v>17.86983274606272</c:v>
                </c:pt>
                <c:pt idx="851">
                  <c:v>17.67343114714582</c:v>
                </c:pt>
                <c:pt idx="852">
                  <c:v>17.484587935761841</c:v>
                </c:pt>
                <c:pt idx="853">
                  <c:v>17.299039169188937</c:v>
                </c:pt>
                <c:pt idx="854">
                  <c:v>17.108476689117246</c:v>
                </c:pt>
                <c:pt idx="855">
                  <c:v>16.923931954640345</c:v>
                </c:pt>
                <c:pt idx="856">
                  <c:v>16.746501867880049</c:v>
                </c:pt>
                <c:pt idx="857">
                  <c:v>16.560329123988478</c:v>
                </c:pt>
                <c:pt idx="858">
                  <c:v>16.381287626786705</c:v>
                </c:pt>
                <c:pt idx="859">
                  <c:v>16.209142511367883</c:v>
                </c:pt>
                <c:pt idx="860">
                  <c:v>16.028545485809708</c:v>
                </c:pt>
                <c:pt idx="861">
                  <c:v>15.854861258392326</c:v>
                </c:pt>
                <c:pt idx="862">
                  <c:v>15.684112852777954</c:v>
                </c:pt>
                <c:pt idx="863">
                  <c:v>15.516399917742948</c:v>
                </c:pt>
                <c:pt idx="864">
                  <c:v>15.344222765404588</c:v>
                </c:pt>
                <c:pt idx="865">
                  <c:v>15.177429463425215</c:v>
                </c:pt>
                <c:pt idx="866">
                  <c:v>15.0170940990766</c:v>
                </c:pt>
                <c:pt idx="867">
                  <c:v>14.84894993433233</c:v>
                </c:pt>
                <c:pt idx="868">
                  <c:v>14.687187173042583</c:v>
                </c:pt>
                <c:pt idx="869">
                  <c:v>14.531681794902305</c:v>
                </c:pt>
                <c:pt idx="870">
                  <c:v>14.368629140957989</c:v>
                </c:pt>
                <c:pt idx="871">
                  <c:v>14.211760938894251</c:v>
                </c:pt>
                <c:pt idx="872">
                  <c:v>14.057610421387363</c:v>
                </c:pt>
                <c:pt idx="873">
                  <c:v>13.906166612408978</c:v>
                </c:pt>
                <c:pt idx="874">
                  <c:v>13.750750733745081</c:v>
                </c:pt>
                <c:pt idx="875">
                  <c:v>13.600229367374215</c:v>
                </c:pt>
                <c:pt idx="876">
                  <c:v>13.455480577933198</c:v>
                </c:pt>
                <c:pt idx="877">
                  <c:v>13.30376225357857</c:v>
                </c:pt>
                <c:pt idx="878">
                  <c:v>13.157828956800852</c:v>
                </c:pt>
                <c:pt idx="879">
                  <c:v>13.0174883566281</c:v>
                </c:pt>
                <c:pt idx="880">
                  <c:v>12.870413360977654</c:v>
                </c:pt>
                <c:pt idx="881">
                  <c:v>12.728942200414945</c:v>
                </c:pt>
                <c:pt idx="882">
                  <c:v>12.592888778443193</c:v>
                </c:pt>
                <c:pt idx="883">
                  <c:v>12.450327644451381</c:v>
                </c:pt>
                <c:pt idx="884">
                  <c:v>12.313194831080136</c:v>
                </c:pt>
                <c:pt idx="885">
                  <c:v>12.177457165183743</c:v>
                </c:pt>
              </c:numCache>
            </c:numRef>
          </c:yVal>
          <c:smooth val="0"/>
        </c:ser>
        <c:ser>
          <c:idx val="3"/>
          <c:order val="3"/>
          <c:tx>
            <c:v>EOH</c:v>
          </c:tx>
          <c:spPr>
            <a:ln w="28575">
              <a:solidFill>
                <a:schemeClr val="accent2"/>
              </a:solidFill>
            </a:ln>
          </c:spPr>
          <c:marker>
            <c:symbol val="none"/>
          </c:marker>
          <c:xVal>
            <c:numRef>
              <c:f>Simulation!$I$7:$I$892</c:f>
              <c:numCache>
                <c:formatCode>General</c:formatCode>
                <c:ptCount val="886"/>
                <c:pt idx="0">
                  <c:v>0</c:v>
                </c:pt>
                <c:pt idx="1">
                  <c:v>0.14058267814961606</c:v>
                </c:pt>
                <c:pt idx="2">
                  <c:v>0.20270608701036968</c:v>
                </c:pt>
                <c:pt idx="3">
                  <c:v>0.32810047960193656</c:v>
                </c:pt>
                <c:pt idx="4">
                  <c:v>0.4831443444082491</c:v>
                </c:pt>
                <c:pt idx="5">
                  <c:v>0.63818818578317271</c:v>
                </c:pt>
                <c:pt idx="6">
                  <c:v>0.7932319802954193</c:v>
                </c:pt>
                <c:pt idx="7">
                  <c:v>0.94827586853308288</c:v>
                </c:pt>
                <c:pt idx="8">
                  <c:v>1.1033196630452664</c:v>
                </c:pt>
                <c:pt idx="9">
                  <c:v>1.2583635512829301</c:v>
                </c:pt>
                <c:pt idx="10">
                  <c:v>1.4134073457951768</c:v>
                </c:pt>
                <c:pt idx="11">
                  <c:v>1.5684512340328405</c:v>
                </c:pt>
                <c:pt idx="12">
                  <c:v>1.7234951222705039</c:v>
                </c:pt>
                <c:pt idx="13">
                  <c:v>1.8785388230572075</c:v>
                </c:pt>
                <c:pt idx="14">
                  <c:v>2.0335827112949345</c:v>
                </c:pt>
                <c:pt idx="15">
                  <c:v>2.188626599532598</c:v>
                </c:pt>
                <c:pt idx="16">
                  <c:v>2.3436704877702619</c:v>
                </c:pt>
                <c:pt idx="17">
                  <c:v>2.4987141885570279</c:v>
                </c:pt>
                <c:pt idx="18">
                  <c:v>2.6537580767946918</c:v>
                </c:pt>
                <c:pt idx="19">
                  <c:v>2.8088019650323552</c:v>
                </c:pt>
                <c:pt idx="20">
                  <c:v>2.9638458532700818</c:v>
                </c:pt>
                <c:pt idx="21">
                  <c:v>3.1188895540567856</c:v>
                </c:pt>
                <c:pt idx="22">
                  <c:v>3.2739336297454091</c:v>
                </c:pt>
                <c:pt idx="23">
                  <c:v>3.428977330532113</c:v>
                </c:pt>
                <c:pt idx="24">
                  <c:v>3.5840210313188163</c:v>
                </c:pt>
                <c:pt idx="25">
                  <c:v>3.7390651070075029</c:v>
                </c:pt>
                <c:pt idx="26">
                  <c:v>3.8941088077942063</c:v>
                </c:pt>
                <c:pt idx="27">
                  <c:v>4.0491525085809101</c:v>
                </c:pt>
                <c:pt idx="28">
                  <c:v>4.2041965842695967</c:v>
                </c:pt>
                <c:pt idx="29">
                  <c:v>4.3592402850563001</c:v>
                </c:pt>
                <c:pt idx="30">
                  <c:v>4.5142843607449237</c:v>
                </c:pt>
                <c:pt idx="31">
                  <c:v>4.669328061531691</c:v>
                </c:pt>
                <c:pt idx="32">
                  <c:v>4.8243717623183944</c:v>
                </c:pt>
                <c:pt idx="33">
                  <c:v>4.9794158380070188</c:v>
                </c:pt>
                <c:pt idx="34">
                  <c:v>5.1344595387937222</c:v>
                </c:pt>
                <c:pt idx="35">
                  <c:v>5.2895032395804256</c:v>
                </c:pt>
                <c:pt idx="36">
                  <c:v>5.4445473152691122</c:v>
                </c:pt>
                <c:pt idx="37">
                  <c:v>5.5995910160558156</c:v>
                </c:pt>
                <c:pt idx="38">
                  <c:v>5.7546350917445022</c:v>
                </c:pt>
                <c:pt idx="39">
                  <c:v>5.9096787925312055</c:v>
                </c:pt>
                <c:pt idx="40">
                  <c:v>6.0647224933179089</c:v>
                </c:pt>
                <c:pt idx="41">
                  <c:v>6.2197665690065334</c:v>
                </c:pt>
                <c:pt idx="42">
                  <c:v>6.374810269793552</c:v>
                </c:pt>
                <c:pt idx="43">
                  <c:v>6.5298539705801284</c:v>
                </c:pt>
                <c:pt idx="44">
                  <c:v>6.6848976713667074</c:v>
                </c:pt>
                <c:pt idx="45">
                  <c:v>6.8399421219572503</c:v>
                </c:pt>
                <c:pt idx="46">
                  <c:v>6.9949858227438275</c:v>
                </c:pt>
                <c:pt idx="47">
                  <c:v>7.1500295235310345</c:v>
                </c:pt>
                <c:pt idx="48">
                  <c:v>7.3050732243176135</c:v>
                </c:pt>
                <c:pt idx="49">
                  <c:v>7.4601169251041908</c:v>
                </c:pt>
                <c:pt idx="50">
                  <c:v>7.6151613756947354</c:v>
                </c:pt>
                <c:pt idx="51">
                  <c:v>7.7702050764813126</c:v>
                </c:pt>
                <c:pt idx="52">
                  <c:v>7.9252487772678908</c:v>
                </c:pt>
                <c:pt idx="53">
                  <c:v>8.080292478055096</c:v>
                </c:pt>
                <c:pt idx="54">
                  <c:v>8.2353361788416759</c:v>
                </c:pt>
                <c:pt idx="55">
                  <c:v>8.3903798796282523</c:v>
                </c:pt>
                <c:pt idx="56">
                  <c:v>8.5454243302187969</c:v>
                </c:pt>
                <c:pt idx="57">
                  <c:v>8.7004680310053732</c:v>
                </c:pt>
                <c:pt idx="58">
                  <c:v>8.8555117317925802</c:v>
                </c:pt>
                <c:pt idx="59">
                  <c:v>9.0105554325791584</c:v>
                </c:pt>
                <c:pt idx="60">
                  <c:v>9.1655991333657365</c:v>
                </c:pt>
                <c:pt idx="61">
                  <c:v>9.3206435839562793</c:v>
                </c:pt>
                <c:pt idx="62">
                  <c:v>9.4756872847428593</c:v>
                </c:pt>
                <c:pt idx="63">
                  <c:v>9.6307309855300662</c:v>
                </c:pt>
                <c:pt idx="64">
                  <c:v>9.7857746863166426</c:v>
                </c:pt>
                <c:pt idx="65">
                  <c:v>9.9408183871032207</c:v>
                </c:pt>
                <c:pt idx="66">
                  <c:v>10.095862837693765</c:v>
                </c:pt>
                <c:pt idx="67">
                  <c:v>10.250906538480342</c:v>
                </c:pt>
                <c:pt idx="68">
                  <c:v>10.40595023926692</c:v>
                </c:pt>
                <c:pt idx="69">
                  <c:v>10.560993940054127</c:v>
                </c:pt>
                <c:pt idx="70">
                  <c:v>10.716037640840705</c:v>
                </c:pt>
                <c:pt idx="71">
                  <c:v>10.871081341627283</c:v>
                </c:pt>
                <c:pt idx="72">
                  <c:v>11.026125792217826</c:v>
                </c:pt>
                <c:pt idx="73">
                  <c:v>11.181169493004406</c:v>
                </c:pt>
                <c:pt idx="74">
                  <c:v>11.336213193791611</c:v>
                </c:pt>
                <c:pt idx="75">
                  <c:v>11.491256894578189</c:v>
                </c:pt>
                <c:pt idx="76">
                  <c:v>11.646300595364766</c:v>
                </c:pt>
                <c:pt idx="77">
                  <c:v>11.801345045955312</c:v>
                </c:pt>
                <c:pt idx="78">
                  <c:v>11.956388746741888</c:v>
                </c:pt>
                <c:pt idx="79">
                  <c:v>12.111432447529095</c:v>
                </c:pt>
                <c:pt idx="80">
                  <c:v>12.266476148315672</c:v>
                </c:pt>
                <c:pt idx="81">
                  <c:v>12.421519849102252</c:v>
                </c:pt>
                <c:pt idx="82">
                  <c:v>12.576564299692794</c:v>
                </c:pt>
                <c:pt idx="83">
                  <c:v>12.731607250675404</c:v>
                </c:pt>
                <c:pt idx="84">
                  <c:v>12.88665170126658</c:v>
                </c:pt>
                <c:pt idx="85">
                  <c:v>13.041696151857122</c:v>
                </c:pt>
                <c:pt idx="86">
                  <c:v>13.196739102839734</c:v>
                </c:pt>
                <c:pt idx="87">
                  <c:v>13.351783553430277</c:v>
                </c:pt>
                <c:pt idx="88">
                  <c:v>13.50682650441289</c:v>
                </c:pt>
                <c:pt idx="89">
                  <c:v>13.661870955003435</c:v>
                </c:pt>
                <c:pt idx="90">
                  <c:v>13.816915405594607</c:v>
                </c:pt>
                <c:pt idx="91">
                  <c:v>13.97195835657722</c:v>
                </c:pt>
                <c:pt idx="92">
                  <c:v>14.127002807167763</c:v>
                </c:pt>
                <c:pt idx="93">
                  <c:v>14.282045758150375</c:v>
                </c:pt>
                <c:pt idx="94">
                  <c:v>14.437090208740917</c:v>
                </c:pt>
                <c:pt idx="95">
                  <c:v>14.59213315972416</c:v>
                </c:pt>
                <c:pt idx="96">
                  <c:v>14.747177610314703</c:v>
                </c:pt>
                <c:pt idx="97">
                  <c:v>14.902222060905247</c:v>
                </c:pt>
                <c:pt idx="98">
                  <c:v>15.057265011887857</c:v>
                </c:pt>
                <c:pt idx="99">
                  <c:v>15.212309462478403</c:v>
                </c:pt>
                <c:pt idx="100">
                  <c:v>15.367352413461642</c:v>
                </c:pt>
                <c:pt idx="101">
                  <c:v>15.522396864052187</c:v>
                </c:pt>
                <c:pt idx="102">
                  <c:v>15.67744131464273</c:v>
                </c:pt>
                <c:pt idx="103">
                  <c:v>15.832484265625343</c:v>
                </c:pt>
                <c:pt idx="104">
                  <c:v>15.987528716215888</c:v>
                </c:pt>
                <c:pt idx="105">
                  <c:v>16.142571667199125</c:v>
                </c:pt>
                <c:pt idx="106">
                  <c:v>16.297616117789669</c:v>
                </c:pt>
                <c:pt idx="107">
                  <c:v>16.452660568380217</c:v>
                </c:pt>
                <c:pt idx="108">
                  <c:v>16.607703519362826</c:v>
                </c:pt>
                <c:pt idx="109">
                  <c:v>16.76274796995337</c:v>
                </c:pt>
                <c:pt idx="110">
                  <c:v>16.917790920936611</c:v>
                </c:pt>
                <c:pt idx="111">
                  <c:v>17.072835371527155</c:v>
                </c:pt>
                <c:pt idx="112">
                  <c:v>17.2278798221177</c:v>
                </c:pt>
                <c:pt idx="113">
                  <c:v>17.382922773100312</c:v>
                </c:pt>
                <c:pt idx="114">
                  <c:v>17.537967223690856</c:v>
                </c:pt>
                <c:pt idx="115">
                  <c:v>17.693010174674097</c:v>
                </c:pt>
                <c:pt idx="116">
                  <c:v>17.848054625264638</c:v>
                </c:pt>
                <c:pt idx="117">
                  <c:v>18.003099075855182</c:v>
                </c:pt>
                <c:pt idx="118">
                  <c:v>18.158142026837798</c:v>
                </c:pt>
                <c:pt idx="119">
                  <c:v>18.313186477428339</c:v>
                </c:pt>
                <c:pt idx="120">
                  <c:v>18.46822942841095</c:v>
                </c:pt>
                <c:pt idx="121">
                  <c:v>18.623273879002124</c:v>
                </c:pt>
                <c:pt idx="122">
                  <c:v>18.778318329592668</c:v>
                </c:pt>
                <c:pt idx="123">
                  <c:v>18.93336128057528</c:v>
                </c:pt>
                <c:pt idx="124">
                  <c:v>19.088405731165821</c:v>
                </c:pt>
                <c:pt idx="125">
                  <c:v>19.243448682148433</c:v>
                </c:pt>
                <c:pt idx="126">
                  <c:v>19.39849313273961</c:v>
                </c:pt>
                <c:pt idx="127">
                  <c:v>19.553536083722218</c:v>
                </c:pt>
                <c:pt idx="128">
                  <c:v>19.708580534312762</c:v>
                </c:pt>
                <c:pt idx="129">
                  <c:v>19.863624984903307</c:v>
                </c:pt>
                <c:pt idx="130">
                  <c:v>20.018667935885919</c:v>
                </c:pt>
                <c:pt idx="131">
                  <c:v>20.173712386476463</c:v>
                </c:pt>
                <c:pt idx="132">
                  <c:v>20.3287553374597</c:v>
                </c:pt>
                <c:pt idx="133">
                  <c:v>20.483799788050248</c:v>
                </c:pt>
                <c:pt idx="134">
                  <c:v>20.638844238640793</c:v>
                </c:pt>
                <c:pt idx="135">
                  <c:v>20.793887189623401</c:v>
                </c:pt>
                <c:pt idx="136">
                  <c:v>20.948931640213946</c:v>
                </c:pt>
                <c:pt idx="137">
                  <c:v>21.103974591197186</c:v>
                </c:pt>
                <c:pt idx="138">
                  <c:v>21.259019041787731</c:v>
                </c:pt>
                <c:pt idx="139">
                  <c:v>21.414063492378276</c:v>
                </c:pt>
                <c:pt idx="140">
                  <c:v>21.569106443360887</c:v>
                </c:pt>
                <c:pt idx="141">
                  <c:v>21.724150893951432</c:v>
                </c:pt>
                <c:pt idx="142">
                  <c:v>21.879193844934672</c:v>
                </c:pt>
                <c:pt idx="143">
                  <c:v>22.034238295525213</c:v>
                </c:pt>
                <c:pt idx="144">
                  <c:v>22.189282746115758</c:v>
                </c:pt>
                <c:pt idx="145">
                  <c:v>22.344325697098373</c:v>
                </c:pt>
                <c:pt idx="146">
                  <c:v>22.499370147688914</c:v>
                </c:pt>
                <c:pt idx="147">
                  <c:v>22.654413098672155</c:v>
                </c:pt>
                <c:pt idx="148">
                  <c:v>22.809457549262699</c:v>
                </c:pt>
                <c:pt idx="149">
                  <c:v>22.964501999853244</c:v>
                </c:pt>
                <c:pt idx="150">
                  <c:v>23.119544950835856</c:v>
                </c:pt>
                <c:pt idx="151">
                  <c:v>23.274589401426397</c:v>
                </c:pt>
                <c:pt idx="152">
                  <c:v>23.429632352409641</c:v>
                </c:pt>
                <c:pt idx="153">
                  <c:v>23.584676803000185</c:v>
                </c:pt>
                <c:pt idx="154">
                  <c:v>23.739719753982794</c:v>
                </c:pt>
                <c:pt idx="155">
                  <c:v>23.894764204573338</c:v>
                </c:pt>
                <c:pt idx="156">
                  <c:v>24.049808655163883</c:v>
                </c:pt>
                <c:pt idx="157">
                  <c:v>24.204851606147123</c:v>
                </c:pt>
                <c:pt idx="158">
                  <c:v>24.359896056737668</c:v>
                </c:pt>
                <c:pt idx="159">
                  <c:v>24.514939007720276</c:v>
                </c:pt>
                <c:pt idx="160">
                  <c:v>24.669983458310824</c:v>
                </c:pt>
                <c:pt idx="161">
                  <c:v>24.825027908901369</c:v>
                </c:pt>
                <c:pt idx="162">
                  <c:v>24.980070859883977</c:v>
                </c:pt>
                <c:pt idx="163">
                  <c:v>25.13511531047515</c:v>
                </c:pt>
                <c:pt idx="164">
                  <c:v>25.290159761065695</c:v>
                </c:pt>
                <c:pt idx="165">
                  <c:v>25.44520421165624</c:v>
                </c:pt>
                <c:pt idx="166">
                  <c:v>25.600245663030918</c:v>
                </c:pt>
                <c:pt idx="167">
                  <c:v>25.755290113621463</c:v>
                </c:pt>
                <c:pt idx="168">
                  <c:v>25.910334564212636</c:v>
                </c:pt>
                <c:pt idx="169">
                  <c:v>26.065379014803181</c:v>
                </c:pt>
                <c:pt idx="170">
                  <c:v>26.220420466177856</c:v>
                </c:pt>
                <c:pt idx="171">
                  <c:v>26.375464916768401</c:v>
                </c:pt>
                <c:pt idx="172">
                  <c:v>26.530509367358945</c:v>
                </c:pt>
                <c:pt idx="173">
                  <c:v>26.685553817949486</c:v>
                </c:pt>
                <c:pt idx="174">
                  <c:v>26.840598268540663</c:v>
                </c:pt>
                <c:pt idx="175">
                  <c:v>26.995639719915342</c:v>
                </c:pt>
                <c:pt idx="176">
                  <c:v>27.150684170505883</c:v>
                </c:pt>
                <c:pt idx="177">
                  <c:v>27.305728621096428</c:v>
                </c:pt>
                <c:pt idx="178">
                  <c:v>27.460773071686976</c:v>
                </c:pt>
                <c:pt idx="179">
                  <c:v>27.615817522278146</c:v>
                </c:pt>
                <c:pt idx="180">
                  <c:v>27.770858973652825</c:v>
                </c:pt>
                <c:pt idx="181">
                  <c:v>27.925903424243369</c:v>
                </c:pt>
                <c:pt idx="182">
                  <c:v>28.080947874833917</c:v>
                </c:pt>
                <c:pt idx="183">
                  <c:v>28.235992325424458</c:v>
                </c:pt>
                <c:pt idx="184">
                  <c:v>28.391036776015003</c:v>
                </c:pt>
                <c:pt idx="185">
                  <c:v>28.546078227390314</c:v>
                </c:pt>
                <c:pt idx="186">
                  <c:v>28.701122677980855</c:v>
                </c:pt>
                <c:pt idx="187">
                  <c:v>28.8561671285714</c:v>
                </c:pt>
                <c:pt idx="188">
                  <c:v>29.011211579161944</c:v>
                </c:pt>
                <c:pt idx="189">
                  <c:v>29.166256029752486</c:v>
                </c:pt>
                <c:pt idx="190">
                  <c:v>29.321297481127797</c:v>
                </c:pt>
                <c:pt idx="191">
                  <c:v>29.476341931718341</c:v>
                </c:pt>
                <c:pt idx="192">
                  <c:v>29.631386382308882</c:v>
                </c:pt>
                <c:pt idx="193">
                  <c:v>29.786430832899427</c:v>
                </c:pt>
                <c:pt idx="194">
                  <c:v>29.941475283489972</c:v>
                </c:pt>
                <c:pt idx="195">
                  <c:v>30.096516734865279</c:v>
                </c:pt>
                <c:pt idx="196">
                  <c:v>30.251561185455824</c:v>
                </c:pt>
                <c:pt idx="197">
                  <c:v>30.406605636046365</c:v>
                </c:pt>
                <c:pt idx="198">
                  <c:v>30.561650086636909</c:v>
                </c:pt>
                <c:pt idx="199">
                  <c:v>30.716694537227454</c:v>
                </c:pt>
                <c:pt idx="200">
                  <c:v>30.871735988602762</c:v>
                </c:pt>
                <c:pt idx="201">
                  <c:v>31.026780439193306</c:v>
                </c:pt>
                <c:pt idx="202">
                  <c:v>31.181824889783851</c:v>
                </c:pt>
                <c:pt idx="203">
                  <c:v>31.336869340374392</c:v>
                </c:pt>
                <c:pt idx="204">
                  <c:v>31.491913790964936</c:v>
                </c:pt>
                <c:pt idx="205">
                  <c:v>31.646955242340244</c:v>
                </c:pt>
                <c:pt idx="206">
                  <c:v>31.801999692930789</c:v>
                </c:pt>
                <c:pt idx="207">
                  <c:v>31.957044143521333</c:v>
                </c:pt>
                <c:pt idx="208">
                  <c:v>32.112088594111881</c:v>
                </c:pt>
                <c:pt idx="209">
                  <c:v>32.267133044702426</c:v>
                </c:pt>
                <c:pt idx="210">
                  <c:v>32.42217449607773</c:v>
                </c:pt>
                <c:pt idx="211">
                  <c:v>32.577218946668275</c:v>
                </c:pt>
                <c:pt idx="212">
                  <c:v>32.732263397258819</c:v>
                </c:pt>
                <c:pt idx="213">
                  <c:v>32.887307847849364</c:v>
                </c:pt>
                <c:pt idx="214">
                  <c:v>33.042352298439909</c:v>
                </c:pt>
                <c:pt idx="215">
                  <c:v>33.197393749815213</c:v>
                </c:pt>
                <c:pt idx="216">
                  <c:v>33.352438200405764</c:v>
                </c:pt>
                <c:pt idx="217">
                  <c:v>33.507482650996302</c:v>
                </c:pt>
                <c:pt idx="218">
                  <c:v>33.662527101586846</c:v>
                </c:pt>
                <c:pt idx="219">
                  <c:v>33.817571552177391</c:v>
                </c:pt>
                <c:pt idx="220">
                  <c:v>33.972613003552702</c:v>
                </c:pt>
                <c:pt idx="221">
                  <c:v>34.127657454143247</c:v>
                </c:pt>
                <c:pt idx="222">
                  <c:v>34.282701904733791</c:v>
                </c:pt>
                <c:pt idx="223">
                  <c:v>34.437746355324329</c:v>
                </c:pt>
                <c:pt idx="224">
                  <c:v>34.592790805914873</c:v>
                </c:pt>
                <c:pt idx="225">
                  <c:v>34.747832257290185</c:v>
                </c:pt>
                <c:pt idx="226">
                  <c:v>34.902876707880729</c:v>
                </c:pt>
                <c:pt idx="227">
                  <c:v>35.057921158471274</c:v>
                </c:pt>
                <c:pt idx="228">
                  <c:v>35.212965609061811</c:v>
                </c:pt>
                <c:pt idx="229">
                  <c:v>35.368010059652356</c:v>
                </c:pt>
                <c:pt idx="230">
                  <c:v>35.523051511027035</c:v>
                </c:pt>
                <c:pt idx="231">
                  <c:v>35.678095961618212</c:v>
                </c:pt>
                <c:pt idx="232">
                  <c:v>35.833140412208756</c:v>
                </c:pt>
                <c:pt idx="233">
                  <c:v>35.988184862799301</c:v>
                </c:pt>
                <c:pt idx="234">
                  <c:v>36.143226314173972</c:v>
                </c:pt>
                <c:pt idx="235">
                  <c:v>36.298270764764524</c:v>
                </c:pt>
                <c:pt idx="236">
                  <c:v>36.453315215355694</c:v>
                </c:pt>
                <c:pt idx="237">
                  <c:v>36.608359665946239</c:v>
                </c:pt>
                <c:pt idx="238">
                  <c:v>36.763404116536783</c:v>
                </c:pt>
                <c:pt idx="239">
                  <c:v>36.918445567911462</c:v>
                </c:pt>
                <c:pt idx="240">
                  <c:v>37.073490018502007</c:v>
                </c:pt>
                <c:pt idx="241">
                  <c:v>37.228534469092551</c:v>
                </c:pt>
                <c:pt idx="242">
                  <c:v>37.383578919683721</c:v>
                </c:pt>
                <c:pt idx="243">
                  <c:v>37.538623370274273</c:v>
                </c:pt>
                <c:pt idx="244">
                  <c:v>37.693664821648944</c:v>
                </c:pt>
                <c:pt idx="245">
                  <c:v>37.848709272239489</c:v>
                </c:pt>
                <c:pt idx="246">
                  <c:v>38.003753722830034</c:v>
                </c:pt>
                <c:pt idx="247">
                  <c:v>38.158798173421211</c:v>
                </c:pt>
                <c:pt idx="248">
                  <c:v>38.313842624011755</c:v>
                </c:pt>
                <c:pt idx="249">
                  <c:v>38.468884075386434</c:v>
                </c:pt>
                <c:pt idx="250">
                  <c:v>38.623928525976972</c:v>
                </c:pt>
                <c:pt idx="251">
                  <c:v>38.778972976567516</c:v>
                </c:pt>
                <c:pt idx="252">
                  <c:v>38.934017427158061</c:v>
                </c:pt>
                <c:pt idx="253">
                  <c:v>39.089061877749238</c:v>
                </c:pt>
                <c:pt idx="254">
                  <c:v>39.244103329123917</c:v>
                </c:pt>
                <c:pt idx="255">
                  <c:v>39.399147779714454</c:v>
                </c:pt>
                <c:pt idx="256">
                  <c:v>39.554192230304999</c:v>
                </c:pt>
                <c:pt idx="257">
                  <c:v>39.709236680895543</c:v>
                </c:pt>
                <c:pt idx="258">
                  <c:v>39.86428113148672</c:v>
                </c:pt>
                <c:pt idx="259">
                  <c:v>40.019322582861399</c:v>
                </c:pt>
                <c:pt idx="260">
                  <c:v>40.174367033451944</c:v>
                </c:pt>
                <c:pt idx="261">
                  <c:v>40.329411484042481</c:v>
                </c:pt>
                <c:pt idx="262">
                  <c:v>40.484455934633033</c:v>
                </c:pt>
                <c:pt idx="263">
                  <c:v>40.639500385223577</c:v>
                </c:pt>
                <c:pt idx="264">
                  <c:v>40.794541836598881</c:v>
                </c:pt>
                <c:pt idx="265">
                  <c:v>40.949586287189426</c:v>
                </c:pt>
                <c:pt idx="266">
                  <c:v>41.104630737779971</c:v>
                </c:pt>
                <c:pt idx="267">
                  <c:v>41.259675188370515</c:v>
                </c:pt>
                <c:pt idx="268">
                  <c:v>41.41471963896106</c:v>
                </c:pt>
                <c:pt idx="269">
                  <c:v>41.569761090336364</c:v>
                </c:pt>
                <c:pt idx="270">
                  <c:v>41.724805540926916</c:v>
                </c:pt>
                <c:pt idx="271">
                  <c:v>41.879849991517453</c:v>
                </c:pt>
                <c:pt idx="272">
                  <c:v>42.034894442107998</c:v>
                </c:pt>
                <c:pt idx="273">
                  <c:v>42.189938892698542</c:v>
                </c:pt>
                <c:pt idx="274">
                  <c:v>42.344980344073853</c:v>
                </c:pt>
                <c:pt idx="275">
                  <c:v>42.500024794664398</c:v>
                </c:pt>
                <c:pt idx="276">
                  <c:v>42.655069245254943</c:v>
                </c:pt>
                <c:pt idx="277">
                  <c:v>42.81011369584548</c:v>
                </c:pt>
                <c:pt idx="278">
                  <c:v>42.965158146436025</c:v>
                </c:pt>
                <c:pt idx="279">
                  <c:v>43.120199597811336</c:v>
                </c:pt>
                <c:pt idx="280">
                  <c:v>43.275244048401881</c:v>
                </c:pt>
                <c:pt idx="281">
                  <c:v>43.430288498992425</c:v>
                </c:pt>
                <c:pt idx="282">
                  <c:v>43.585332949582963</c:v>
                </c:pt>
                <c:pt idx="283">
                  <c:v>43.740377400173507</c:v>
                </c:pt>
                <c:pt idx="284">
                  <c:v>43.895418851548818</c:v>
                </c:pt>
                <c:pt idx="285">
                  <c:v>44.050463302139363</c:v>
                </c:pt>
                <c:pt idx="286">
                  <c:v>44.205507752729908</c:v>
                </c:pt>
                <c:pt idx="287">
                  <c:v>44.360552203320452</c:v>
                </c:pt>
                <c:pt idx="288">
                  <c:v>44.51559665391099</c:v>
                </c:pt>
                <c:pt idx="289">
                  <c:v>44.670638105286301</c:v>
                </c:pt>
                <c:pt idx="290">
                  <c:v>44.825682555876845</c:v>
                </c:pt>
                <c:pt idx="291">
                  <c:v>44.98072700646739</c:v>
                </c:pt>
                <c:pt idx="292">
                  <c:v>45.135771457057935</c:v>
                </c:pt>
                <c:pt idx="293">
                  <c:v>45.290815907648479</c:v>
                </c:pt>
                <c:pt idx="294">
                  <c:v>45.445857359023783</c:v>
                </c:pt>
                <c:pt idx="295">
                  <c:v>45.600901809614328</c:v>
                </c:pt>
                <c:pt idx="296">
                  <c:v>45.75594626020488</c:v>
                </c:pt>
                <c:pt idx="297">
                  <c:v>45.910990710795424</c:v>
                </c:pt>
                <c:pt idx="298">
                  <c:v>46.066032162170728</c:v>
                </c:pt>
                <c:pt idx="299">
                  <c:v>46.221076612761266</c:v>
                </c:pt>
                <c:pt idx="300">
                  <c:v>46.376121063351817</c:v>
                </c:pt>
                <c:pt idx="301">
                  <c:v>46.531165513942362</c:v>
                </c:pt>
                <c:pt idx="302">
                  <c:v>46.686209964532907</c:v>
                </c:pt>
                <c:pt idx="303">
                  <c:v>46.841251415907585</c:v>
                </c:pt>
                <c:pt idx="304">
                  <c:v>46.996295866498755</c:v>
                </c:pt>
                <c:pt idx="305">
                  <c:v>47.1513403170893</c:v>
                </c:pt>
                <c:pt idx="306">
                  <c:v>47.306384767679845</c:v>
                </c:pt>
                <c:pt idx="307">
                  <c:v>47.461429218270389</c:v>
                </c:pt>
                <c:pt idx="308">
                  <c:v>47.616470669645068</c:v>
                </c:pt>
                <c:pt idx="309">
                  <c:v>47.771515120235613</c:v>
                </c:pt>
                <c:pt idx="310">
                  <c:v>47.926559570826782</c:v>
                </c:pt>
                <c:pt idx="311">
                  <c:v>48.081604021417327</c:v>
                </c:pt>
                <c:pt idx="312">
                  <c:v>48.236648472007872</c:v>
                </c:pt>
                <c:pt idx="313">
                  <c:v>48.39168992338255</c:v>
                </c:pt>
                <c:pt idx="314">
                  <c:v>48.546734373973095</c:v>
                </c:pt>
                <c:pt idx="315">
                  <c:v>48.701778824564265</c:v>
                </c:pt>
                <c:pt idx="316">
                  <c:v>48.856823275154809</c:v>
                </c:pt>
                <c:pt idx="317">
                  <c:v>49.011867725745354</c:v>
                </c:pt>
                <c:pt idx="318">
                  <c:v>49.166909177120033</c:v>
                </c:pt>
                <c:pt idx="319">
                  <c:v>49.321953627710577</c:v>
                </c:pt>
                <c:pt idx="320">
                  <c:v>49.476998078301122</c:v>
                </c:pt>
                <c:pt idx="321">
                  <c:v>49.632042528892292</c:v>
                </c:pt>
                <c:pt idx="322">
                  <c:v>49.787086979482837</c:v>
                </c:pt>
                <c:pt idx="323">
                  <c:v>49.942128430857515</c:v>
                </c:pt>
                <c:pt idx="324">
                  <c:v>50.097172881448067</c:v>
                </c:pt>
                <c:pt idx="325">
                  <c:v>50.252217332038605</c:v>
                </c:pt>
                <c:pt idx="326">
                  <c:v>50.407258783413909</c:v>
                </c:pt>
                <c:pt idx="327">
                  <c:v>50.562306233220326</c:v>
                </c:pt>
                <c:pt idx="328">
                  <c:v>50.717347684594998</c:v>
                </c:pt>
                <c:pt idx="329">
                  <c:v>50.872395134401415</c:v>
                </c:pt>
                <c:pt idx="330">
                  <c:v>51.027436585776087</c:v>
                </c:pt>
                <c:pt idx="331">
                  <c:v>51.182478037151398</c:v>
                </c:pt>
                <c:pt idx="332">
                  <c:v>51.337525486957809</c:v>
                </c:pt>
                <c:pt idx="333">
                  <c:v>51.49256693833248</c:v>
                </c:pt>
                <c:pt idx="334">
                  <c:v>51.647614388138898</c:v>
                </c:pt>
                <c:pt idx="335">
                  <c:v>51.802655839513577</c:v>
                </c:pt>
                <c:pt idx="336">
                  <c:v>51.957697290888881</c:v>
                </c:pt>
                <c:pt idx="337">
                  <c:v>52.112744740695291</c:v>
                </c:pt>
                <c:pt idx="338">
                  <c:v>52.267786192069963</c:v>
                </c:pt>
                <c:pt idx="339">
                  <c:v>52.42283364187638</c:v>
                </c:pt>
                <c:pt idx="340">
                  <c:v>52.577875093251066</c:v>
                </c:pt>
                <c:pt idx="341">
                  <c:v>52.732916544626363</c:v>
                </c:pt>
                <c:pt idx="342">
                  <c:v>52.887963994432148</c:v>
                </c:pt>
                <c:pt idx="343">
                  <c:v>53.043005445807459</c:v>
                </c:pt>
                <c:pt idx="344">
                  <c:v>53.198052895613863</c:v>
                </c:pt>
                <c:pt idx="345">
                  <c:v>53.353094346988549</c:v>
                </c:pt>
                <c:pt idx="346">
                  <c:v>53.508135798363853</c:v>
                </c:pt>
                <c:pt idx="347">
                  <c:v>53.663183248169631</c:v>
                </c:pt>
                <c:pt idx="348">
                  <c:v>53.818224699544942</c:v>
                </c:pt>
                <c:pt idx="349">
                  <c:v>53.973272149351345</c:v>
                </c:pt>
                <c:pt idx="350">
                  <c:v>54.128313600726031</c:v>
                </c:pt>
                <c:pt idx="351">
                  <c:v>54.283355052101342</c:v>
                </c:pt>
                <c:pt idx="352">
                  <c:v>54.438402501907113</c:v>
                </c:pt>
                <c:pt idx="353">
                  <c:v>54.593443953282424</c:v>
                </c:pt>
                <c:pt idx="354">
                  <c:v>54.748491403088828</c:v>
                </c:pt>
                <c:pt idx="355">
                  <c:v>54.903532854463514</c:v>
                </c:pt>
                <c:pt idx="356">
                  <c:v>55.058574305838825</c:v>
                </c:pt>
                <c:pt idx="357">
                  <c:v>55.213621755644603</c:v>
                </c:pt>
                <c:pt idx="358">
                  <c:v>55.368663207019907</c:v>
                </c:pt>
                <c:pt idx="359">
                  <c:v>55.52371065682631</c:v>
                </c:pt>
                <c:pt idx="360">
                  <c:v>55.678752108200996</c:v>
                </c:pt>
                <c:pt idx="361">
                  <c:v>55.833793559576307</c:v>
                </c:pt>
                <c:pt idx="362">
                  <c:v>55.988841009382085</c:v>
                </c:pt>
                <c:pt idx="363">
                  <c:v>56.143882460757389</c:v>
                </c:pt>
                <c:pt idx="364">
                  <c:v>56.298929910563167</c:v>
                </c:pt>
                <c:pt idx="365">
                  <c:v>56.453971361938478</c:v>
                </c:pt>
                <c:pt idx="366">
                  <c:v>56.60901281331379</c:v>
                </c:pt>
                <c:pt idx="367">
                  <c:v>56.764060263119568</c:v>
                </c:pt>
                <c:pt idx="368">
                  <c:v>56.919101714494872</c:v>
                </c:pt>
                <c:pt idx="369">
                  <c:v>57.07414916430065</c:v>
                </c:pt>
                <c:pt idx="370">
                  <c:v>57.229190615675961</c:v>
                </c:pt>
                <c:pt idx="371">
                  <c:v>57.384232067050647</c:v>
                </c:pt>
                <c:pt idx="372">
                  <c:v>57.53927951685705</c:v>
                </c:pt>
                <c:pt idx="373">
                  <c:v>57.694320968232361</c:v>
                </c:pt>
                <c:pt idx="374">
                  <c:v>57.849368418038139</c:v>
                </c:pt>
                <c:pt idx="375">
                  <c:v>58.004409869413443</c:v>
                </c:pt>
                <c:pt idx="376">
                  <c:v>58.159451320788129</c:v>
                </c:pt>
                <c:pt idx="377">
                  <c:v>58.314498770594533</c:v>
                </c:pt>
                <c:pt idx="378">
                  <c:v>58.469540221969844</c:v>
                </c:pt>
                <c:pt idx="379">
                  <c:v>58.624587671775622</c:v>
                </c:pt>
                <c:pt idx="380">
                  <c:v>58.779629123150926</c:v>
                </c:pt>
                <c:pt idx="381">
                  <c:v>58.934670574525612</c:v>
                </c:pt>
                <c:pt idx="382">
                  <c:v>59.089718024332015</c:v>
                </c:pt>
                <c:pt idx="383">
                  <c:v>59.244759475707326</c:v>
                </c:pt>
                <c:pt idx="384">
                  <c:v>59.399806925513104</c:v>
                </c:pt>
                <c:pt idx="385">
                  <c:v>59.554848376888408</c:v>
                </c:pt>
                <c:pt idx="386">
                  <c:v>59.709889828263094</c:v>
                </c:pt>
                <c:pt idx="387">
                  <c:v>59.864937278069497</c:v>
                </c:pt>
                <c:pt idx="388">
                  <c:v>60.019978729444809</c:v>
                </c:pt>
                <c:pt idx="389">
                  <c:v>60.175020180819494</c:v>
                </c:pt>
                <c:pt idx="390">
                  <c:v>60.330067630625898</c:v>
                </c:pt>
                <c:pt idx="391">
                  <c:v>60.485109082000577</c:v>
                </c:pt>
                <c:pt idx="392">
                  <c:v>60.640156531806994</c:v>
                </c:pt>
                <c:pt idx="393">
                  <c:v>60.795197983181666</c:v>
                </c:pt>
                <c:pt idx="394">
                  <c:v>60.950239434556977</c:v>
                </c:pt>
                <c:pt idx="395">
                  <c:v>61.10528688436338</c:v>
                </c:pt>
                <c:pt idx="396">
                  <c:v>61.260328335738059</c:v>
                </c:pt>
                <c:pt idx="397">
                  <c:v>61.415375785544477</c:v>
                </c:pt>
                <c:pt idx="398">
                  <c:v>61.570417236919148</c:v>
                </c:pt>
                <c:pt idx="399">
                  <c:v>61.725458688294459</c:v>
                </c:pt>
                <c:pt idx="400">
                  <c:v>61.88050613810087</c:v>
                </c:pt>
                <c:pt idx="401">
                  <c:v>62.035547589475541</c:v>
                </c:pt>
                <c:pt idx="402">
                  <c:v>62.190595039281959</c:v>
                </c:pt>
                <c:pt idx="403">
                  <c:v>62.345636490656631</c:v>
                </c:pt>
                <c:pt idx="404">
                  <c:v>62.500677942031942</c:v>
                </c:pt>
                <c:pt idx="405">
                  <c:v>62.655725391838352</c:v>
                </c:pt>
                <c:pt idx="406">
                  <c:v>62.810766843213031</c:v>
                </c:pt>
                <c:pt idx="407">
                  <c:v>62.965814293017552</c:v>
                </c:pt>
                <c:pt idx="408">
                  <c:v>63.120855744391598</c:v>
                </c:pt>
                <c:pt idx="409">
                  <c:v>63.27589719577194</c:v>
                </c:pt>
                <c:pt idx="410">
                  <c:v>63.430944645575202</c:v>
                </c:pt>
                <c:pt idx="411">
                  <c:v>63.585986096949263</c:v>
                </c:pt>
                <c:pt idx="412">
                  <c:v>63.741033546758814</c:v>
                </c:pt>
                <c:pt idx="413">
                  <c:v>63.89607499813286</c:v>
                </c:pt>
                <c:pt idx="414">
                  <c:v>64.051116449506907</c:v>
                </c:pt>
                <c:pt idx="415">
                  <c:v>64.20616389931017</c:v>
                </c:pt>
                <c:pt idx="416">
                  <c:v>64.361205350690511</c:v>
                </c:pt>
                <c:pt idx="417">
                  <c:v>64.516252800493788</c:v>
                </c:pt>
                <c:pt idx="418">
                  <c:v>64.671294251867835</c:v>
                </c:pt>
                <c:pt idx="419">
                  <c:v>64.826335703241881</c:v>
                </c:pt>
                <c:pt idx="420">
                  <c:v>64.981383153051425</c:v>
                </c:pt>
                <c:pt idx="421">
                  <c:v>65.136424604425471</c:v>
                </c:pt>
                <c:pt idx="422">
                  <c:v>65.291472054228748</c:v>
                </c:pt>
                <c:pt idx="423">
                  <c:v>65.44651350560909</c:v>
                </c:pt>
                <c:pt idx="424">
                  <c:v>65.601554956983136</c:v>
                </c:pt>
                <c:pt idx="425">
                  <c:v>65.756602406786399</c:v>
                </c:pt>
                <c:pt idx="426">
                  <c:v>65.911643858160446</c:v>
                </c:pt>
                <c:pt idx="427">
                  <c:v>66.066691307970004</c:v>
                </c:pt>
                <c:pt idx="428">
                  <c:v>66.221732759344064</c:v>
                </c:pt>
                <c:pt idx="429">
                  <c:v>66.376774210718111</c:v>
                </c:pt>
                <c:pt idx="430">
                  <c:v>66.531821660527655</c:v>
                </c:pt>
                <c:pt idx="431">
                  <c:v>66.686863111901701</c:v>
                </c:pt>
                <c:pt idx="432">
                  <c:v>66.841910561704964</c:v>
                </c:pt>
                <c:pt idx="433">
                  <c:v>66.996952013079024</c:v>
                </c:pt>
                <c:pt idx="434">
                  <c:v>67.151993464459366</c:v>
                </c:pt>
                <c:pt idx="435">
                  <c:v>67.307040914262629</c:v>
                </c:pt>
                <c:pt idx="436">
                  <c:v>67.462082365636675</c:v>
                </c:pt>
                <c:pt idx="437">
                  <c:v>67.617129815446233</c:v>
                </c:pt>
                <c:pt idx="438">
                  <c:v>67.77217126682028</c:v>
                </c:pt>
                <c:pt idx="439">
                  <c:v>67.92721271819434</c:v>
                </c:pt>
                <c:pt idx="440">
                  <c:v>68.082260167997603</c:v>
                </c:pt>
                <c:pt idx="441">
                  <c:v>68.237301619377931</c:v>
                </c:pt>
                <c:pt idx="442">
                  <c:v>68.392349069181193</c:v>
                </c:pt>
                <c:pt idx="443">
                  <c:v>68.54739052055524</c:v>
                </c:pt>
                <c:pt idx="444">
                  <c:v>68.702431971929286</c:v>
                </c:pt>
                <c:pt idx="445">
                  <c:v>68.857479421738859</c:v>
                </c:pt>
                <c:pt idx="446">
                  <c:v>69.012520873112905</c:v>
                </c:pt>
                <c:pt idx="447">
                  <c:v>69.167568322916168</c:v>
                </c:pt>
                <c:pt idx="448">
                  <c:v>69.322609774296509</c:v>
                </c:pt>
                <c:pt idx="449">
                  <c:v>69.477651225670556</c:v>
                </c:pt>
                <c:pt idx="450">
                  <c:v>69.632698675473819</c:v>
                </c:pt>
                <c:pt idx="451">
                  <c:v>69.787740126847879</c:v>
                </c:pt>
                <c:pt idx="452">
                  <c:v>69.942787576657423</c:v>
                </c:pt>
                <c:pt idx="453">
                  <c:v>70.09782902803147</c:v>
                </c:pt>
                <c:pt idx="454">
                  <c:v>70.252870479405516</c:v>
                </c:pt>
                <c:pt idx="455">
                  <c:v>70.407917929215074</c:v>
                </c:pt>
                <c:pt idx="456">
                  <c:v>70.562959380589135</c:v>
                </c:pt>
                <c:pt idx="457">
                  <c:v>70.718006830392397</c:v>
                </c:pt>
                <c:pt idx="458">
                  <c:v>70.873048281766444</c:v>
                </c:pt>
                <c:pt idx="459">
                  <c:v>71.028089733146786</c:v>
                </c:pt>
                <c:pt idx="460">
                  <c:v>71.183137182950048</c:v>
                </c:pt>
                <c:pt idx="461">
                  <c:v>71.338178634324095</c:v>
                </c:pt>
                <c:pt idx="462">
                  <c:v>71.493226084133653</c:v>
                </c:pt>
                <c:pt idx="463">
                  <c:v>71.648267535507699</c:v>
                </c:pt>
                <c:pt idx="464">
                  <c:v>71.803308986881746</c:v>
                </c:pt>
                <c:pt idx="465">
                  <c:v>71.958356436685008</c:v>
                </c:pt>
                <c:pt idx="466">
                  <c:v>72.11339788806535</c:v>
                </c:pt>
                <c:pt idx="467">
                  <c:v>72.268445337868613</c:v>
                </c:pt>
                <c:pt idx="468">
                  <c:v>72.423486789242673</c:v>
                </c:pt>
                <c:pt idx="469">
                  <c:v>72.57852824061672</c:v>
                </c:pt>
                <c:pt idx="470">
                  <c:v>72.733575690426278</c:v>
                </c:pt>
                <c:pt idx="471">
                  <c:v>72.888617141800324</c:v>
                </c:pt>
                <c:pt idx="472">
                  <c:v>73.043664591603587</c:v>
                </c:pt>
                <c:pt idx="473">
                  <c:v>73.198706042983915</c:v>
                </c:pt>
                <c:pt idx="474">
                  <c:v>73.353747494357975</c:v>
                </c:pt>
                <c:pt idx="475">
                  <c:v>73.508794944161238</c:v>
                </c:pt>
                <c:pt idx="476">
                  <c:v>73.663836395535284</c:v>
                </c:pt>
                <c:pt idx="477">
                  <c:v>73.818883845344843</c:v>
                </c:pt>
                <c:pt idx="478">
                  <c:v>73.973925296718889</c:v>
                </c:pt>
                <c:pt idx="479">
                  <c:v>74.12896674809295</c:v>
                </c:pt>
                <c:pt idx="480">
                  <c:v>74.284014197902508</c:v>
                </c:pt>
                <c:pt idx="481">
                  <c:v>74.439055649276554</c:v>
                </c:pt>
                <c:pt idx="482">
                  <c:v>74.594103099079817</c:v>
                </c:pt>
                <c:pt idx="483">
                  <c:v>74.749144550453863</c:v>
                </c:pt>
                <c:pt idx="484">
                  <c:v>74.904186001834191</c:v>
                </c:pt>
                <c:pt idx="485">
                  <c:v>75.059233451637468</c:v>
                </c:pt>
                <c:pt idx="486">
                  <c:v>75.214274903011514</c:v>
                </c:pt>
                <c:pt idx="487">
                  <c:v>75.369322352821072</c:v>
                </c:pt>
                <c:pt idx="488">
                  <c:v>75.524363804195119</c:v>
                </c:pt>
                <c:pt idx="489">
                  <c:v>75.679405255569165</c:v>
                </c:pt>
                <c:pt idx="490">
                  <c:v>75.834452705372428</c:v>
                </c:pt>
                <c:pt idx="491">
                  <c:v>75.989494156752784</c:v>
                </c:pt>
                <c:pt idx="492">
                  <c:v>76.144541606556047</c:v>
                </c:pt>
                <c:pt idx="493">
                  <c:v>76.299583057930093</c:v>
                </c:pt>
                <c:pt idx="494">
                  <c:v>76.454624509304139</c:v>
                </c:pt>
                <c:pt idx="495">
                  <c:v>76.609671959113683</c:v>
                </c:pt>
                <c:pt idx="496">
                  <c:v>76.764713410487744</c:v>
                </c:pt>
                <c:pt idx="497">
                  <c:v>76.919760860291007</c:v>
                </c:pt>
                <c:pt idx="498">
                  <c:v>77.074802311671348</c:v>
                </c:pt>
                <c:pt idx="499">
                  <c:v>77.229843763045395</c:v>
                </c:pt>
                <c:pt idx="500">
                  <c:v>77.384891212848657</c:v>
                </c:pt>
                <c:pt idx="501">
                  <c:v>77.539932664222704</c:v>
                </c:pt>
                <c:pt idx="502">
                  <c:v>77.694980114032276</c:v>
                </c:pt>
                <c:pt idx="503">
                  <c:v>77.850021565406323</c:v>
                </c:pt>
                <c:pt idx="504">
                  <c:v>78.005063016780369</c:v>
                </c:pt>
                <c:pt idx="505">
                  <c:v>78.160110466589913</c:v>
                </c:pt>
                <c:pt idx="506">
                  <c:v>78.315151917963959</c:v>
                </c:pt>
                <c:pt idx="507">
                  <c:v>78.470199367767236</c:v>
                </c:pt>
                <c:pt idx="508">
                  <c:v>78.625240819141283</c:v>
                </c:pt>
                <c:pt idx="509">
                  <c:v>78.780282270515329</c:v>
                </c:pt>
                <c:pt idx="510">
                  <c:v>78.935329720324887</c:v>
                </c:pt>
                <c:pt idx="511">
                  <c:v>79.090371171698933</c:v>
                </c:pt>
                <c:pt idx="512">
                  <c:v>79.245418621508492</c:v>
                </c:pt>
                <c:pt idx="513">
                  <c:v>79.400460072882552</c:v>
                </c:pt>
                <c:pt idx="514">
                  <c:v>79.555501524256599</c:v>
                </c:pt>
                <c:pt idx="515">
                  <c:v>79.710548974059861</c:v>
                </c:pt>
                <c:pt idx="516">
                  <c:v>79.865590425433908</c:v>
                </c:pt>
                <c:pt idx="517">
                  <c:v>80.020631876814235</c:v>
                </c:pt>
                <c:pt idx="518">
                  <c:v>80.175679326617512</c:v>
                </c:pt>
                <c:pt idx="519">
                  <c:v>80.330720777991559</c:v>
                </c:pt>
                <c:pt idx="520">
                  <c:v>80.485768227801117</c:v>
                </c:pt>
                <c:pt idx="521">
                  <c:v>80.640809679175163</c:v>
                </c:pt>
                <c:pt idx="522">
                  <c:v>80.79585113054921</c:v>
                </c:pt>
                <c:pt idx="523">
                  <c:v>80.950898580358768</c:v>
                </c:pt>
                <c:pt idx="524">
                  <c:v>81.105940031732828</c:v>
                </c:pt>
                <c:pt idx="525">
                  <c:v>81.260987481536091</c:v>
                </c:pt>
                <c:pt idx="526">
                  <c:v>81.416028932910137</c:v>
                </c:pt>
                <c:pt idx="527">
                  <c:v>81.571070384284184</c:v>
                </c:pt>
                <c:pt idx="528">
                  <c:v>81.726117834093728</c:v>
                </c:pt>
                <c:pt idx="529">
                  <c:v>81.881159285467774</c:v>
                </c:pt>
                <c:pt idx="530">
                  <c:v>82.036206735277332</c:v>
                </c:pt>
                <c:pt idx="531">
                  <c:v>82.191248186651393</c:v>
                </c:pt>
                <c:pt idx="532">
                  <c:v>82.346289638025439</c:v>
                </c:pt>
                <c:pt idx="533">
                  <c:v>82.501337087828702</c:v>
                </c:pt>
                <c:pt idx="534">
                  <c:v>82.656378539202748</c:v>
                </c:pt>
                <c:pt idx="535">
                  <c:v>82.811425989012307</c:v>
                </c:pt>
                <c:pt idx="536">
                  <c:v>82.966467440386367</c:v>
                </c:pt>
                <c:pt idx="537">
                  <c:v>83.121508891760413</c:v>
                </c:pt>
                <c:pt idx="538">
                  <c:v>83.276556341569957</c:v>
                </c:pt>
                <c:pt idx="539">
                  <c:v>83.431597792944004</c:v>
                </c:pt>
                <c:pt idx="540">
                  <c:v>83.586645242747267</c:v>
                </c:pt>
                <c:pt idx="541">
                  <c:v>83.741686694121327</c:v>
                </c:pt>
                <c:pt idx="542">
                  <c:v>83.896728145501669</c:v>
                </c:pt>
                <c:pt idx="543">
                  <c:v>84.051775595304932</c:v>
                </c:pt>
                <c:pt idx="544">
                  <c:v>84.206817046678978</c:v>
                </c:pt>
                <c:pt idx="545">
                  <c:v>84.361864496488536</c:v>
                </c:pt>
                <c:pt idx="546">
                  <c:v>84.516905947862583</c:v>
                </c:pt>
                <c:pt idx="547">
                  <c:v>84.671947399236643</c:v>
                </c:pt>
                <c:pt idx="548">
                  <c:v>84.826994849039906</c:v>
                </c:pt>
                <c:pt idx="549">
                  <c:v>84.982036300420233</c:v>
                </c:pt>
                <c:pt idx="550">
                  <c:v>85.137083750223496</c:v>
                </c:pt>
                <c:pt idx="551">
                  <c:v>85.292125201597543</c:v>
                </c:pt>
                <c:pt idx="552">
                  <c:v>85.447166652971603</c:v>
                </c:pt>
                <c:pt idx="553">
                  <c:v>85.602214102781161</c:v>
                </c:pt>
                <c:pt idx="554">
                  <c:v>85.757255554155208</c:v>
                </c:pt>
                <c:pt idx="555">
                  <c:v>85.912303003958471</c:v>
                </c:pt>
                <c:pt idx="556">
                  <c:v>86.067344455338812</c:v>
                </c:pt>
                <c:pt idx="557">
                  <c:v>86.222385906712859</c:v>
                </c:pt>
                <c:pt idx="558">
                  <c:v>86.377433356516121</c:v>
                </c:pt>
                <c:pt idx="559">
                  <c:v>86.532474807890182</c:v>
                </c:pt>
                <c:pt idx="560">
                  <c:v>86.687522257699726</c:v>
                </c:pt>
                <c:pt idx="561">
                  <c:v>86.842563709073772</c:v>
                </c:pt>
                <c:pt idx="562">
                  <c:v>86.997605160447819</c:v>
                </c:pt>
                <c:pt idx="563">
                  <c:v>87.152652610257377</c:v>
                </c:pt>
                <c:pt idx="564">
                  <c:v>87.307694061631437</c:v>
                </c:pt>
                <c:pt idx="565">
                  <c:v>87.4627415114347</c:v>
                </c:pt>
                <c:pt idx="566">
                  <c:v>87.617782962808747</c:v>
                </c:pt>
                <c:pt idx="567">
                  <c:v>87.772824414189088</c:v>
                </c:pt>
                <c:pt idx="568">
                  <c:v>87.927871863992351</c:v>
                </c:pt>
                <c:pt idx="569">
                  <c:v>88.082913315366397</c:v>
                </c:pt>
                <c:pt idx="570">
                  <c:v>88.237960765175956</c:v>
                </c:pt>
                <c:pt idx="571">
                  <c:v>88.393002216550002</c:v>
                </c:pt>
                <c:pt idx="572">
                  <c:v>88.548043667924048</c:v>
                </c:pt>
                <c:pt idx="573">
                  <c:v>88.703091117727311</c:v>
                </c:pt>
                <c:pt idx="574">
                  <c:v>88.858132569107653</c:v>
                </c:pt>
                <c:pt idx="575">
                  <c:v>89.013180018910916</c:v>
                </c:pt>
                <c:pt idx="576">
                  <c:v>89.168221470284976</c:v>
                </c:pt>
                <c:pt idx="577">
                  <c:v>89.323262921659023</c:v>
                </c:pt>
                <c:pt idx="578">
                  <c:v>89.478310371468581</c:v>
                </c:pt>
                <c:pt idx="579">
                  <c:v>89.633351822842627</c:v>
                </c:pt>
                <c:pt idx="580">
                  <c:v>89.78839927264589</c:v>
                </c:pt>
                <c:pt idx="581">
                  <c:v>89.943440724026232</c:v>
                </c:pt>
                <c:pt idx="582">
                  <c:v>90.098482175400278</c:v>
                </c:pt>
                <c:pt idx="583">
                  <c:v>90.253529625203541</c:v>
                </c:pt>
                <c:pt idx="584">
                  <c:v>90.408571076577587</c:v>
                </c:pt>
                <c:pt idx="585">
                  <c:v>90.563618526387145</c:v>
                </c:pt>
                <c:pt idx="586">
                  <c:v>90.718659977761192</c:v>
                </c:pt>
                <c:pt idx="587">
                  <c:v>90.873701429135252</c:v>
                </c:pt>
                <c:pt idx="588">
                  <c:v>91.02874887894481</c:v>
                </c:pt>
                <c:pt idx="589">
                  <c:v>91.183790330318857</c:v>
                </c:pt>
                <c:pt idx="590">
                  <c:v>91.33883778012212</c:v>
                </c:pt>
                <c:pt idx="591">
                  <c:v>91.493879231496166</c:v>
                </c:pt>
                <c:pt idx="592">
                  <c:v>91.648920682876494</c:v>
                </c:pt>
                <c:pt idx="593">
                  <c:v>91.803968132679771</c:v>
                </c:pt>
                <c:pt idx="594">
                  <c:v>91.959009584053817</c:v>
                </c:pt>
                <c:pt idx="595">
                  <c:v>92.114057033863375</c:v>
                </c:pt>
                <c:pt idx="596">
                  <c:v>92.269098485237421</c:v>
                </c:pt>
                <c:pt idx="597">
                  <c:v>92.424139936611468</c:v>
                </c:pt>
                <c:pt idx="598">
                  <c:v>92.579187386414745</c:v>
                </c:pt>
                <c:pt idx="599">
                  <c:v>92.734228837795087</c:v>
                </c:pt>
                <c:pt idx="600">
                  <c:v>92.889276287598349</c:v>
                </c:pt>
                <c:pt idx="601">
                  <c:v>93.044317738972396</c:v>
                </c:pt>
                <c:pt idx="602">
                  <c:v>93.199359190346442</c:v>
                </c:pt>
                <c:pt idx="603">
                  <c:v>93.354406640156</c:v>
                </c:pt>
                <c:pt idx="604">
                  <c:v>93.509448091530047</c:v>
                </c:pt>
                <c:pt idx="605">
                  <c:v>93.664495541333309</c:v>
                </c:pt>
                <c:pt idx="606">
                  <c:v>93.819536992713651</c:v>
                </c:pt>
                <c:pt idx="607">
                  <c:v>93.974578444087697</c:v>
                </c:pt>
                <c:pt idx="608">
                  <c:v>94.12962589389096</c:v>
                </c:pt>
                <c:pt idx="609">
                  <c:v>94.284667345265007</c:v>
                </c:pt>
                <c:pt idx="610">
                  <c:v>94.439714795074579</c:v>
                </c:pt>
                <c:pt idx="611">
                  <c:v>94.594756246448625</c:v>
                </c:pt>
                <c:pt idx="612">
                  <c:v>94.749797697822672</c:v>
                </c:pt>
                <c:pt idx="613">
                  <c:v>94.904845147632216</c:v>
                </c:pt>
                <c:pt idx="614">
                  <c:v>95.059886599006262</c:v>
                </c:pt>
                <c:pt idx="615">
                  <c:v>95.214934048809539</c:v>
                </c:pt>
                <c:pt idx="616">
                  <c:v>95.369975500183585</c:v>
                </c:pt>
                <c:pt idx="617">
                  <c:v>95.525016951563927</c:v>
                </c:pt>
                <c:pt idx="618">
                  <c:v>95.68006440136719</c:v>
                </c:pt>
                <c:pt idx="619">
                  <c:v>95.835105852741236</c:v>
                </c:pt>
                <c:pt idx="620">
                  <c:v>95.990153302550794</c:v>
                </c:pt>
                <c:pt idx="621">
                  <c:v>96.145194753924855</c:v>
                </c:pt>
                <c:pt idx="622">
                  <c:v>96.300236205298901</c:v>
                </c:pt>
                <c:pt idx="623">
                  <c:v>96.455283655102164</c:v>
                </c:pt>
                <c:pt idx="624">
                  <c:v>96.610325106482492</c:v>
                </c:pt>
                <c:pt idx="625">
                  <c:v>96.765372556285769</c:v>
                </c:pt>
                <c:pt idx="626">
                  <c:v>96.920414007659815</c:v>
                </c:pt>
                <c:pt idx="627">
                  <c:v>97.075455459033861</c:v>
                </c:pt>
                <c:pt idx="628">
                  <c:v>97.23050290884342</c:v>
                </c:pt>
                <c:pt idx="629">
                  <c:v>97.385544360217466</c:v>
                </c:pt>
                <c:pt idx="630">
                  <c:v>97.540591810020729</c:v>
                </c:pt>
                <c:pt idx="631">
                  <c:v>97.695633261401071</c:v>
                </c:pt>
                <c:pt idx="632">
                  <c:v>97.850674712775131</c:v>
                </c:pt>
                <c:pt idx="633">
                  <c:v>98.005722162578394</c:v>
                </c:pt>
                <c:pt idx="634">
                  <c:v>98.16076361395244</c:v>
                </c:pt>
                <c:pt idx="635">
                  <c:v>98.315811063761984</c:v>
                </c:pt>
                <c:pt idx="636">
                  <c:v>98.470852515136031</c:v>
                </c:pt>
                <c:pt idx="637">
                  <c:v>98.625893966510091</c:v>
                </c:pt>
                <c:pt idx="638">
                  <c:v>98.780941416319635</c:v>
                </c:pt>
                <c:pt idx="639">
                  <c:v>98.935982867693696</c:v>
                </c:pt>
                <c:pt idx="640">
                  <c:v>99.091024319067742</c:v>
                </c:pt>
                <c:pt idx="641">
                  <c:v>99.246071768871005</c:v>
                </c:pt>
                <c:pt idx="642">
                  <c:v>99.401113220251347</c:v>
                </c:pt>
                <c:pt idx="643">
                  <c:v>99.556160670054609</c:v>
                </c:pt>
                <c:pt idx="644">
                  <c:v>99.71120212142867</c:v>
                </c:pt>
                <c:pt idx="645">
                  <c:v>99.866243572802716</c:v>
                </c:pt>
                <c:pt idx="646">
                  <c:v>100.02129102261226</c:v>
                </c:pt>
                <c:pt idx="647">
                  <c:v>100.17633247398631</c:v>
                </c:pt>
                <c:pt idx="648">
                  <c:v>100.33137992378958</c:v>
                </c:pt>
                <c:pt idx="649">
                  <c:v>100.48642137516991</c:v>
                </c:pt>
                <c:pt idx="650">
                  <c:v>100.64146282654396</c:v>
                </c:pt>
                <c:pt idx="651">
                  <c:v>100.79651027634722</c:v>
                </c:pt>
                <c:pt idx="652">
                  <c:v>100.95155772615679</c:v>
                </c:pt>
                <c:pt idx="653">
                  <c:v>101.10659317909534</c:v>
                </c:pt>
                <c:pt idx="654">
                  <c:v>101.26164062890489</c:v>
                </c:pt>
                <c:pt idx="655">
                  <c:v>101.41668807870815</c:v>
                </c:pt>
                <c:pt idx="656">
                  <c:v>101.57172353165298</c:v>
                </c:pt>
                <c:pt idx="657">
                  <c:v>101.72677098146254</c:v>
                </c:pt>
                <c:pt idx="658">
                  <c:v>101.8818184312658</c:v>
                </c:pt>
                <c:pt idx="659">
                  <c:v>102.03686588107537</c:v>
                </c:pt>
                <c:pt idx="660">
                  <c:v>102.19190133401391</c:v>
                </c:pt>
                <c:pt idx="661">
                  <c:v>102.34694878382346</c:v>
                </c:pt>
                <c:pt idx="662">
                  <c:v>102.50199623362673</c:v>
                </c:pt>
                <c:pt idx="663">
                  <c:v>102.65703168657156</c:v>
                </c:pt>
                <c:pt idx="664">
                  <c:v>102.81207913638113</c:v>
                </c:pt>
                <c:pt idx="665">
                  <c:v>102.96712658618439</c:v>
                </c:pt>
                <c:pt idx="666">
                  <c:v>103.12216203912922</c:v>
                </c:pt>
                <c:pt idx="667">
                  <c:v>103.27720948893248</c:v>
                </c:pt>
                <c:pt idx="668">
                  <c:v>103.43225693874203</c:v>
                </c:pt>
                <c:pt idx="669">
                  <c:v>103.58730438854529</c:v>
                </c:pt>
                <c:pt idx="670">
                  <c:v>103.74233984149014</c:v>
                </c:pt>
                <c:pt idx="671">
                  <c:v>103.89738729129968</c:v>
                </c:pt>
                <c:pt idx="672">
                  <c:v>104.05243474110294</c:v>
                </c:pt>
                <c:pt idx="673">
                  <c:v>104.20747019404777</c:v>
                </c:pt>
                <c:pt idx="674">
                  <c:v>104.36251764385104</c:v>
                </c:pt>
                <c:pt idx="675">
                  <c:v>104.51756509366061</c:v>
                </c:pt>
                <c:pt idx="676">
                  <c:v>104.67260054660544</c:v>
                </c:pt>
                <c:pt idx="677">
                  <c:v>104.8276479964087</c:v>
                </c:pt>
                <c:pt idx="678">
                  <c:v>104.98269544621826</c:v>
                </c:pt>
                <c:pt idx="679">
                  <c:v>105.13774289602152</c:v>
                </c:pt>
                <c:pt idx="680">
                  <c:v>105.29277834896635</c:v>
                </c:pt>
                <c:pt idx="681">
                  <c:v>105.44782579877592</c:v>
                </c:pt>
                <c:pt idx="682">
                  <c:v>105.60287324857919</c:v>
                </c:pt>
                <c:pt idx="683">
                  <c:v>105.75790870152402</c:v>
                </c:pt>
                <c:pt idx="684">
                  <c:v>105.91295615132728</c:v>
                </c:pt>
                <c:pt idx="685">
                  <c:v>106.06800360113682</c:v>
                </c:pt>
                <c:pt idx="686">
                  <c:v>106.22303905408168</c:v>
                </c:pt>
                <c:pt idx="687">
                  <c:v>106.37808650388494</c:v>
                </c:pt>
                <c:pt idx="688">
                  <c:v>106.53313395369449</c:v>
                </c:pt>
                <c:pt idx="689">
                  <c:v>106.68818140349775</c:v>
                </c:pt>
                <c:pt idx="690">
                  <c:v>106.84321685644258</c:v>
                </c:pt>
                <c:pt idx="691">
                  <c:v>106.99826430624584</c:v>
                </c:pt>
                <c:pt idx="692">
                  <c:v>107.1533117560554</c:v>
                </c:pt>
                <c:pt idx="693">
                  <c:v>107.30834720900023</c:v>
                </c:pt>
                <c:pt idx="694">
                  <c:v>107.46339465880349</c:v>
                </c:pt>
                <c:pt idx="695">
                  <c:v>107.61844210861307</c:v>
                </c:pt>
                <c:pt idx="696">
                  <c:v>107.77347756155159</c:v>
                </c:pt>
                <c:pt idx="697">
                  <c:v>107.92852501136116</c:v>
                </c:pt>
                <c:pt idx="698">
                  <c:v>108.08357246116442</c:v>
                </c:pt>
                <c:pt idx="699">
                  <c:v>108.23861991097398</c:v>
                </c:pt>
                <c:pt idx="700">
                  <c:v>108.39365536391881</c:v>
                </c:pt>
                <c:pt idx="701">
                  <c:v>108.54870281372207</c:v>
                </c:pt>
                <c:pt idx="702">
                  <c:v>108.70375026353162</c:v>
                </c:pt>
                <c:pt idx="703">
                  <c:v>108.85878571647017</c:v>
                </c:pt>
                <c:pt idx="704">
                  <c:v>109.01383316627974</c:v>
                </c:pt>
                <c:pt idx="705">
                  <c:v>109.168880616083</c:v>
                </c:pt>
                <c:pt idx="706">
                  <c:v>109.32391606902783</c:v>
                </c:pt>
                <c:pt idx="707">
                  <c:v>109.47896351883738</c:v>
                </c:pt>
                <c:pt idx="708">
                  <c:v>109.63401096864064</c:v>
                </c:pt>
                <c:pt idx="709">
                  <c:v>109.7890464215855</c:v>
                </c:pt>
                <c:pt idx="710">
                  <c:v>109.94409387138876</c:v>
                </c:pt>
                <c:pt idx="711">
                  <c:v>110.0991413211983</c:v>
                </c:pt>
                <c:pt idx="712">
                  <c:v>110.25418877100157</c:v>
                </c:pt>
                <c:pt idx="713">
                  <c:v>110.4092242239464</c:v>
                </c:pt>
                <c:pt idx="714">
                  <c:v>110.56427167375595</c:v>
                </c:pt>
                <c:pt idx="715">
                  <c:v>110.71931912355922</c:v>
                </c:pt>
                <c:pt idx="716">
                  <c:v>110.87435457650405</c:v>
                </c:pt>
                <c:pt idx="717">
                  <c:v>111.02940202630731</c:v>
                </c:pt>
                <c:pt idx="718">
                  <c:v>111.18444947611688</c:v>
                </c:pt>
                <c:pt idx="719">
                  <c:v>111.33948492906171</c:v>
                </c:pt>
                <c:pt idx="720">
                  <c:v>111.49453237886497</c:v>
                </c:pt>
                <c:pt idx="721">
                  <c:v>111.64957982867453</c:v>
                </c:pt>
                <c:pt idx="722">
                  <c:v>111.8046272784778</c:v>
                </c:pt>
                <c:pt idx="723">
                  <c:v>111.95966273142263</c:v>
                </c:pt>
                <c:pt idx="724">
                  <c:v>112.11471018122589</c:v>
                </c:pt>
                <c:pt idx="725">
                  <c:v>112.26975763103543</c:v>
                </c:pt>
                <c:pt idx="726">
                  <c:v>112.42479308398029</c:v>
                </c:pt>
                <c:pt idx="727">
                  <c:v>112.57984053378355</c:v>
                </c:pt>
                <c:pt idx="728">
                  <c:v>112.7348879835931</c:v>
                </c:pt>
                <c:pt idx="729">
                  <c:v>112.88992343653793</c:v>
                </c:pt>
                <c:pt idx="730">
                  <c:v>113.04497088634119</c:v>
                </c:pt>
                <c:pt idx="731">
                  <c:v>113.20001833614445</c:v>
                </c:pt>
                <c:pt idx="732">
                  <c:v>113.35506578595403</c:v>
                </c:pt>
                <c:pt idx="733">
                  <c:v>113.51010123889884</c:v>
                </c:pt>
                <c:pt idx="734">
                  <c:v>113.66514868870212</c:v>
                </c:pt>
                <c:pt idx="735">
                  <c:v>113.82019613851168</c:v>
                </c:pt>
                <c:pt idx="736">
                  <c:v>113.97523159145651</c:v>
                </c:pt>
                <c:pt idx="737">
                  <c:v>114.13027904125977</c:v>
                </c:pt>
                <c:pt idx="738">
                  <c:v>114.28532649106303</c:v>
                </c:pt>
                <c:pt idx="739">
                  <c:v>114.44036194400786</c:v>
                </c:pt>
                <c:pt idx="740">
                  <c:v>114.59540939381743</c:v>
                </c:pt>
                <c:pt idx="741">
                  <c:v>114.7504568436207</c:v>
                </c:pt>
                <c:pt idx="742">
                  <c:v>114.90550429343024</c:v>
                </c:pt>
                <c:pt idx="743">
                  <c:v>115.06053974637508</c:v>
                </c:pt>
                <c:pt idx="744">
                  <c:v>115.21558719617835</c:v>
                </c:pt>
                <c:pt idx="745">
                  <c:v>115.37063464598161</c:v>
                </c:pt>
                <c:pt idx="746">
                  <c:v>115.52567009892644</c:v>
                </c:pt>
                <c:pt idx="747">
                  <c:v>115.68071754873598</c:v>
                </c:pt>
                <c:pt idx="748">
                  <c:v>115.83576499853925</c:v>
                </c:pt>
                <c:pt idx="749">
                  <c:v>115.99080045148411</c:v>
                </c:pt>
                <c:pt idx="750">
                  <c:v>116.14584790129365</c:v>
                </c:pt>
                <c:pt idx="751">
                  <c:v>116.30089535109691</c:v>
                </c:pt>
                <c:pt idx="752">
                  <c:v>116.45594280090647</c:v>
                </c:pt>
                <c:pt idx="753">
                  <c:v>116.610978253845</c:v>
                </c:pt>
                <c:pt idx="754">
                  <c:v>116.76602570365456</c:v>
                </c:pt>
                <c:pt idx="755">
                  <c:v>116.92107315345784</c:v>
                </c:pt>
                <c:pt idx="756">
                  <c:v>117.07610860640267</c:v>
                </c:pt>
                <c:pt idx="757">
                  <c:v>117.23115605621223</c:v>
                </c:pt>
                <c:pt idx="758">
                  <c:v>117.38620350601549</c:v>
                </c:pt>
                <c:pt idx="759">
                  <c:v>117.54123895896032</c:v>
                </c:pt>
                <c:pt idx="760">
                  <c:v>117.69628640876358</c:v>
                </c:pt>
                <c:pt idx="761">
                  <c:v>117.85133385857316</c:v>
                </c:pt>
                <c:pt idx="762">
                  <c:v>118.00638130837642</c:v>
                </c:pt>
                <c:pt idx="763">
                  <c:v>118.16141676132125</c:v>
                </c:pt>
                <c:pt idx="764">
                  <c:v>118.31646421113079</c:v>
                </c:pt>
                <c:pt idx="765">
                  <c:v>118.47151166093406</c:v>
                </c:pt>
                <c:pt idx="766">
                  <c:v>118.6265471138789</c:v>
                </c:pt>
                <c:pt idx="767">
                  <c:v>118.78159456368216</c:v>
                </c:pt>
                <c:pt idx="768">
                  <c:v>118.93664201349171</c:v>
                </c:pt>
                <c:pt idx="769">
                  <c:v>119.09167746643654</c:v>
                </c:pt>
                <c:pt idx="770">
                  <c:v>119.2467249162398</c:v>
                </c:pt>
                <c:pt idx="771">
                  <c:v>119.40177236604937</c:v>
                </c:pt>
                <c:pt idx="772">
                  <c:v>119.55681981585263</c:v>
                </c:pt>
                <c:pt idx="773">
                  <c:v>119.71185526879746</c:v>
                </c:pt>
                <c:pt idx="774">
                  <c:v>119.86690271860073</c:v>
                </c:pt>
                <c:pt idx="775">
                  <c:v>120.02195016841029</c:v>
                </c:pt>
                <c:pt idx="776">
                  <c:v>120.17698562135512</c:v>
                </c:pt>
                <c:pt idx="777">
                  <c:v>120.33203307115838</c:v>
                </c:pt>
                <c:pt idx="778">
                  <c:v>120.48708052096795</c:v>
                </c:pt>
                <c:pt idx="779">
                  <c:v>120.64211597390648</c:v>
                </c:pt>
                <c:pt idx="780">
                  <c:v>120.79716342371604</c:v>
                </c:pt>
                <c:pt idx="781">
                  <c:v>120.95221087351931</c:v>
                </c:pt>
                <c:pt idx="782">
                  <c:v>121.10725832332885</c:v>
                </c:pt>
                <c:pt idx="783">
                  <c:v>121.26229377627371</c:v>
                </c:pt>
                <c:pt idx="784">
                  <c:v>121.41734122607697</c:v>
                </c:pt>
                <c:pt idx="785">
                  <c:v>121.57238867588651</c:v>
                </c:pt>
                <c:pt idx="786">
                  <c:v>121.72742412882506</c:v>
                </c:pt>
                <c:pt idx="787">
                  <c:v>121.88247157863461</c:v>
                </c:pt>
                <c:pt idx="788">
                  <c:v>122.03751902843787</c:v>
                </c:pt>
                <c:pt idx="789">
                  <c:v>122.19255448138271</c:v>
                </c:pt>
                <c:pt idx="790">
                  <c:v>122.34760193119226</c:v>
                </c:pt>
                <c:pt idx="791">
                  <c:v>122.50264938099552</c:v>
                </c:pt>
                <c:pt idx="792">
                  <c:v>122.65769683080509</c:v>
                </c:pt>
                <c:pt idx="793">
                  <c:v>122.81273228374361</c:v>
                </c:pt>
                <c:pt idx="794">
                  <c:v>122.96777973355319</c:v>
                </c:pt>
                <c:pt idx="795">
                  <c:v>123.12282718335645</c:v>
                </c:pt>
                <c:pt idx="796">
                  <c:v>123.27786263630128</c:v>
                </c:pt>
                <c:pt idx="797">
                  <c:v>123.43291008611084</c:v>
                </c:pt>
                <c:pt idx="798">
                  <c:v>123.5879575359141</c:v>
                </c:pt>
                <c:pt idx="799">
                  <c:v>123.74299298885893</c:v>
                </c:pt>
                <c:pt idx="800">
                  <c:v>123.8980404386685</c:v>
                </c:pt>
                <c:pt idx="801">
                  <c:v>124.05308788847177</c:v>
                </c:pt>
                <c:pt idx="802">
                  <c:v>124.20813533827503</c:v>
                </c:pt>
                <c:pt idx="803">
                  <c:v>124.36317079121986</c:v>
                </c:pt>
                <c:pt idx="804">
                  <c:v>124.5182182410294</c:v>
                </c:pt>
                <c:pt idx="805">
                  <c:v>124.67326569083266</c:v>
                </c:pt>
                <c:pt idx="806">
                  <c:v>124.82830114377752</c:v>
                </c:pt>
                <c:pt idx="807">
                  <c:v>124.98334859358707</c:v>
                </c:pt>
                <c:pt idx="808">
                  <c:v>125.13839604339033</c:v>
                </c:pt>
                <c:pt idx="809">
                  <c:v>125.29343149633516</c:v>
                </c:pt>
                <c:pt idx="810">
                  <c:v>125.44847894613842</c:v>
                </c:pt>
                <c:pt idx="811">
                  <c:v>125.60352639594798</c:v>
                </c:pt>
                <c:pt idx="812">
                  <c:v>125.75857384575124</c:v>
                </c:pt>
                <c:pt idx="813">
                  <c:v>125.91360929869607</c:v>
                </c:pt>
                <c:pt idx="814">
                  <c:v>126.06865674850565</c:v>
                </c:pt>
                <c:pt idx="815">
                  <c:v>126.22370419830891</c:v>
                </c:pt>
                <c:pt idx="816">
                  <c:v>126.37873965125374</c:v>
                </c:pt>
                <c:pt idx="817">
                  <c:v>126.533787101057</c:v>
                </c:pt>
                <c:pt idx="818">
                  <c:v>126.68883455086656</c:v>
                </c:pt>
                <c:pt idx="819">
                  <c:v>126.84387000381139</c:v>
                </c:pt>
                <c:pt idx="820">
                  <c:v>126.99891745361465</c:v>
                </c:pt>
                <c:pt idx="821">
                  <c:v>127.1539649034242</c:v>
                </c:pt>
                <c:pt idx="822">
                  <c:v>127.30901235322746</c:v>
                </c:pt>
                <c:pt idx="823">
                  <c:v>127.46404780617232</c:v>
                </c:pt>
                <c:pt idx="824">
                  <c:v>127.61909525597558</c:v>
                </c:pt>
                <c:pt idx="825">
                  <c:v>127.77414270578512</c:v>
                </c:pt>
                <c:pt idx="826">
                  <c:v>127.92917815872995</c:v>
                </c:pt>
                <c:pt idx="827">
                  <c:v>128.08422560853322</c:v>
                </c:pt>
                <c:pt idx="828">
                  <c:v>128.23927305834277</c:v>
                </c:pt>
                <c:pt idx="829">
                  <c:v>128.39430851128134</c:v>
                </c:pt>
                <c:pt idx="830">
                  <c:v>128.54935596109087</c:v>
                </c:pt>
                <c:pt idx="831">
                  <c:v>128.70440341089414</c:v>
                </c:pt>
                <c:pt idx="832">
                  <c:v>128.85943886383896</c:v>
                </c:pt>
                <c:pt idx="833">
                  <c:v>129.01448631364855</c:v>
                </c:pt>
                <c:pt idx="834">
                  <c:v>129.1695337634518</c:v>
                </c:pt>
                <c:pt idx="835">
                  <c:v>129.32458121326135</c:v>
                </c:pt>
                <c:pt idx="836">
                  <c:v>129.47961666619989</c:v>
                </c:pt>
                <c:pt idx="837">
                  <c:v>129.63466411600945</c:v>
                </c:pt>
                <c:pt idx="838">
                  <c:v>129.78971156581272</c:v>
                </c:pt>
                <c:pt idx="839">
                  <c:v>129.94474701875754</c:v>
                </c:pt>
                <c:pt idx="840">
                  <c:v>130.09979446856713</c:v>
                </c:pt>
                <c:pt idx="841">
                  <c:v>130.25484191837037</c:v>
                </c:pt>
                <c:pt idx="842">
                  <c:v>130.40987737131522</c:v>
                </c:pt>
                <c:pt idx="843">
                  <c:v>130.56492482111847</c:v>
                </c:pt>
                <c:pt idx="844">
                  <c:v>130.71997227092803</c:v>
                </c:pt>
                <c:pt idx="845">
                  <c:v>130.87501972073127</c:v>
                </c:pt>
                <c:pt idx="846">
                  <c:v>131.03005517367612</c:v>
                </c:pt>
                <c:pt idx="847">
                  <c:v>131.18510262348568</c:v>
                </c:pt>
                <c:pt idx="848">
                  <c:v>131.34015007328892</c:v>
                </c:pt>
                <c:pt idx="849">
                  <c:v>131.49518552623377</c:v>
                </c:pt>
                <c:pt idx="850">
                  <c:v>131.65023297603705</c:v>
                </c:pt>
                <c:pt idx="851">
                  <c:v>131.8052804258466</c:v>
                </c:pt>
                <c:pt idx="852">
                  <c:v>131.96031587879142</c:v>
                </c:pt>
                <c:pt idx="853">
                  <c:v>132.1153633285947</c:v>
                </c:pt>
                <c:pt idx="854">
                  <c:v>132.27041077840425</c:v>
                </c:pt>
                <c:pt idx="855">
                  <c:v>132.42545822820753</c:v>
                </c:pt>
                <c:pt idx="856">
                  <c:v>132.58049368115235</c:v>
                </c:pt>
                <c:pt idx="857">
                  <c:v>132.73554113095562</c:v>
                </c:pt>
                <c:pt idx="858">
                  <c:v>132.89058858076518</c:v>
                </c:pt>
                <c:pt idx="859">
                  <c:v>133.04562403371</c:v>
                </c:pt>
                <c:pt idx="860">
                  <c:v>133.20067148351328</c:v>
                </c:pt>
                <c:pt idx="861">
                  <c:v>133.35571893332281</c:v>
                </c:pt>
                <c:pt idx="862">
                  <c:v>133.51075438626768</c:v>
                </c:pt>
                <c:pt idx="863">
                  <c:v>133.66580183607093</c:v>
                </c:pt>
                <c:pt idx="864">
                  <c:v>133.8208492858742</c:v>
                </c:pt>
                <c:pt idx="865">
                  <c:v>133.97589673568373</c:v>
                </c:pt>
                <c:pt idx="866">
                  <c:v>134.13093218862858</c:v>
                </c:pt>
                <c:pt idx="867">
                  <c:v>134.28597963843183</c:v>
                </c:pt>
                <c:pt idx="868">
                  <c:v>134.44102708824138</c:v>
                </c:pt>
                <c:pt idx="869">
                  <c:v>134.59606254118623</c:v>
                </c:pt>
                <c:pt idx="870">
                  <c:v>134.75110999098948</c:v>
                </c:pt>
                <c:pt idx="871">
                  <c:v>134.90615744079906</c:v>
                </c:pt>
                <c:pt idx="872">
                  <c:v>135.06119289373757</c:v>
                </c:pt>
                <c:pt idx="873">
                  <c:v>135.21624034354716</c:v>
                </c:pt>
                <c:pt idx="874">
                  <c:v>135.3712877933504</c:v>
                </c:pt>
                <c:pt idx="875">
                  <c:v>135.52633524315999</c:v>
                </c:pt>
                <c:pt idx="876">
                  <c:v>135.68137069610481</c:v>
                </c:pt>
                <c:pt idx="877">
                  <c:v>135.83641814590808</c:v>
                </c:pt>
                <c:pt idx="878">
                  <c:v>135.99146559571761</c:v>
                </c:pt>
                <c:pt idx="879">
                  <c:v>136.14650104865618</c:v>
                </c:pt>
                <c:pt idx="880">
                  <c:v>136.30154849846573</c:v>
                </c:pt>
                <c:pt idx="881">
                  <c:v>136.45659594826898</c:v>
                </c:pt>
                <c:pt idx="882">
                  <c:v>136.61163140121383</c:v>
                </c:pt>
                <c:pt idx="883">
                  <c:v>136.76667885102336</c:v>
                </c:pt>
                <c:pt idx="884">
                  <c:v>136.92172630082663</c:v>
                </c:pt>
                <c:pt idx="885">
                  <c:v>137.07677375063619</c:v>
                </c:pt>
              </c:numCache>
            </c:numRef>
          </c:xVal>
          <c:yVal>
            <c:numRef>
              <c:f>Simulation!$L$7:$L$892</c:f>
              <c:numCache>
                <c:formatCode>General</c:formatCode>
                <c:ptCount val="886"/>
                <c:pt idx="2">
                  <c:v>6.2525928907228421</c:v>
                </c:pt>
                <c:pt idx="3">
                  <c:v>6.533136968486466</c:v>
                </c:pt>
                <c:pt idx="4">
                  <c:v>6.9955346961304619</c:v>
                </c:pt>
                <c:pt idx="5">
                  <c:v>7.5537273869789345</c:v>
                </c:pt>
                <c:pt idx="6">
                  <c:v>8.1480226578037804</c:v>
                </c:pt>
                <c:pt idx="7">
                  <c:v>8.7765689185873264</c:v>
                </c:pt>
                <c:pt idx="8">
                  <c:v>9.4332198492789203</c:v>
                </c:pt>
                <c:pt idx="9">
                  <c:v>10.11576059457299</c:v>
                </c:pt>
                <c:pt idx="10">
                  <c:v>10.826539905607071</c:v>
                </c:pt>
                <c:pt idx="11">
                  <c:v>11.559723510165533</c:v>
                </c:pt>
                <c:pt idx="12">
                  <c:v>12.320153925736072</c:v>
                </c:pt>
                <c:pt idx="13">
                  <c:v>13.103315603583745</c:v>
                </c:pt>
                <c:pt idx="14">
                  <c:v>13.908635764561344</c:v>
                </c:pt>
                <c:pt idx="15">
                  <c:v>14.74100968894521</c:v>
                </c:pt>
                <c:pt idx="16">
                  <c:v>15.595310842349114</c:v>
                </c:pt>
                <c:pt idx="17">
                  <c:v>16.471189325668117</c:v>
                </c:pt>
                <c:pt idx="18">
                  <c:v>17.374482972862403</c:v>
                </c:pt>
                <c:pt idx="19">
                  <c:v>18.297112311062577</c:v>
                </c:pt>
                <c:pt idx="20">
                  <c:v>19.247625111463954</c:v>
                </c:pt>
                <c:pt idx="21">
                  <c:v>20.219470835814906</c:v>
                </c:pt>
                <c:pt idx="22">
                  <c:v>21.212219345481603</c:v>
                </c:pt>
                <c:pt idx="23">
                  <c:v>22.233709676851987</c:v>
                </c:pt>
                <c:pt idx="24">
                  <c:v>23.273408828011007</c:v>
                </c:pt>
                <c:pt idx="25">
                  <c:v>24.342168226921469</c:v>
                </c:pt>
                <c:pt idx="26">
                  <c:v>25.431956746676029</c:v>
                </c:pt>
                <c:pt idx="27">
                  <c:v>26.542164246881647</c:v>
                </c:pt>
                <c:pt idx="28">
                  <c:v>27.682281350457391</c:v>
                </c:pt>
                <c:pt idx="29">
                  <c:v>28.839708418584845</c:v>
                </c:pt>
                <c:pt idx="30">
                  <c:v>30.027565607203055</c:v>
                </c:pt>
                <c:pt idx="31">
                  <c:v>31.235858961591806</c:v>
                </c:pt>
                <c:pt idx="32">
                  <c:v>32.464048160755596</c:v>
                </c:pt>
                <c:pt idx="33">
                  <c:v>33.723597129698014</c:v>
                </c:pt>
                <c:pt idx="34">
                  <c:v>34.999139664424675</c:v>
                </c:pt>
                <c:pt idx="35">
                  <c:v>36.306696174415841</c:v>
                </c:pt>
                <c:pt idx="36">
                  <c:v>37.63375592258496</c:v>
                </c:pt>
                <c:pt idx="37">
                  <c:v>38.980229241736573</c:v>
                </c:pt>
                <c:pt idx="38">
                  <c:v>40.35954424966291</c:v>
                </c:pt>
                <c:pt idx="39">
                  <c:v>41.758151194058591</c:v>
                </c:pt>
                <c:pt idx="40">
                  <c:v>43.175370855436597</c:v>
                </c:pt>
                <c:pt idx="41">
                  <c:v>44.626462788954541</c:v>
                </c:pt>
                <c:pt idx="42">
                  <c:v>46.090823321636321</c:v>
                </c:pt>
                <c:pt idx="43">
                  <c:v>47.589832400987824</c:v>
                </c:pt>
                <c:pt idx="44">
                  <c:v>49.106970214698499</c:v>
                </c:pt>
                <c:pt idx="45">
                  <c:v>50.641411904268416</c:v>
                </c:pt>
                <c:pt idx="46">
                  <c:v>52.212083583835266</c:v>
                </c:pt>
                <c:pt idx="47">
                  <c:v>53.793518023895814</c:v>
                </c:pt>
                <c:pt idx="48">
                  <c:v>55.411354824502808</c:v>
                </c:pt>
                <c:pt idx="49">
                  <c:v>57.046171736533196</c:v>
                </c:pt>
                <c:pt idx="50">
                  <c:v>58.697037669719251</c:v>
                </c:pt>
                <c:pt idx="51">
                  <c:v>60.385876286435426</c:v>
                </c:pt>
                <c:pt idx="52">
                  <c:v>62.083247353334038</c:v>
                </c:pt>
                <c:pt idx="53">
                  <c:v>63.818503902613188</c:v>
                </c:pt>
                <c:pt idx="54">
                  <c:v>65.569599102200726</c:v>
                </c:pt>
                <c:pt idx="55">
                  <c:v>67.335641680653211</c:v>
                </c:pt>
                <c:pt idx="56">
                  <c:v>69.140243522616885</c:v>
                </c:pt>
                <c:pt idx="57">
                  <c:v>70.952038148089429</c:v>
                </c:pt>
                <c:pt idx="58">
                  <c:v>72.803071279955944</c:v>
                </c:pt>
                <c:pt idx="59">
                  <c:v>74.668240399338686</c:v>
                </c:pt>
                <c:pt idx="60">
                  <c:v>76.54700399225203</c:v>
                </c:pt>
                <c:pt idx="61">
                  <c:v>78.465977508405572</c:v>
                </c:pt>
                <c:pt idx="62">
                  <c:v>80.389287012980517</c:v>
                </c:pt>
                <c:pt idx="63">
                  <c:v>82.353735771196881</c:v>
                </c:pt>
                <c:pt idx="64">
                  <c:v>84.330636422422359</c:v>
                </c:pt>
                <c:pt idx="65">
                  <c:v>86.319152756487966</c:v>
                </c:pt>
                <c:pt idx="66">
                  <c:v>88.349810097119288</c:v>
                </c:pt>
                <c:pt idx="67">
                  <c:v>90.392684948761712</c:v>
                </c:pt>
                <c:pt idx="68">
                  <c:v>92.445617911750773</c:v>
                </c:pt>
                <c:pt idx="69">
                  <c:v>94.542176735128265</c:v>
                </c:pt>
                <c:pt idx="70">
                  <c:v>96.637338871146298</c:v>
                </c:pt>
                <c:pt idx="71">
                  <c:v>98.77684465576182</c:v>
                </c:pt>
                <c:pt idx="72">
                  <c:v>100.92526097747046</c:v>
                </c:pt>
                <c:pt idx="73">
                  <c:v>103.08311836890417</c:v>
                </c:pt>
                <c:pt idx="74">
                  <c:v>105.28590504738317</c:v>
                </c:pt>
                <c:pt idx="75">
                  <c:v>107.48404121828035</c:v>
                </c:pt>
                <c:pt idx="76">
                  <c:v>109.72799175692931</c:v>
                </c:pt>
                <c:pt idx="77">
                  <c:v>111.97899888382807</c:v>
                </c:pt>
                <c:pt idx="78">
                  <c:v>114.23737638220815</c:v>
                </c:pt>
                <c:pt idx="79">
                  <c:v>116.54209341866219</c:v>
                </c:pt>
                <c:pt idx="80">
                  <c:v>118.83893109221418</c:v>
                </c:pt>
                <c:pt idx="81">
                  <c:v>121.18337493143667</c:v>
                </c:pt>
                <c:pt idx="82">
                  <c:v>123.53219978257204</c:v>
                </c:pt>
                <c:pt idx="83">
                  <c:v>125.88714277953807</c:v>
                </c:pt>
                <c:pt idx="84">
                  <c:v>128.28833258369286</c:v>
                </c:pt>
                <c:pt idx="85">
                  <c:v>130.6787190895092</c:v>
                </c:pt>
                <c:pt idx="86">
                  <c:v>133.12020221513222</c:v>
                </c:pt>
                <c:pt idx="87">
                  <c:v>135.56165085387343</c:v>
                </c:pt>
                <c:pt idx="88">
                  <c:v>138.00716250026505</c:v>
                </c:pt>
                <c:pt idx="89">
                  <c:v>140.50091730807526</c:v>
                </c:pt>
                <c:pt idx="90">
                  <c:v>142.99687035361953</c:v>
                </c:pt>
                <c:pt idx="91">
                  <c:v>145.49454933444602</c:v>
                </c:pt>
                <c:pt idx="92">
                  <c:v>148.04101344056483</c:v>
                </c:pt>
                <c:pt idx="93">
                  <c:v>150.57183426683744</c:v>
                </c:pt>
                <c:pt idx="94">
                  <c:v>153.15253196202988</c:v>
                </c:pt>
                <c:pt idx="95">
                  <c:v>155.73452341392417</c:v>
                </c:pt>
                <c:pt idx="96">
                  <c:v>158.31066961755658</c:v>
                </c:pt>
                <c:pt idx="97">
                  <c:v>160.94223627446999</c:v>
                </c:pt>
                <c:pt idx="98">
                  <c:v>163.5524263195822</c:v>
                </c:pt>
                <c:pt idx="99">
                  <c:v>166.21412618296299</c:v>
                </c:pt>
                <c:pt idx="100">
                  <c:v>168.87457606621712</c:v>
                </c:pt>
                <c:pt idx="101">
                  <c:v>171.52608058768988</c:v>
                </c:pt>
                <c:pt idx="102">
                  <c:v>174.23502326507997</c:v>
                </c:pt>
                <c:pt idx="103">
                  <c:v>176.91841713513725</c:v>
                </c:pt>
                <c:pt idx="104">
                  <c:v>179.65442696869363</c:v>
                </c:pt>
                <c:pt idx="105">
                  <c:v>182.38706210447182</c:v>
                </c:pt>
                <c:pt idx="106">
                  <c:v>185.10752782700936</c:v>
                </c:pt>
                <c:pt idx="107">
                  <c:v>187.88691863505622</c:v>
                </c:pt>
                <c:pt idx="108">
                  <c:v>190.636839230958</c:v>
                </c:pt>
                <c:pt idx="109">
                  <c:v>193.44098639591556</c:v>
                </c:pt>
                <c:pt idx="110">
                  <c:v>196.23844219292431</c:v>
                </c:pt>
                <c:pt idx="111">
                  <c:v>199.02098169878164</c:v>
                </c:pt>
                <c:pt idx="112">
                  <c:v>201.8644741018866</c:v>
                </c:pt>
                <c:pt idx="113">
                  <c:v>204.67328740075442</c:v>
                </c:pt>
                <c:pt idx="114">
                  <c:v>207.5385560014665</c:v>
                </c:pt>
                <c:pt idx="115">
                  <c:v>210.39428194492132</c:v>
                </c:pt>
                <c:pt idx="116">
                  <c:v>213.23106163449643</c:v>
                </c:pt>
                <c:pt idx="117">
                  <c:v>216.13146263465239</c:v>
                </c:pt>
                <c:pt idx="118">
                  <c:v>219.0184934813432</c:v>
                </c:pt>
                <c:pt idx="119">
                  <c:v>221.884461599236</c:v>
                </c:pt>
                <c:pt idx="120">
                  <c:v>224.81748182926577</c:v>
                </c:pt>
                <c:pt idx="121">
                  <c:v>227.70138880510376</c:v>
                </c:pt>
                <c:pt idx="122">
                  <c:v>230.65100638249837</c:v>
                </c:pt>
                <c:pt idx="123">
                  <c:v>233.5841418918998</c:v>
                </c:pt>
                <c:pt idx="124">
                  <c:v>236.49264221806382</c:v>
                </c:pt>
                <c:pt idx="125">
                  <c:v>239.47041742379608</c:v>
                </c:pt>
                <c:pt idx="126">
                  <c:v>242.393977315043</c:v>
                </c:pt>
                <c:pt idx="127">
                  <c:v>245.38700734842229</c:v>
                </c:pt>
                <c:pt idx="128">
                  <c:v>248.35392465432562</c:v>
                </c:pt>
                <c:pt idx="129">
                  <c:v>251.29975451024194</c:v>
                </c:pt>
                <c:pt idx="130">
                  <c:v>254.3139815930806</c:v>
                </c:pt>
                <c:pt idx="131">
                  <c:v>257.26932436474556</c:v>
                </c:pt>
                <c:pt idx="132">
                  <c:v>260.29634794213473</c:v>
                </c:pt>
                <c:pt idx="133">
                  <c:v>263.29285153311019</c:v>
                </c:pt>
                <c:pt idx="134">
                  <c:v>266.26579395775411</c:v>
                </c:pt>
                <c:pt idx="135">
                  <c:v>269.30920883317395</c:v>
                </c:pt>
                <c:pt idx="136">
                  <c:v>272.2874912413256</c:v>
                </c:pt>
                <c:pt idx="137">
                  <c:v>275.34049555502804</c:v>
                </c:pt>
                <c:pt idx="138">
                  <c:v>278.35928374743139</c:v>
                </c:pt>
                <c:pt idx="139">
                  <c:v>281.3504301104669</c:v>
                </c:pt>
                <c:pt idx="140">
                  <c:v>284.41497427883269</c:v>
                </c:pt>
                <c:pt idx="141">
                  <c:v>287.44307104456857</c:v>
                </c:pt>
                <c:pt idx="142">
                  <c:v>290.44434960391891</c:v>
                </c:pt>
                <c:pt idx="143">
                  <c:v>293.51185633392112</c:v>
                </c:pt>
                <c:pt idx="144">
                  <c:v>296.51355484195426</c:v>
                </c:pt>
                <c:pt idx="145">
                  <c:v>299.5908143484545</c:v>
                </c:pt>
                <c:pt idx="146">
                  <c:v>302.62786170100071</c:v>
                </c:pt>
                <c:pt idx="147">
                  <c:v>305.63492432834801</c:v>
                </c:pt>
                <c:pt idx="148">
                  <c:v>308.70993000370396</c:v>
                </c:pt>
                <c:pt idx="149">
                  <c:v>311.71431594241716</c:v>
                </c:pt>
                <c:pt idx="150">
                  <c:v>314.79548282179491</c:v>
                </c:pt>
                <c:pt idx="151">
                  <c:v>317.83360905161658</c:v>
                </c:pt>
                <c:pt idx="152">
                  <c:v>320.83860322653101</c:v>
                </c:pt>
                <c:pt idx="153">
                  <c:v>323.91230676365291</c:v>
                </c:pt>
                <c:pt idx="154">
                  <c:v>326.91438366384784</c:v>
                </c:pt>
                <c:pt idx="155">
                  <c:v>329.98585785836184</c:v>
                </c:pt>
                <c:pt idx="156">
                  <c:v>333.01916294428156</c:v>
                </c:pt>
                <c:pt idx="157">
                  <c:v>336.01397557694514</c:v>
                </c:pt>
                <c:pt idx="158">
                  <c:v>339.0788590418108</c:v>
                </c:pt>
                <c:pt idx="159">
                  <c:v>342.06722148966219</c:v>
                </c:pt>
                <c:pt idx="160">
                  <c:v>345.12665654124379</c:v>
                </c:pt>
                <c:pt idx="161">
                  <c:v>348.14465608834013</c:v>
                </c:pt>
                <c:pt idx="162">
                  <c:v>351.12094717654202</c:v>
                </c:pt>
                <c:pt idx="163">
                  <c:v>354.16934195099935</c:v>
                </c:pt>
                <c:pt idx="164">
                  <c:v>357.17433419450117</c:v>
                </c:pt>
                <c:pt idx="165">
                  <c:v>360.13221326054776</c:v>
                </c:pt>
                <c:pt idx="166">
                  <c:v>363.17721054397674</c:v>
                </c:pt>
                <c:pt idx="167">
                  <c:v>366.11576604455263</c:v>
                </c:pt>
                <c:pt idx="168">
                  <c:v>369.14332705649502</c:v>
                </c:pt>
                <c:pt idx="169">
                  <c:v>372.12074369033792</c:v>
                </c:pt>
                <c:pt idx="170">
                  <c:v>375.05388607767884</c:v>
                </c:pt>
                <c:pt idx="171">
                  <c:v>378.05573073783472</c:v>
                </c:pt>
                <c:pt idx="172">
                  <c:v>380.96698382828151</c:v>
                </c:pt>
                <c:pt idx="173">
                  <c:v>383.96224401605508</c:v>
                </c:pt>
                <c:pt idx="174">
                  <c:v>386.90405419832456</c:v>
                </c:pt>
                <c:pt idx="175">
                  <c:v>389.79861102922058</c:v>
                </c:pt>
                <c:pt idx="176">
                  <c:v>392.76332949489586</c:v>
                </c:pt>
                <c:pt idx="177">
                  <c:v>395.63311292645142</c:v>
                </c:pt>
                <c:pt idx="178">
                  <c:v>398.58775295958213</c:v>
                </c:pt>
                <c:pt idx="179">
                  <c:v>401.48690937212348</c:v>
                </c:pt>
                <c:pt idx="180">
                  <c:v>404.33588851609358</c:v>
                </c:pt>
                <c:pt idx="181">
                  <c:v>407.25528779345672</c:v>
                </c:pt>
                <c:pt idx="182">
                  <c:v>410.07635076650598</c:v>
                </c:pt>
                <c:pt idx="183">
                  <c:v>412.98426148706022</c:v>
                </c:pt>
                <c:pt idx="184">
                  <c:v>415.8323473157169</c:v>
                </c:pt>
                <c:pt idx="185">
                  <c:v>418.6286521694542</c:v>
                </c:pt>
                <c:pt idx="186">
                  <c:v>421.49682226178328</c:v>
                </c:pt>
                <c:pt idx="187">
                  <c:v>424.26092372331374</c:v>
                </c:pt>
                <c:pt idx="188">
                  <c:v>427.11512404733975</c:v>
                </c:pt>
                <c:pt idx="189">
                  <c:v>429.90643612367398</c:v>
                </c:pt>
                <c:pt idx="190">
                  <c:v>432.6419680190495</c:v>
                </c:pt>
                <c:pt idx="191">
                  <c:v>435.45208708689819</c:v>
                </c:pt>
                <c:pt idx="192">
                  <c:v>438.20589920909094</c:v>
                </c:pt>
                <c:pt idx="193">
                  <c:v>440.89377346652032</c:v>
                </c:pt>
                <c:pt idx="194">
                  <c:v>443.67418694119459</c:v>
                </c:pt>
                <c:pt idx="195">
                  <c:v>446.34324859872419</c:v>
                </c:pt>
                <c:pt idx="196">
                  <c:v>449.08838874854951</c:v>
                </c:pt>
                <c:pt idx="197">
                  <c:v>451.774575668708</c:v>
                </c:pt>
                <c:pt idx="198">
                  <c:v>454.39196621374668</c:v>
                </c:pt>
                <c:pt idx="199">
                  <c:v>457.10391140671385</c:v>
                </c:pt>
                <c:pt idx="200">
                  <c:v>459.70077569106485</c:v>
                </c:pt>
                <c:pt idx="201">
                  <c:v>462.37381561606429</c:v>
                </c:pt>
                <c:pt idx="202">
                  <c:v>464.98676053690997</c:v>
                </c:pt>
                <c:pt idx="203">
                  <c:v>467.52817046394631</c:v>
                </c:pt>
                <c:pt idx="204">
                  <c:v>470.16470091775284</c:v>
                </c:pt>
                <c:pt idx="205">
                  <c:v>472.68353483167533</c:v>
                </c:pt>
                <c:pt idx="206">
                  <c:v>475.28002813177443</c:v>
                </c:pt>
                <c:pt idx="207">
                  <c:v>477.81260533006275</c:v>
                </c:pt>
                <c:pt idx="208">
                  <c:v>480.27243831425523</c:v>
                </c:pt>
                <c:pt idx="209">
                  <c:v>482.82936400239697</c:v>
                </c:pt>
                <c:pt idx="210">
                  <c:v>485.2633151104277</c:v>
                </c:pt>
                <c:pt idx="211">
                  <c:v>487.77779189187123</c:v>
                </c:pt>
                <c:pt idx="212">
                  <c:v>490.22605199590549</c:v>
                </c:pt>
                <c:pt idx="213">
                  <c:v>492.59762775352721</c:v>
                </c:pt>
                <c:pt idx="214">
                  <c:v>495.06969641441873</c:v>
                </c:pt>
                <c:pt idx="215">
                  <c:v>497.47380790167443</c:v>
                </c:pt>
                <c:pt idx="216">
                  <c:v>499.7820516401701</c:v>
                </c:pt>
                <c:pt idx="217">
                  <c:v>502.20006924387383</c:v>
                </c:pt>
                <c:pt idx="218">
                  <c:v>504.47953011393707</c:v>
                </c:pt>
                <c:pt idx="219">
                  <c:v>506.86139611766561</c:v>
                </c:pt>
                <c:pt idx="220">
                  <c:v>509.17372009561967</c:v>
                </c:pt>
                <c:pt idx="221">
                  <c:v>511.38592518559255</c:v>
                </c:pt>
                <c:pt idx="222">
                  <c:v>513.71153010982721</c:v>
                </c:pt>
                <c:pt idx="223">
                  <c:v>515.89446175109322</c:v>
                </c:pt>
                <c:pt idx="224">
                  <c:v>518.18168409669477</c:v>
                </c:pt>
                <c:pt idx="225">
                  <c:v>520.39738589848162</c:v>
                </c:pt>
                <c:pt idx="226">
                  <c:v>522.51037381538617</c:v>
                </c:pt>
                <c:pt idx="227">
                  <c:v>524.73882300297601</c:v>
                </c:pt>
                <c:pt idx="228">
                  <c:v>526.82171064184297</c:v>
                </c:pt>
                <c:pt idx="229">
                  <c:v>529.00918856762735</c:v>
                </c:pt>
                <c:pt idx="230">
                  <c:v>531.12485820155518</c:v>
                </c:pt>
                <c:pt idx="231">
                  <c:v>533.13541622527418</c:v>
                </c:pt>
                <c:pt idx="232">
                  <c:v>535.26187968023453</c:v>
                </c:pt>
                <c:pt idx="233">
                  <c:v>537.24115835076509</c:v>
                </c:pt>
                <c:pt idx="234">
                  <c:v>539.33725075724078</c:v>
                </c:pt>
                <c:pt idx="235">
                  <c:v>541.32687189352794</c:v>
                </c:pt>
                <c:pt idx="236">
                  <c:v>543.24211679813152</c:v>
                </c:pt>
                <c:pt idx="237">
                  <c:v>545.26479448543807</c:v>
                </c:pt>
                <c:pt idx="238">
                  <c:v>547.13566293519148</c:v>
                </c:pt>
                <c:pt idx="239">
                  <c:v>549.1268928515475</c:v>
                </c:pt>
                <c:pt idx="240">
                  <c:v>551.00954828037538</c:v>
                </c:pt>
                <c:pt idx="241">
                  <c:v>552.81467263640343</c:v>
                </c:pt>
                <c:pt idx="242">
                  <c:v>554.73055739523727</c:v>
                </c:pt>
                <c:pt idx="243">
                  <c:v>556.55808933117544</c:v>
                </c:pt>
                <c:pt idx="244">
                  <c:v>558.30732517242734</c:v>
                </c:pt>
                <c:pt idx="245">
                  <c:v>560.14675236868015</c:v>
                </c:pt>
                <c:pt idx="246">
                  <c:v>561.84028687335592</c:v>
                </c:pt>
                <c:pt idx="247">
                  <c:v>563.6462925060232</c:v>
                </c:pt>
                <c:pt idx="248">
                  <c:v>565.36240658284817</c:v>
                </c:pt>
                <c:pt idx="249">
                  <c:v>566.9989225430628</c:v>
                </c:pt>
                <c:pt idx="250">
                  <c:v>568.7269525823491</c:v>
                </c:pt>
                <c:pt idx="251">
                  <c:v>570.30734220415388</c:v>
                </c:pt>
                <c:pt idx="252">
                  <c:v>572.00012375771246</c:v>
                </c:pt>
                <c:pt idx="253">
                  <c:v>573.60337030694598</c:v>
                </c:pt>
                <c:pt idx="254">
                  <c:v>575.12583376606426</c:v>
                </c:pt>
                <c:pt idx="255">
                  <c:v>576.73937859902946</c:v>
                </c:pt>
                <c:pt idx="256">
                  <c:v>578.20494049934803</c:v>
                </c:pt>
                <c:pt idx="257">
                  <c:v>579.78448461843959</c:v>
                </c:pt>
                <c:pt idx="258">
                  <c:v>581.27151544742503</c:v>
                </c:pt>
                <c:pt idx="259">
                  <c:v>582.67843173074516</c:v>
                </c:pt>
                <c:pt idx="260">
                  <c:v>584.17770248071497</c:v>
                </c:pt>
                <c:pt idx="261">
                  <c:v>585.52537106929992</c:v>
                </c:pt>
                <c:pt idx="262">
                  <c:v>586.9902844626655</c:v>
                </c:pt>
                <c:pt idx="263">
                  <c:v>588.36160966500722</c:v>
                </c:pt>
                <c:pt idx="264">
                  <c:v>589.65017393870301</c:v>
                </c:pt>
                <c:pt idx="265">
                  <c:v>591.03404375458763</c:v>
                </c:pt>
                <c:pt idx="266">
                  <c:v>592.33512416809197</c:v>
                </c:pt>
                <c:pt idx="267">
                  <c:v>593.54151201449679</c:v>
                </c:pt>
                <c:pt idx="268">
                  <c:v>594.86689783742497</c:v>
                </c:pt>
                <c:pt idx="269">
                  <c:v>596.03756416053261</c:v>
                </c:pt>
                <c:pt idx="270">
                  <c:v>597.30467959433679</c:v>
                </c:pt>
                <c:pt idx="271">
                  <c:v>598.48827723583895</c:v>
                </c:pt>
                <c:pt idx="272">
                  <c:v>599.57640112293177</c:v>
                </c:pt>
                <c:pt idx="273">
                  <c:v>600.78485757089095</c:v>
                </c:pt>
                <c:pt idx="274">
                  <c:v>601.83783140584342</c:v>
                </c:pt>
                <c:pt idx="275">
                  <c:v>602.98664371823088</c:v>
                </c:pt>
                <c:pt idx="276">
                  <c:v>604.05313375642936</c:v>
                </c:pt>
                <c:pt idx="277">
                  <c:v>605.02344158092342</c:v>
                </c:pt>
                <c:pt idx="278">
                  <c:v>606.11360146015534</c:v>
                </c:pt>
                <c:pt idx="279">
                  <c:v>607.04895146756689</c:v>
                </c:pt>
                <c:pt idx="280">
                  <c:v>608.0811755276867</c:v>
                </c:pt>
                <c:pt idx="281">
                  <c:v>609.0287715176845</c:v>
                </c:pt>
                <c:pt idx="282">
                  <c:v>609.88151352381135</c:v>
                </c:pt>
                <c:pt idx="283">
                  <c:v>610.85473556821751</c:v>
                </c:pt>
                <c:pt idx="284">
                  <c:v>611.67220372941165</c:v>
                </c:pt>
                <c:pt idx="285">
                  <c:v>612.58754814907411</c:v>
                </c:pt>
                <c:pt idx="286">
                  <c:v>613.41791324214125</c:v>
                </c:pt>
                <c:pt idx="287">
                  <c:v>614.15306714614496</c:v>
                </c:pt>
                <c:pt idx="288">
                  <c:v>615.01043812471653</c:v>
                </c:pt>
                <c:pt idx="289">
                  <c:v>615.78272418146776</c:v>
                </c:pt>
                <c:pt idx="290">
                  <c:v>616.43582229975789</c:v>
                </c:pt>
                <c:pt idx="291">
                  <c:v>617.22370421084747</c:v>
                </c:pt>
                <c:pt idx="292">
                  <c:v>617.84087253771588</c:v>
                </c:pt>
                <c:pt idx="293">
                  <c:v>618.58321279890333</c:v>
                </c:pt>
                <c:pt idx="294">
                  <c:v>619.24032171561373</c:v>
                </c:pt>
                <c:pt idx="295">
                  <c:v>619.77605934401686</c:v>
                </c:pt>
                <c:pt idx="296">
                  <c:v>620.44952600636475</c:v>
                </c:pt>
                <c:pt idx="297">
                  <c:v>620.95117314711456</c:v>
                </c:pt>
                <c:pt idx="298">
                  <c:v>621.59101921099534</c:v>
                </c:pt>
                <c:pt idx="299">
                  <c:v>622.10946133416724</c:v>
                </c:pt>
                <c:pt idx="300">
                  <c:v>622.54246656418559</c:v>
                </c:pt>
                <c:pt idx="301">
                  <c:v>623.10219930009191</c:v>
                </c:pt>
                <c:pt idx="302">
                  <c:v>623.49041261174511</c:v>
                </c:pt>
                <c:pt idx="303">
                  <c:v>624.01592323480861</c:v>
                </c:pt>
                <c:pt idx="304">
                  <c:v>624.4218161348706</c:v>
                </c:pt>
                <c:pt idx="305">
                  <c:v>624.74239761877129</c:v>
                </c:pt>
                <c:pt idx="306">
                  <c:v>625.18870142849471</c:v>
                </c:pt>
                <c:pt idx="307">
                  <c:v>625.46517518276971</c:v>
                </c:pt>
                <c:pt idx="308">
                  <c:v>625.87984978041391</c:v>
                </c:pt>
                <c:pt idx="309">
                  <c:v>626.17312406930432</c:v>
                </c:pt>
                <c:pt idx="310">
                  <c:v>626.38314567693146</c:v>
                </c:pt>
                <c:pt idx="311">
                  <c:v>626.71970626586096</c:v>
                </c:pt>
                <c:pt idx="312">
                  <c:v>626.88462238927866</c:v>
                </c:pt>
                <c:pt idx="313">
                  <c:v>627.19035188843657</c:v>
                </c:pt>
                <c:pt idx="314">
                  <c:v>627.3749161707774</c:v>
                </c:pt>
                <c:pt idx="315">
                  <c:v>627.47469891464129</c:v>
                </c:pt>
                <c:pt idx="316">
                  <c:v>627.70356041580339</c:v>
                </c:pt>
                <c:pt idx="317">
                  <c:v>627.83570717902603</c:v>
                </c:pt>
                <c:pt idx="318">
                  <c:v>627.88332296815724</c:v>
                </c:pt>
                <c:pt idx="319">
                  <c:v>628.03613404099849</c:v>
                </c:pt>
                <c:pt idx="320">
                  <c:v>628.02924444474604</c:v>
                </c:pt>
                <c:pt idx="321">
                  <c:v>628.15205075320853</c:v>
                </c:pt>
                <c:pt idx="322">
                  <c:v>628.17858830870898</c:v>
                </c:pt>
                <c:pt idx="323">
                  <c:v>628.12108348191816</c:v>
                </c:pt>
                <c:pt idx="324">
                  <c:v>628.16930585989348</c:v>
                </c:pt>
                <c:pt idx="325">
                  <c:v>628.05894077898836</c:v>
                </c:pt>
                <c:pt idx="326">
                  <c:v>628.0891137002593</c:v>
                </c:pt>
                <c:pt idx="327">
                  <c:v>627.98896334038238</c:v>
                </c:pt>
                <c:pt idx="328">
                  <c:v>627.84175697632008</c:v>
                </c:pt>
                <c:pt idx="329">
                  <c:v>627.77458714342617</c:v>
                </c:pt>
                <c:pt idx="330">
                  <c:v>627.58779626472426</c:v>
                </c:pt>
                <c:pt idx="331">
                  <c:v>627.50556260931694</c:v>
                </c:pt>
                <c:pt idx="332">
                  <c:v>627.30389683930525</c:v>
                </c:pt>
                <c:pt idx="333">
                  <c:v>627.05766751429121</c:v>
                </c:pt>
                <c:pt idx="334">
                  <c:v>626.89197565169388</c:v>
                </c:pt>
                <c:pt idx="335">
                  <c:v>626.60552035551314</c:v>
                </c:pt>
                <c:pt idx="336">
                  <c:v>626.42584486569774</c:v>
                </c:pt>
                <c:pt idx="337">
                  <c:v>626.12749820855004</c:v>
                </c:pt>
                <c:pt idx="338">
                  <c:v>625.78339455080607</c:v>
                </c:pt>
                <c:pt idx="339">
                  <c:v>625.52210063703649</c:v>
                </c:pt>
                <c:pt idx="340">
                  <c:v>625.21463396346519</c:v>
                </c:pt>
                <c:pt idx="341">
                  <c:v>624.7911535722925</c:v>
                </c:pt>
                <c:pt idx="342">
                  <c:v>624.47300490439488</c:v>
                </c:pt>
                <c:pt idx="343">
                  <c:v>624.03542343788638</c:v>
                </c:pt>
                <c:pt idx="344">
                  <c:v>623.6809938564428</c:v>
                </c:pt>
                <c:pt idx="345">
                  <c:v>623.28173891770268</c:v>
                </c:pt>
                <c:pt idx="346">
                  <c:v>622.76553573640467</c:v>
                </c:pt>
                <c:pt idx="347">
                  <c:v>622.35678988673794</c:v>
                </c:pt>
                <c:pt idx="348">
                  <c:v>621.82901384189677</c:v>
                </c:pt>
                <c:pt idx="349">
                  <c:v>621.38468573183991</c:v>
                </c:pt>
                <c:pt idx="350">
                  <c:v>620.89627427748644</c:v>
                </c:pt>
                <c:pt idx="351">
                  <c:v>620.2919836545168</c:v>
                </c:pt>
                <c:pt idx="352">
                  <c:v>619.79531067837422</c:v>
                </c:pt>
                <c:pt idx="353">
                  <c:v>619.18129811038943</c:v>
                </c:pt>
                <c:pt idx="354">
                  <c:v>618.64915752903323</c:v>
                </c:pt>
                <c:pt idx="355">
                  <c:v>618.07557965463957</c:v>
                </c:pt>
                <c:pt idx="356">
                  <c:v>617.38723081335752</c:v>
                </c:pt>
                <c:pt idx="357">
                  <c:v>616.80477817490475</c:v>
                </c:pt>
                <c:pt idx="358">
                  <c:v>616.1080603182703</c:v>
                </c:pt>
                <c:pt idx="359">
                  <c:v>615.49337751417534</c:v>
                </c:pt>
                <c:pt idx="360">
                  <c:v>614.8362102561714</c:v>
                </c:pt>
                <c:pt idx="361">
                  <c:v>614.06737780973981</c:v>
                </c:pt>
                <c:pt idx="362">
                  <c:v>613.40446831550923</c:v>
                </c:pt>
                <c:pt idx="363">
                  <c:v>612.6266769366058</c:v>
                </c:pt>
                <c:pt idx="364">
                  <c:v>611.93294391083157</c:v>
                </c:pt>
                <c:pt idx="365">
                  <c:v>611.19760763340184</c:v>
                </c:pt>
                <c:pt idx="366">
                  <c:v>610.35002962219028</c:v>
                </c:pt>
                <c:pt idx="367">
                  <c:v>609.6101841662329</c:v>
                </c:pt>
                <c:pt idx="368">
                  <c:v>608.82925605959679</c:v>
                </c:pt>
                <c:pt idx="369">
                  <c:v>607.91340158187631</c:v>
                </c:pt>
                <c:pt idx="370">
                  <c:v>607.17575229170109</c:v>
                </c:pt>
                <c:pt idx="371">
                  <c:v>606.25429088337171</c:v>
                </c:pt>
                <c:pt idx="372">
                  <c:v>605.44050910197905</c:v>
                </c:pt>
                <c:pt idx="373">
                  <c:v>604.58652541690321</c:v>
                </c:pt>
                <c:pt idx="374">
                  <c:v>603.599173217199</c:v>
                </c:pt>
                <c:pt idx="375">
                  <c:v>602.78939717851051</c:v>
                </c:pt>
                <c:pt idx="376">
                  <c:v>601.79837069665041</c:v>
                </c:pt>
                <c:pt idx="377">
                  <c:v>600.91303662881558</c:v>
                </c:pt>
                <c:pt idx="378">
                  <c:v>599.99022914162686</c:v>
                </c:pt>
                <c:pt idx="379">
                  <c:v>598.93570690597596</c:v>
                </c:pt>
                <c:pt idx="380">
                  <c:v>598.05622477849499</c:v>
                </c:pt>
                <c:pt idx="381">
                  <c:v>596.99933890178977</c:v>
                </c:pt>
                <c:pt idx="382">
                  <c:v>596.04790615330614</c:v>
                </c:pt>
                <c:pt idx="383">
                  <c:v>595.05813813951602</c:v>
                </c:pt>
                <c:pt idx="384">
                  <c:v>593.94016271676878</c:v>
                </c:pt>
                <c:pt idx="385">
                  <c:v>592.99639511445582</c:v>
                </c:pt>
                <c:pt idx="386">
                  <c:v>591.87554515867578</c:v>
                </c:pt>
                <c:pt idx="387">
                  <c:v>590.86165177183648</c:v>
                </c:pt>
                <c:pt idx="388">
                  <c:v>589.81037496476995</c:v>
                </c:pt>
                <c:pt idx="389">
                  <c:v>588.6536638533787</c:v>
                </c:pt>
                <c:pt idx="390">
                  <c:v>587.60371763923979</c:v>
                </c:pt>
                <c:pt idx="391">
                  <c:v>586.51694968211564</c:v>
                </c:pt>
                <c:pt idx="392">
                  <c:v>585.3030550479649</c:v>
                </c:pt>
                <c:pt idx="393">
                  <c:v>584.26357741284153</c:v>
                </c:pt>
                <c:pt idx="394">
                  <c:v>583.05004912737945</c:v>
                </c:pt>
                <c:pt idx="395">
                  <c:v>581.94287165202149</c:v>
                </c:pt>
                <c:pt idx="396">
                  <c:v>580.79984721927622</c:v>
                </c:pt>
                <c:pt idx="397">
                  <c:v>579.53157140491942</c:v>
                </c:pt>
                <c:pt idx="398">
                  <c:v>578.43659254875297</c:v>
                </c:pt>
                <c:pt idx="399">
                  <c:v>577.17050220253998</c:v>
                </c:pt>
                <c:pt idx="400">
                  <c:v>576.00859082985698</c:v>
                </c:pt>
                <c:pt idx="401">
                  <c:v>574.81349158564274</c:v>
                </c:pt>
                <c:pt idx="402">
                  <c:v>573.4950665168476</c:v>
                </c:pt>
                <c:pt idx="403">
                  <c:v>572.34707161913195</c:v>
                </c:pt>
                <c:pt idx="404">
                  <c:v>571.03202694966001</c:v>
                </c:pt>
                <c:pt idx="405">
                  <c:v>569.82065513975886</c:v>
                </c:pt>
                <c:pt idx="406">
                  <c:v>568.57539542512575</c:v>
                </c:pt>
                <c:pt idx="407">
                  <c:v>567.21046535698804</c:v>
                </c:pt>
                <c:pt idx="408">
                  <c:v>566.0141044218019</c:v>
                </c:pt>
                <c:pt idx="409">
                  <c:v>564.65317160133907</c:v>
                </c:pt>
                <c:pt idx="410">
                  <c:v>563.39536019400782</c:v>
                </c:pt>
                <c:pt idx="411">
                  <c:v>562.1046126565451</c:v>
                </c:pt>
                <c:pt idx="412">
                  <c:v>560.69614111068984</c:v>
                </c:pt>
                <c:pt idx="413">
                  <c:v>559.45546840457348</c:v>
                </c:pt>
                <c:pt idx="414">
                  <c:v>558.11747149789653</c:v>
                </c:pt>
                <c:pt idx="415">
                  <c:v>556.68457122041934</c:v>
                </c:pt>
                <c:pt idx="416">
                  <c:v>555.41863554792121</c:v>
                </c:pt>
                <c:pt idx="417">
                  <c:v>553.96904878050748</c:v>
                </c:pt>
                <c:pt idx="418">
                  <c:v>552.68749268430906</c:v>
                </c:pt>
                <c:pt idx="419">
                  <c:v>551.31038914158455</c:v>
                </c:pt>
                <c:pt idx="420">
                  <c:v>549.83847908534619</c:v>
                </c:pt>
                <c:pt idx="421">
                  <c:v>548.53368734325943</c:v>
                </c:pt>
                <c:pt idx="422">
                  <c:v>547.04758443095636</c:v>
                </c:pt>
                <c:pt idx="423">
                  <c:v>545.72797019059863</c:v>
                </c:pt>
                <c:pt idx="424">
                  <c:v>544.31456191191194</c:v>
                </c:pt>
                <c:pt idx="425">
                  <c:v>542.8081747053061</c:v>
                </c:pt>
                <c:pt idx="426">
                  <c:v>541.46732922272793</c:v>
                </c:pt>
                <c:pt idx="427">
                  <c:v>539.94858143627278</c:v>
                </c:pt>
                <c:pt idx="428">
                  <c:v>538.59313379602395</c:v>
                </c:pt>
                <c:pt idx="429">
                  <c:v>537.14731927528328</c:v>
                </c:pt>
                <c:pt idx="430">
                  <c:v>535.61029175031615</c:v>
                </c:pt>
                <c:pt idx="431">
                  <c:v>534.23557057791231</c:v>
                </c:pt>
                <c:pt idx="432">
                  <c:v>532.6874935803736</c:v>
                </c:pt>
                <c:pt idx="433">
                  <c:v>531.301085770741</c:v>
                </c:pt>
                <c:pt idx="434">
                  <c:v>529.82447566974793</c:v>
                </c:pt>
                <c:pt idx="435">
                  <c:v>528.26003638581847</c:v>
                </c:pt>
                <c:pt idx="436">
                  <c:v>526.85624440406059</c:v>
                </c:pt>
                <c:pt idx="437">
                  <c:v>525.28045646913824</c:v>
                </c:pt>
                <c:pt idx="438">
                  <c:v>523.86621299958165</c:v>
                </c:pt>
                <c:pt idx="439">
                  <c:v>522.36356617951594</c:v>
                </c:pt>
                <c:pt idx="440">
                  <c:v>520.7732882784793</c:v>
                </c:pt>
                <c:pt idx="441">
                  <c:v>519.3434943463559</c:v>
                </c:pt>
                <c:pt idx="442">
                  <c:v>517.80632060783046</c:v>
                </c:pt>
                <c:pt idx="443">
                  <c:v>516.24267586028202</c:v>
                </c:pt>
                <c:pt idx="444">
                  <c:v>514.77846289555407</c:v>
                </c:pt>
                <c:pt idx="445">
                  <c:v>513.16649883737102</c:v>
                </c:pt>
                <c:pt idx="446">
                  <c:v>511.7131738630697</c:v>
                </c:pt>
                <c:pt idx="447">
                  <c:v>510.15457023734683</c:v>
                </c:pt>
                <c:pt idx="448">
                  <c:v>508.57042222119969</c:v>
                </c:pt>
                <c:pt idx="449">
                  <c:v>507.08473008036287</c:v>
                </c:pt>
                <c:pt idx="450">
                  <c:v>505.45453502459304</c:v>
                </c:pt>
                <c:pt idx="451">
                  <c:v>503.97961405542998</c:v>
                </c:pt>
                <c:pt idx="452">
                  <c:v>502.40302121570664</c:v>
                </c:pt>
                <c:pt idx="453">
                  <c:v>500.80175450622193</c:v>
                </c:pt>
                <c:pt idx="454">
                  <c:v>499.29644731240307</c:v>
                </c:pt>
                <c:pt idx="455">
                  <c:v>497.65086910028253</c:v>
                </c:pt>
                <c:pt idx="456">
                  <c:v>496.15864939667546</c:v>
                </c:pt>
                <c:pt idx="457">
                  <c:v>494.56533025094649</c:v>
                </c:pt>
                <c:pt idx="458">
                  <c:v>492.94975622247586</c:v>
                </c:pt>
                <c:pt idx="459">
                  <c:v>491.4290932834063</c:v>
                </c:pt>
                <c:pt idx="460">
                  <c:v>489.76938935188588</c:v>
                </c:pt>
                <c:pt idx="461">
                  <c:v>488.26260653726683</c:v>
                </c:pt>
                <c:pt idx="462">
                  <c:v>486.65679040105238</c:v>
                </c:pt>
                <c:pt idx="463">
                  <c:v>485.02808851099633</c:v>
                </c:pt>
                <c:pt idx="464">
                  <c:v>483.49472400906552</c:v>
                </c:pt>
                <c:pt idx="465">
                  <c:v>481.88189081168866</c:v>
                </c:pt>
                <c:pt idx="466">
                  <c:v>480.24813327851257</c:v>
                </c:pt>
                <c:pt idx="467">
                  <c:v>478.68907274476567</c:v>
                </c:pt>
                <c:pt idx="468">
                  <c:v>477.05081186963582</c:v>
                </c:pt>
                <c:pt idx="469">
                  <c:v>475.50682299299734</c:v>
                </c:pt>
                <c:pt idx="470">
                  <c:v>473.88559805670474</c:v>
                </c:pt>
                <c:pt idx="471">
                  <c:v>472.2428165396243</c:v>
                </c:pt>
                <c:pt idx="472">
                  <c:v>470.67538505746279</c:v>
                </c:pt>
                <c:pt idx="473">
                  <c:v>469.03006013984964</c:v>
                </c:pt>
                <c:pt idx="474">
                  <c:v>467.47784777013652</c:v>
                </c:pt>
                <c:pt idx="475">
                  <c:v>465.85017108632582</c:v>
                </c:pt>
                <c:pt idx="476">
                  <c:v>464.20176507482438</c:v>
                </c:pt>
                <c:pt idx="477">
                  <c:v>462.6278569311944</c:v>
                </c:pt>
                <c:pt idx="478">
                  <c:v>460.9782948760232</c:v>
                </c:pt>
                <c:pt idx="479">
                  <c:v>459.41929815693305</c:v>
                </c:pt>
                <c:pt idx="480">
                  <c:v>457.78793654291542</c:v>
                </c:pt>
                <c:pt idx="481">
                  <c:v>456.1366278607602</c:v>
                </c:pt>
                <c:pt idx="482">
                  <c:v>454.557608248912</c:v>
                </c:pt>
                <c:pt idx="483">
                  <c:v>452.90604546390409</c:v>
                </c:pt>
                <c:pt idx="484">
                  <c:v>451.34387087162838</c:v>
                </c:pt>
                <c:pt idx="485">
                  <c:v>449.70967749709183</c:v>
                </c:pt>
                <c:pt idx="486">
                  <c:v>448.05767354409784</c:v>
                </c:pt>
                <c:pt idx="487">
                  <c:v>446.47709286493858</c:v>
                </c:pt>
                <c:pt idx="488">
                  <c:v>444.82432590944819</c:v>
                </c:pt>
                <c:pt idx="489">
                  <c:v>443.26109343928414</c:v>
                </c:pt>
                <c:pt idx="490">
                  <c:v>441.62753431011953</c:v>
                </c:pt>
                <c:pt idx="491">
                  <c:v>439.97557446335736</c:v>
                </c:pt>
                <c:pt idx="492">
                  <c:v>438.39545385983706</c:v>
                </c:pt>
                <c:pt idx="493">
                  <c:v>436.79683905429675</c:v>
                </c:pt>
                <c:pt idx="494">
                  <c:v>435.12949931790973</c:v>
                </c:pt>
                <c:pt idx="495">
                  <c:v>433.55033709142174</c:v>
                </c:pt>
                <c:pt idx="496">
                  <c:v>431.90128323679733</c:v>
                </c:pt>
                <c:pt idx="497">
                  <c:v>430.32313981567546</c:v>
                </c:pt>
                <c:pt idx="498">
                  <c:v>428.72721672213896</c:v>
                </c:pt>
                <c:pt idx="499">
                  <c:v>427.06423334991422</c:v>
                </c:pt>
                <c:pt idx="500">
                  <c:v>425.48817376719472</c:v>
                </c:pt>
                <c:pt idx="501">
                  <c:v>423.84431334828923</c:v>
                </c:pt>
                <c:pt idx="502">
                  <c:v>422.26916735552106</c:v>
                </c:pt>
                <c:pt idx="503">
                  <c:v>420.67819559539225</c:v>
                </c:pt>
                <c:pt idx="504">
                  <c:v>419.02176456382847</c:v>
                </c:pt>
                <c:pt idx="505">
                  <c:v>417.44976674041004</c:v>
                </c:pt>
                <c:pt idx="506">
                  <c:v>415.81286278134962</c:v>
                </c:pt>
                <c:pt idx="507">
                  <c:v>414.24370116102699</c:v>
                </c:pt>
                <c:pt idx="508">
                  <c:v>412.65814731047072</c:v>
                </c:pt>
                <c:pt idx="509">
                  <c:v>411.00998741067207</c:v>
                </c:pt>
                <c:pt idx="510">
                  <c:v>409.44498150310187</c:v>
                </c:pt>
                <c:pt idx="511">
                  <c:v>407.81543996127556</c:v>
                </c:pt>
                <c:pt idx="512">
                  <c:v>406.25391672419187</c:v>
                </c:pt>
                <c:pt idx="513">
                  <c:v>404.67665277783959</c:v>
                </c:pt>
                <c:pt idx="514">
                  <c:v>403.03712554785415</c:v>
                </c:pt>
                <c:pt idx="515">
                  <c:v>401.48066639329312</c:v>
                </c:pt>
                <c:pt idx="516">
                  <c:v>399.90885567264087</c:v>
                </c:pt>
                <c:pt idx="517">
                  <c:v>398.27572283506197</c:v>
                </c:pt>
                <c:pt idx="518">
                  <c:v>396.72487012878634</c:v>
                </c:pt>
                <c:pt idx="519">
                  <c:v>395.11162324434412</c:v>
                </c:pt>
                <c:pt idx="520">
                  <c:v>393.5648126687388</c:v>
                </c:pt>
                <c:pt idx="521">
                  <c:v>392.00325967880514</c:v>
                </c:pt>
                <c:pt idx="522">
                  <c:v>390.38189442747847</c:v>
                </c:pt>
                <c:pt idx="523">
                  <c:v>388.84151858336509</c:v>
                </c:pt>
                <c:pt idx="524">
                  <c:v>387.2406883383606</c:v>
                </c:pt>
                <c:pt idx="525">
                  <c:v>385.7041103024028</c:v>
                </c:pt>
                <c:pt idx="526">
                  <c:v>384.1545553765053</c:v>
                </c:pt>
                <c:pt idx="527">
                  <c:v>382.54670004633886</c:v>
                </c:pt>
                <c:pt idx="528">
                  <c:v>381.01736626395115</c:v>
                </c:pt>
                <c:pt idx="529">
                  <c:v>379.4302291440701</c:v>
                </c:pt>
                <c:pt idx="530">
                  <c:v>377.90635055010796</c:v>
                </c:pt>
                <c:pt idx="531">
                  <c:v>376.36891550771378</c:v>
                </c:pt>
                <c:pt idx="532">
                  <c:v>374.77577274100287</c:v>
                </c:pt>
                <c:pt idx="533">
                  <c:v>373.25947550782837</c:v>
                </c:pt>
                <c:pt idx="534">
                  <c:v>371.68686170064711</c:v>
                </c:pt>
                <c:pt idx="535">
                  <c:v>370.17648390502086</c:v>
                </c:pt>
                <c:pt idx="536">
                  <c:v>368.65309433569269</c:v>
                </c:pt>
                <c:pt idx="537">
                  <c:v>367.07545334637865</c:v>
                </c:pt>
                <c:pt idx="538">
                  <c:v>365.57371695353419</c:v>
                </c:pt>
                <c:pt idx="539">
                  <c:v>364.05930839406949</c:v>
                </c:pt>
                <c:pt idx="540">
                  <c:v>362.47743853860135</c:v>
                </c:pt>
                <c:pt idx="541">
                  <c:v>361.01269239197973</c:v>
                </c:pt>
                <c:pt idx="542">
                  <c:v>359.45087726083153</c:v>
                </c:pt>
                <c:pt idx="543">
                  <c:v>357.96473337203605</c:v>
                </c:pt>
                <c:pt idx="544">
                  <c:v>356.46642549709952</c:v>
                </c:pt>
                <c:pt idx="545">
                  <c:v>354.90127597983053</c:v>
                </c:pt>
                <c:pt idx="546">
                  <c:v>353.45213397191173</c:v>
                </c:pt>
                <c:pt idx="547">
                  <c:v>351.90782461639185</c:v>
                </c:pt>
                <c:pt idx="548">
                  <c:v>350.43785230122677</c:v>
                </c:pt>
                <c:pt idx="549">
                  <c:v>348.95623813511446</c:v>
                </c:pt>
                <c:pt idx="550">
                  <c:v>347.40943339907363</c:v>
                </c:pt>
                <c:pt idx="551">
                  <c:v>345.97642902568947</c:v>
                </c:pt>
                <c:pt idx="552">
                  <c:v>344.4508850293256</c:v>
                </c:pt>
                <c:pt idx="553">
                  <c:v>342.99731494862044</c:v>
                </c:pt>
                <c:pt idx="554">
                  <c:v>341.53359509852913</c:v>
                </c:pt>
                <c:pt idx="555">
                  <c:v>340.00630109977908</c:v>
                </c:pt>
                <c:pt idx="556">
                  <c:v>338.58960977376086</c:v>
                </c:pt>
                <c:pt idx="557">
                  <c:v>337.08359012412683</c:v>
                </c:pt>
                <c:pt idx="558">
                  <c:v>335.64823620753879</c:v>
                </c:pt>
                <c:pt idx="559">
                  <c:v>334.20219127435308</c:v>
                </c:pt>
                <c:pt idx="560">
                  <c:v>332.69516324693808</c:v>
                </c:pt>
                <c:pt idx="561">
                  <c:v>331.29656448683517</c:v>
                </c:pt>
                <c:pt idx="562">
                  <c:v>329.80979134084464</c:v>
                </c:pt>
                <c:pt idx="563">
                  <c:v>328.39337401622737</c:v>
                </c:pt>
                <c:pt idx="564">
                  <c:v>326.96670242461846</c:v>
                </c:pt>
                <c:pt idx="565">
                  <c:v>325.47961477598722</c:v>
                </c:pt>
                <c:pt idx="566">
                  <c:v>324.09979398027377</c:v>
                </c:pt>
                <c:pt idx="567">
                  <c:v>322.67231935219377</c:v>
                </c:pt>
                <c:pt idx="568">
                  <c:v>321.1978846899222</c:v>
                </c:pt>
                <c:pt idx="569">
                  <c:v>319.82942900991281</c:v>
                </c:pt>
                <c:pt idx="570">
                  <c:v>318.36354508267601</c:v>
                </c:pt>
                <c:pt idx="571">
                  <c:v>317.00279749130431</c:v>
                </c:pt>
                <c:pt idx="572">
                  <c:v>315.5956250665601</c:v>
                </c:pt>
                <c:pt idx="573">
                  <c:v>314.14271191580258</c:v>
                </c:pt>
                <c:pt idx="574">
                  <c:v>312.79365229645589</c:v>
                </c:pt>
                <c:pt idx="575">
                  <c:v>311.34980832252677</c:v>
                </c:pt>
                <c:pt idx="576">
                  <c:v>310.00804127240002</c:v>
                </c:pt>
                <c:pt idx="577">
                  <c:v>308.62199356941204</c:v>
                </c:pt>
                <c:pt idx="578">
                  <c:v>307.19141948188411</c:v>
                </c:pt>
                <c:pt idx="579">
                  <c:v>305.86167187504225</c:v>
                </c:pt>
                <c:pt idx="580">
                  <c:v>304.44032284953045</c:v>
                </c:pt>
                <c:pt idx="581">
                  <c:v>303.11896103270726</c:v>
                </c:pt>
                <c:pt idx="582">
                  <c:v>301.7535719256548</c:v>
                </c:pt>
                <c:pt idx="583">
                  <c:v>300.34573491106556</c:v>
                </c:pt>
                <c:pt idx="584">
                  <c:v>299.03664048455988</c:v>
                </c:pt>
                <c:pt idx="585">
                  <c:v>297.63727309926793</c:v>
                </c:pt>
                <c:pt idx="586">
                  <c:v>296.33673392753587</c:v>
                </c:pt>
                <c:pt idx="587">
                  <c:v>294.99331550545406</c:v>
                </c:pt>
                <c:pt idx="588">
                  <c:v>293.60768581357922</c:v>
                </c:pt>
                <c:pt idx="589">
                  <c:v>292.31963379727034</c:v>
                </c:pt>
                <c:pt idx="590">
                  <c:v>290.97782183717834</c:v>
                </c:pt>
                <c:pt idx="591">
                  <c:v>289.62905240555739</c:v>
                </c:pt>
                <c:pt idx="592">
                  <c:v>288.34211296023221</c:v>
                </c:pt>
                <c:pt idx="593">
                  <c:v>286.97958854908597</c:v>
                </c:pt>
                <c:pt idx="594">
                  <c:v>285.71259493415829</c:v>
                </c:pt>
                <c:pt idx="595">
                  <c:v>284.39351017533011</c:v>
                </c:pt>
                <c:pt idx="596">
                  <c:v>283.06691707375563</c:v>
                </c:pt>
                <c:pt idx="597">
                  <c:v>281.80174672933106</c:v>
                </c:pt>
                <c:pt idx="598">
                  <c:v>280.46258043952912</c:v>
                </c:pt>
                <c:pt idx="599">
                  <c:v>279.21691912561943</c:v>
                </c:pt>
                <c:pt idx="600">
                  <c:v>277.9205083519887</c:v>
                </c:pt>
                <c:pt idx="601">
                  <c:v>276.61690510011266</c:v>
                </c:pt>
                <c:pt idx="602">
                  <c:v>275.37345541061171</c:v>
                </c:pt>
                <c:pt idx="603">
                  <c:v>274.05811706042851</c:v>
                </c:pt>
                <c:pt idx="604">
                  <c:v>272.83347255755268</c:v>
                </c:pt>
                <c:pt idx="605">
                  <c:v>271.56018927925891</c:v>
                </c:pt>
                <c:pt idx="606">
                  <c:v>270.28000784030263</c:v>
                </c:pt>
                <c:pt idx="607">
                  <c:v>269.0579380970957</c:v>
                </c:pt>
                <c:pt idx="608">
                  <c:v>267.76656926596257</c:v>
                </c:pt>
                <c:pt idx="609">
                  <c:v>266.56392788822706</c:v>
                </c:pt>
                <c:pt idx="610">
                  <c:v>265.31309914372264</c:v>
                </c:pt>
                <c:pt idx="611">
                  <c:v>264.05647568971165</c:v>
                </c:pt>
                <c:pt idx="612">
                  <c:v>262.85672802069598</c:v>
                </c:pt>
                <c:pt idx="613">
                  <c:v>261.58861069348779</c:v>
                </c:pt>
                <c:pt idx="614">
                  <c:v>260.40810733850185</c:v>
                </c:pt>
                <c:pt idx="615">
                  <c:v>259.18063181806752</c:v>
                </c:pt>
                <c:pt idx="616">
                  <c:v>257.94683976358965</c:v>
                </c:pt>
                <c:pt idx="617">
                  <c:v>256.76951633481008</c:v>
                </c:pt>
                <c:pt idx="618">
                  <c:v>255.55591992146728</c:v>
                </c:pt>
                <c:pt idx="619">
                  <c:v>254.3361740378468</c:v>
                </c:pt>
                <c:pt idx="620">
                  <c:v>253.1623757453886</c:v>
                </c:pt>
                <c:pt idx="621">
                  <c:v>251.95197788611765</c:v>
                </c:pt>
                <c:pt idx="622">
                  <c:v>250.7968568595283</c:v>
                </c:pt>
                <c:pt idx="623">
                  <c:v>249.60642668170087</c:v>
                </c:pt>
                <c:pt idx="624">
                  <c:v>248.41008361739912</c:v>
                </c:pt>
                <c:pt idx="625">
                  <c:v>247.25873863426335</c:v>
                </c:pt>
                <c:pt idx="626">
                  <c:v>246.0720144261366</c:v>
                </c:pt>
                <c:pt idx="627">
                  <c:v>244.93861853345945</c:v>
                </c:pt>
                <c:pt idx="628">
                  <c:v>243.7715808462799</c:v>
                </c:pt>
                <c:pt idx="629">
                  <c:v>242.59887392566938</c:v>
                </c:pt>
                <c:pt idx="630">
                  <c:v>241.46947899552603</c:v>
                </c:pt>
                <c:pt idx="631">
                  <c:v>240.30636601562591</c:v>
                </c:pt>
                <c:pt idx="632">
                  <c:v>239.19542225185566</c:v>
                </c:pt>
                <c:pt idx="633">
                  <c:v>238.05100915708974</c:v>
                </c:pt>
                <c:pt idx="634">
                  <c:v>236.90187605919368</c:v>
                </c:pt>
                <c:pt idx="635">
                  <c:v>235.79511477419717</c:v>
                </c:pt>
                <c:pt idx="636">
                  <c:v>234.65480797941356</c:v>
                </c:pt>
                <c:pt idx="637">
                  <c:v>233.56626272659648</c:v>
                </c:pt>
                <c:pt idx="638">
                  <c:v>232.44511960798553</c:v>
                </c:pt>
                <c:pt idx="639">
                  <c:v>231.31875123405209</c:v>
                </c:pt>
                <c:pt idx="640">
                  <c:v>230.24345906178746</c:v>
                </c:pt>
                <c:pt idx="641">
                  <c:v>229.13608317586653</c:v>
                </c:pt>
                <c:pt idx="642">
                  <c:v>228.02360716768493</c:v>
                </c:pt>
                <c:pt idx="643">
                  <c:v>226.9527496638602</c:v>
                </c:pt>
                <c:pt idx="644">
                  <c:v>225.84951205632927</c:v>
                </c:pt>
                <c:pt idx="645">
                  <c:v>224.79622196761014</c:v>
                </c:pt>
                <c:pt idx="646">
                  <c:v>223.71168590408973</c:v>
                </c:pt>
                <c:pt idx="647">
                  <c:v>222.62224975039555</c:v>
                </c:pt>
                <c:pt idx="648">
                  <c:v>221.57352516227155</c:v>
                </c:pt>
                <c:pt idx="649">
                  <c:v>220.49348727664764</c:v>
                </c:pt>
                <c:pt idx="650">
                  <c:v>219.46162338958149</c:v>
                </c:pt>
                <c:pt idx="651">
                  <c:v>218.39999276752673</c:v>
                </c:pt>
                <c:pt idx="652">
                  <c:v>217.32525412348991</c:v>
                </c:pt>
                <c:pt idx="653">
                  <c:v>216.32322761750802</c:v>
                </c:pt>
                <c:pt idx="654">
                  <c:v>215.24113442888211</c:v>
                </c:pt>
                <c:pt idx="655">
                  <c:v>214.23125732185878</c:v>
                </c:pt>
                <c:pt idx="656">
                  <c:v>213.21649812877658</c:v>
                </c:pt>
                <c:pt idx="657">
                  <c:v>212.14835711537677</c:v>
                </c:pt>
                <c:pt idx="658">
                  <c:v>211.15121202932227</c:v>
                </c:pt>
                <c:pt idx="659">
                  <c:v>210.10866459089448</c:v>
                </c:pt>
                <c:pt idx="660">
                  <c:v>209.13651086945967</c:v>
                </c:pt>
                <c:pt idx="661">
                  <c:v>208.11118646924231</c:v>
                </c:pt>
                <c:pt idx="662">
                  <c:v>207.08221487301182</c:v>
                </c:pt>
                <c:pt idx="663">
                  <c:v>206.12265798147121</c:v>
                </c:pt>
                <c:pt idx="664">
                  <c:v>205.11073865173307</c:v>
                </c:pt>
                <c:pt idx="665">
                  <c:v>204.09525991874293</c:v>
                </c:pt>
                <c:pt idx="666">
                  <c:v>203.14822932343338</c:v>
                </c:pt>
                <c:pt idx="667">
                  <c:v>202.12556473801661</c:v>
                </c:pt>
                <c:pt idx="668">
                  <c:v>201.17147466284962</c:v>
                </c:pt>
                <c:pt idx="669">
                  <c:v>200.19746281294758</c:v>
                </c:pt>
                <c:pt idx="670">
                  <c:v>199.21928734624871</c:v>
                </c:pt>
                <c:pt idx="671">
                  <c:v>198.26240863982792</c:v>
                </c:pt>
                <c:pt idx="672">
                  <c:v>197.27765570236232</c:v>
                </c:pt>
                <c:pt idx="673">
                  <c:v>196.35973860174064</c:v>
                </c:pt>
                <c:pt idx="674">
                  <c:v>195.39204484695395</c:v>
                </c:pt>
                <c:pt idx="675">
                  <c:v>194.42048331906088</c:v>
                </c:pt>
                <c:pt idx="676">
                  <c:v>193.51482328085112</c:v>
                </c:pt>
                <c:pt idx="677">
                  <c:v>192.53722054863317</c:v>
                </c:pt>
                <c:pt idx="678">
                  <c:v>191.62446202904439</c:v>
                </c:pt>
                <c:pt idx="679">
                  <c:v>190.69340145030245</c:v>
                </c:pt>
                <c:pt idx="680">
                  <c:v>189.75847190363012</c:v>
                </c:pt>
                <c:pt idx="681">
                  <c:v>188.84335743091214</c:v>
                </c:pt>
                <c:pt idx="682">
                  <c:v>187.90255281128316</c:v>
                </c:pt>
                <c:pt idx="683">
                  <c:v>187.02494006970454</c:v>
                </c:pt>
                <c:pt idx="684">
                  <c:v>186.10000829024929</c:v>
                </c:pt>
                <c:pt idx="685">
                  <c:v>185.17203984626104</c:v>
                </c:pt>
                <c:pt idx="686">
                  <c:v>184.30637019523948</c:v>
                </c:pt>
                <c:pt idx="687">
                  <c:v>183.37227137513517</c:v>
                </c:pt>
                <c:pt idx="688">
                  <c:v>182.50057450148952</c:v>
                </c:pt>
                <c:pt idx="689">
                  <c:v>181.61098574364959</c:v>
                </c:pt>
                <c:pt idx="690">
                  <c:v>180.71779419307504</c:v>
                </c:pt>
                <c:pt idx="691">
                  <c:v>179.84409440695978</c:v>
                </c:pt>
                <c:pt idx="692">
                  <c:v>178.96677047332349</c:v>
                </c:pt>
                <c:pt idx="693">
                  <c:v>178.08592035854414</c:v>
                </c:pt>
                <c:pt idx="694">
                  <c:v>177.22430204705898</c:v>
                </c:pt>
                <c:pt idx="695">
                  <c:v>176.33797407605596</c:v>
                </c:pt>
                <c:pt idx="696">
                  <c:v>175.511572450269</c:v>
                </c:pt>
                <c:pt idx="697">
                  <c:v>174.6408628617562</c:v>
                </c:pt>
                <c:pt idx="698">
                  <c:v>173.76688762939469</c:v>
                </c:pt>
                <c:pt idx="699">
                  <c:v>172.93860573112048</c:v>
                </c:pt>
                <c:pt idx="700">
                  <c:v>172.08628651757579</c:v>
                </c:pt>
                <c:pt idx="701">
                  <c:v>171.2520867740659</c:v>
                </c:pt>
                <c:pt idx="702">
                  <c:v>170.41501725830472</c:v>
                </c:pt>
                <c:pt idx="703">
                  <c:v>169.57465457277749</c:v>
                </c:pt>
                <c:pt idx="704">
                  <c:v>168.75216203860154</c:v>
                </c:pt>
                <c:pt idx="705">
                  <c:v>167.90688135509828</c:v>
                </c:pt>
                <c:pt idx="706">
                  <c:v>167.11822830616643</c:v>
                </c:pt>
                <c:pt idx="707">
                  <c:v>166.28745152792527</c:v>
                </c:pt>
                <c:pt idx="708">
                  <c:v>165.45411294478114</c:v>
                </c:pt>
                <c:pt idx="709">
                  <c:v>164.67659614627701</c:v>
                </c:pt>
                <c:pt idx="710">
                  <c:v>163.83808693445127</c:v>
                </c:pt>
                <c:pt idx="711">
                  <c:v>163.05547329285505</c:v>
                </c:pt>
                <c:pt idx="712">
                  <c:v>162.25702018830358</c:v>
                </c:pt>
                <c:pt idx="713">
                  <c:v>161.45549347906575</c:v>
                </c:pt>
                <c:pt idx="714">
                  <c:v>160.67152460177621</c:v>
                </c:pt>
                <c:pt idx="715">
                  <c:v>159.88428667098353</c:v>
                </c:pt>
                <c:pt idx="716">
                  <c:v>159.09451192703074</c:v>
                </c:pt>
                <c:pt idx="717">
                  <c:v>158.32157294001328</c:v>
                </c:pt>
                <c:pt idx="718">
                  <c:v>157.52684431149544</c:v>
                </c:pt>
                <c:pt idx="719">
                  <c:v>156.7857862530193</c:v>
                </c:pt>
                <c:pt idx="720">
                  <c:v>156.00526949767513</c:v>
                </c:pt>
                <c:pt idx="721">
                  <c:v>155.22195050514335</c:v>
                </c:pt>
                <c:pt idx="722">
                  <c:v>154.47957479480087</c:v>
                </c:pt>
                <c:pt idx="723">
                  <c:v>153.71568502222883</c:v>
                </c:pt>
                <c:pt idx="724">
                  <c:v>152.96855803605794</c:v>
                </c:pt>
                <c:pt idx="725">
                  <c:v>152.21852362677421</c:v>
                </c:pt>
                <c:pt idx="726">
                  <c:v>151.46565636335981</c:v>
                </c:pt>
                <c:pt idx="727">
                  <c:v>150.7293173595593</c:v>
                </c:pt>
                <c:pt idx="728">
                  <c:v>149.97227614237789</c:v>
                </c:pt>
                <c:pt idx="729">
                  <c:v>149.26591879740977</c:v>
                </c:pt>
                <c:pt idx="730">
                  <c:v>148.52248632400625</c:v>
                </c:pt>
                <c:pt idx="731">
                  <c:v>147.77641948711451</c:v>
                </c:pt>
                <c:pt idx="732">
                  <c:v>147.06892381810849</c:v>
                </c:pt>
                <c:pt idx="733">
                  <c:v>146.34158210646186</c:v>
                </c:pt>
                <c:pt idx="734">
                  <c:v>145.62979240148894</c:v>
                </c:pt>
                <c:pt idx="735">
                  <c:v>144.9152686717384</c:v>
                </c:pt>
                <c:pt idx="736">
                  <c:v>144.19852062671703</c:v>
                </c:pt>
                <c:pt idx="737">
                  <c:v>143.49710562689168</c:v>
                </c:pt>
                <c:pt idx="738">
                  <c:v>142.77601363715704</c:v>
                </c:pt>
                <c:pt idx="739">
                  <c:v>142.10363809586249</c:v>
                </c:pt>
                <c:pt idx="740">
                  <c:v>141.39557566585864</c:v>
                </c:pt>
                <c:pt idx="741">
                  <c:v>140.6850348044446</c:v>
                </c:pt>
                <c:pt idx="742">
                  <c:v>140.01166335452996</c:v>
                </c:pt>
                <c:pt idx="743">
                  <c:v>139.33559217606336</c:v>
                </c:pt>
                <c:pt idx="744">
                  <c:v>138.62469659595521</c:v>
                </c:pt>
                <c:pt idx="745">
                  <c:v>137.96121435889103</c:v>
                </c:pt>
                <c:pt idx="746">
                  <c:v>137.27859729202981</c:v>
                </c:pt>
                <c:pt idx="747">
                  <c:v>136.61101433263545</c:v>
                </c:pt>
                <c:pt idx="748">
                  <c:v>135.94090425934886</c:v>
                </c:pt>
                <c:pt idx="749">
                  <c:v>135.26833850435526</c:v>
                </c:pt>
                <c:pt idx="750">
                  <c:v>134.61059989459415</c:v>
                </c:pt>
                <c:pt idx="751">
                  <c:v>133.93443780060528</c:v>
                </c:pt>
                <c:pt idx="752">
                  <c:v>133.29328128359023</c:v>
                </c:pt>
                <c:pt idx="753">
                  <c:v>132.64996180211568</c:v>
                </c:pt>
                <c:pt idx="754">
                  <c:v>131.97352129131534</c:v>
                </c:pt>
                <c:pt idx="755">
                  <c:v>131.34184985631401</c:v>
                </c:pt>
                <c:pt idx="756">
                  <c:v>130.69250552347489</c:v>
                </c:pt>
                <c:pt idx="757">
                  <c:v>130.05710584766197</c:v>
                </c:pt>
                <c:pt idx="758">
                  <c:v>129.41931871154631</c:v>
                </c:pt>
                <c:pt idx="759">
                  <c:v>128.77959772551989</c:v>
                </c:pt>
                <c:pt idx="760">
                  <c:v>128.15362136885949</c:v>
                </c:pt>
                <c:pt idx="761">
                  <c:v>127.51012864826895</c:v>
                </c:pt>
                <c:pt idx="762">
                  <c:v>126.90036553878655</c:v>
                </c:pt>
                <c:pt idx="763">
                  <c:v>126.28818238935001</c:v>
                </c:pt>
                <c:pt idx="764">
                  <c:v>125.6444811799193</c:v>
                </c:pt>
                <c:pt idx="765">
                  <c:v>125.04379780046719</c:v>
                </c:pt>
                <c:pt idx="766">
                  <c:v>124.44073261816857</c:v>
                </c:pt>
                <c:pt idx="767">
                  <c:v>123.80661312578562</c:v>
                </c:pt>
                <c:pt idx="768">
                  <c:v>123.21488467061417</c:v>
                </c:pt>
                <c:pt idx="769">
                  <c:v>122.606097655203</c:v>
                </c:pt>
                <c:pt idx="770">
                  <c:v>122.01078073894915</c:v>
                </c:pt>
                <c:pt idx="771">
                  <c:v>121.41324888911468</c:v>
                </c:pt>
                <c:pt idx="772">
                  <c:v>120.80420917366186</c:v>
                </c:pt>
                <c:pt idx="773">
                  <c:v>120.23643625551797</c:v>
                </c:pt>
                <c:pt idx="774">
                  <c:v>119.62429110664283</c:v>
                </c:pt>
                <c:pt idx="775">
                  <c:v>119.05275697567825</c:v>
                </c:pt>
                <c:pt idx="776">
                  <c:v>118.4652263829304</c:v>
                </c:pt>
                <c:pt idx="777">
                  <c:v>117.90439263911544</c:v>
                </c:pt>
                <c:pt idx="778">
                  <c:v>117.2994021820176</c:v>
                </c:pt>
                <c:pt idx="779">
                  <c:v>116.73463213741474</c:v>
                </c:pt>
                <c:pt idx="780">
                  <c:v>116.18221289444676</c:v>
                </c:pt>
                <c:pt idx="781">
                  <c:v>115.58628524062858</c:v>
                </c:pt>
                <c:pt idx="782">
                  <c:v>115.02108964466188</c:v>
                </c:pt>
                <c:pt idx="783">
                  <c:v>114.46736437878678</c:v>
                </c:pt>
                <c:pt idx="784">
                  <c:v>113.92609322514862</c:v>
                </c:pt>
                <c:pt idx="785">
                  <c:v>113.34215969277641</c:v>
                </c:pt>
                <c:pt idx="786">
                  <c:v>112.79675881912968</c:v>
                </c:pt>
                <c:pt idx="787">
                  <c:v>112.26363248440673</c:v>
                </c:pt>
                <c:pt idx="788">
                  <c:v>111.68846469127693</c:v>
                </c:pt>
                <c:pt idx="789">
                  <c:v>111.15126555856989</c:v>
                </c:pt>
                <c:pt idx="790">
                  <c:v>110.62616708980913</c:v>
                </c:pt>
                <c:pt idx="791">
                  <c:v>110.0596487581216</c:v>
                </c:pt>
                <c:pt idx="792">
                  <c:v>109.52206797293906</c:v>
                </c:pt>
                <c:pt idx="793">
                  <c:v>108.99585161014895</c:v>
                </c:pt>
                <c:pt idx="794">
                  <c:v>108.48117381365627</c:v>
                </c:pt>
                <c:pt idx="795">
                  <c:v>107.92587650743152</c:v>
                </c:pt>
                <c:pt idx="796">
                  <c:v>107.40759260924978</c:v>
                </c:pt>
                <c:pt idx="797">
                  <c:v>106.90068298975609</c:v>
                </c:pt>
                <c:pt idx="798">
                  <c:v>106.35374913749233</c:v>
                </c:pt>
                <c:pt idx="799">
                  <c:v>105.84328926986386</c:v>
                </c:pt>
                <c:pt idx="800">
                  <c:v>105.34403420474642</c:v>
                </c:pt>
                <c:pt idx="801">
                  <c:v>104.80533711250469</c:v>
                </c:pt>
                <c:pt idx="802">
                  <c:v>104.29451879154128</c:v>
                </c:pt>
                <c:pt idx="803">
                  <c:v>103.81891877400494</c:v>
                </c:pt>
                <c:pt idx="804">
                  <c:v>103.28031302556266</c:v>
                </c:pt>
                <c:pt idx="805">
                  <c:v>102.77720850766923</c:v>
                </c:pt>
                <c:pt idx="806">
                  <c:v>102.28436075701256</c:v>
                </c:pt>
                <c:pt idx="807">
                  <c:v>101.80265136670566</c:v>
                </c:pt>
                <c:pt idx="808">
                  <c:v>101.2828271134485</c:v>
                </c:pt>
                <c:pt idx="809">
                  <c:v>100.79743521436585</c:v>
                </c:pt>
                <c:pt idx="810">
                  <c:v>100.32301756843029</c:v>
                </c:pt>
                <c:pt idx="811">
                  <c:v>99.811040084228381</c:v>
                </c:pt>
                <c:pt idx="812">
                  <c:v>99.325309507320583</c:v>
                </c:pt>
                <c:pt idx="813">
                  <c:v>98.873413189161198</c:v>
                </c:pt>
                <c:pt idx="814">
                  <c:v>98.361516466432704</c:v>
                </c:pt>
                <c:pt idx="815">
                  <c:v>97.883136106709458</c:v>
                </c:pt>
                <c:pt idx="816">
                  <c:v>97.41491609464606</c:v>
                </c:pt>
                <c:pt idx="817">
                  <c:v>96.957007912276737</c:v>
                </c:pt>
                <c:pt idx="818">
                  <c:v>96.462799040166729</c:v>
                </c:pt>
                <c:pt idx="819">
                  <c:v>96.001674687348824</c:v>
                </c:pt>
                <c:pt idx="820">
                  <c:v>95.550708491088059</c:v>
                </c:pt>
                <c:pt idx="821">
                  <c:v>95.063970912998826</c:v>
                </c:pt>
                <c:pt idx="822">
                  <c:v>94.602516657112346</c:v>
                </c:pt>
                <c:pt idx="823">
                  <c:v>94.172999804791658</c:v>
                </c:pt>
                <c:pt idx="824">
                  <c:v>93.686331439611465</c:v>
                </c:pt>
                <c:pt idx="825">
                  <c:v>93.231865141703224</c:v>
                </c:pt>
                <c:pt idx="826">
                  <c:v>92.808879035561617</c:v>
                </c:pt>
                <c:pt idx="827">
                  <c:v>92.329571003313674</c:v>
                </c:pt>
                <c:pt idx="828">
                  <c:v>91.88199304753374</c:v>
                </c:pt>
                <c:pt idx="829">
                  <c:v>91.443577275696171</c:v>
                </c:pt>
                <c:pt idx="830">
                  <c:v>91.015118321973432</c:v>
                </c:pt>
                <c:pt idx="831">
                  <c:v>90.552576530094015</c:v>
                </c:pt>
                <c:pt idx="832">
                  <c:v>90.120814191608488</c:v>
                </c:pt>
                <c:pt idx="833">
                  <c:v>89.698861931050814</c:v>
                </c:pt>
                <c:pt idx="834">
                  <c:v>89.243316648867477</c:v>
                </c:pt>
                <c:pt idx="835">
                  <c:v>88.811233739527708</c:v>
                </c:pt>
                <c:pt idx="836">
                  <c:v>88.409401242198697</c:v>
                </c:pt>
                <c:pt idx="837">
                  <c:v>87.953907353283427</c:v>
                </c:pt>
                <c:pt idx="838">
                  <c:v>87.5283737950123</c:v>
                </c:pt>
                <c:pt idx="839">
                  <c:v>87.111919329435807</c:v>
                </c:pt>
                <c:pt idx="840">
                  <c:v>86.704591756719353</c:v>
                </c:pt>
                <c:pt idx="841">
                  <c:v>86.26505211030846</c:v>
                </c:pt>
                <c:pt idx="842">
                  <c:v>85.854832789057483</c:v>
                </c:pt>
                <c:pt idx="843">
                  <c:v>85.453690432298131</c:v>
                </c:pt>
                <c:pt idx="844">
                  <c:v>85.020799524445081</c:v>
                </c:pt>
                <c:pt idx="845">
                  <c:v>84.610257456983931</c:v>
                </c:pt>
                <c:pt idx="846">
                  <c:v>84.228275261394444</c:v>
                </c:pt>
                <c:pt idx="847">
                  <c:v>83.79541532210736</c:v>
                </c:pt>
                <c:pt idx="848">
                  <c:v>83.3910105154945</c:v>
                </c:pt>
                <c:pt idx="849">
                  <c:v>82.995251235625759</c:v>
                </c:pt>
                <c:pt idx="850">
                  <c:v>82.608265191429567</c:v>
                </c:pt>
                <c:pt idx="851">
                  <c:v>82.190335764564281</c:v>
                </c:pt>
                <c:pt idx="852">
                  <c:v>81.800578951467671</c:v>
                </c:pt>
                <c:pt idx="853">
                  <c:v>81.419466532242552</c:v>
                </c:pt>
                <c:pt idx="854">
                  <c:v>81.00785677914233</c:v>
                </c:pt>
                <c:pt idx="855">
                  <c:v>80.617776565108755</c:v>
                </c:pt>
                <c:pt idx="856">
                  <c:v>80.254899760461456</c:v>
                </c:pt>
                <c:pt idx="857">
                  <c:v>79.843303095952123</c:v>
                </c:pt>
                <c:pt idx="858">
                  <c:v>79.459132759266751</c:v>
                </c:pt>
                <c:pt idx="859">
                  <c:v>79.101774936180973</c:v>
                </c:pt>
                <c:pt idx="860">
                  <c:v>78.69639356918465</c:v>
                </c:pt>
                <c:pt idx="861">
                  <c:v>78.318044165870887</c:v>
                </c:pt>
                <c:pt idx="862">
                  <c:v>77.947491051467338</c:v>
                </c:pt>
                <c:pt idx="863">
                  <c:v>77.585401130986057</c:v>
                </c:pt>
                <c:pt idx="864">
                  <c:v>77.194240321348929</c:v>
                </c:pt>
                <c:pt idx="865">
                  <c:v>76.823354625358959</c:v>
                </c:pt>
                <c:pt idx="866">
                  <c:v>76.478620207282219</c:v>
                </c:pt>
                <c:pt idx="867">
                  <c:v>76.087450756001502</c:v>
                </c:pt>
                <c:pt idx="868">
                  <c:v>75.722185394039741</c:v>
                </c:pt>
                <c:pt idx="869">
                  <c:v>75.382691513405447</c:v>
                </c:pt>
                <c:pt idx="870">
                  <c:v>74.997422803249378</c:v>
                </c:pt>
                <c:pt idx="871">
                  <c:v>74.637681672985735</c:v>
                </c:pt>
                <c:pt idx="872">
                  <c:v>74.285659789862777</c:v>
                </c:pt>
                <c:pt idx="873">
                  <c:v>73.941481148425282</c:v>
                </c:pt>
                <c:pt idx="874">
                  <c:v>73.569590795693486</c:v>
                </c:pt>
                <c:pt idx="875">
                  <c:v>73.217232779259987</c:v>
                </c:pt>
                <c:pt idx="876">
                  <c:v>72.889571031949956</c:v>
                </c:pt>
                <c:pt idx="877">
                  <c:v>72.517649410509492</c:v>
                </c:pt>
                <c:pt idx="878">
                  <c:v>72.17062131783689</c:v>
                </c:pt>
                <c:pt idx="879">
                  <c:v>71.847933632768544</c:v>
                </c:pt>
                <c:pt idx="880">
                  <c:v>71.481611965475992</c:v>
                </c:pt>
                <c:pt idx="881">
                  <c:v>71.139828408748258</c:v>
                </c:pt>
                <c:pt idx="882">
                  <c:v>70.822037890117031</c:v>
                </c:pt>
                <c:pt idx="883">
                  <c:v>70.461232914416385</c:v>
                </c:pt>
                <c:pt idx="884">
                  <c:v>70.124612052645247</c:v>
                </c:pt>
                <c:pt idx="885">
                  <c:v>69.789555555226187</c:v>
                </c:pt>
              </c:numCache>
            </c:numRef>
          </c:yVal>
          <c:smooth val="0"/>
        </c:ser>
        <c:dLbls>
          <c:showLegendKey val="0"/>
          <c:showVal val="0"/>
          <c:showCatName val="0"/>
          <c:showSerName val="0"/>
          <c:showPercent val="0"/>
          <c:showBubbleSize val="0"/>
        </c:dLbls>
        <c:axId val="219051944"/>
        <c:axId val="219052336"/>
      </c:scatterChart>
      <c:valAx>
        <c:axId val="219051944"/>
        <c:scaling>
          <c:orientation val="minMax"/>
          <c:max val="140"/>
        </c:scaling>
        <c:delete val="0"/>
        <c:axPos val="b"/>
        <c:title>
          <c:tx>
            <c:rich>
              <a:bodyPr/>
              <a:lstStyle/>
              <a:p>
                <a:pPr>
                  <a:defRPr sz="1200"/>
                </a:pPr>
                <a:r>
                  <a:rPr lang="en-US" sz="1200"/>
                  <a:t>Cumulative water (bbl)</a:t>
                </a:r>
              </a:p>
            </c:rich>
          </c:tx>
          <c:layout>
            <c:manualLayout>
              <c:xMode val="edge"/>
              <c:yMode val="edge"/>
              <c:x val="0.39372977468426723"/>
              <c:y val="0.90820729193237448"/>
            </c:manualLayout>
          </c:layout>
          <c:overlay val="0"/>
          <c:spPr>
            <a:ln>
              <a:solidFill>
                <a:sysClr val="window" lastClr="FFFFFF"/>
              </a:solidFill>
            </a:ln>
          </c:spPr>
        </c:title>
        <c:numFmt formatCode="0" sourceLinked="0"/>
        <c:majorTickMark val="cross"/>
        <c:minorTickMark val="none"/>
        <c:tickLblPos val="nextTo"/>
        <c:spPr>
          <a:noFill/>
          <a:ln w="9525" cap="flat" cmpd="sng" algn="ctr">
            <a:solidFill>
              <a:sysClr val="windowText" lastClr="000000"/>
            </a:solidFill>
            <a:round/>
          </a:ln>
          <a:effectLst/>
        </c:spPr>
        <c:txPr>
          <a:bodyPr rot="-60000000" vert="horz"/>
          <a:lstStyle/>
          <a:p>
            <a:pPr>
              <a:defRPr sz="1100"/>
            </a:pPr>
            <a:endParaRPr lang="en-US"/>
          </a:p>
        </c:txPr>
        <c:crossAx val="219052336"/>
        <c:crosses val="autoZero"/>
        <c:crossBetween val="midCat"/>
      </c:valAx>
      <c:valAx>
        <c:axId val="219052336"/>
        <c:scaling>
          <c:orientation val="minMax"/>
          <c:min val="0"/>
        </c:scaling>
        <c:delete val="0"/>
        <c:axPos val="l"/>
        <c:title>
          <c:tx>
            <c:rich>
              <a:bodyPr rot="-5400000" vert="horz"/>
              <a:lstStyle/>
              <a:p>
                <a:pPr>
                  <a:defRPr sz="1200"/>
                </a:pPr>
                <a:r>
                  <a:rPr lang="en-US" sz="1200"/>
                  <a:t>Tracer Concentration, ppm</a:t>
                </a:r>
              </a:p>
            </c:rich>
          </c:tx>
          <c:layout>
            <c:manualLayout>
              <c:xMode val="edge"/>
              <c:yMode val="edge"/>
              <c:x val="1.331154685975418E-2"/>
              <c:y val="0.17287430149298252"/>
            </c:manualLayout>
          </c:layout>
          <c:overlay val="0"/>
        </c:title>
        <c:numFmt formatCode="General" sourceLinked="1"/>
        <c:majorTickMark val="cross"/>
        <c:minorTickMark val="none"/>
        <c:tickLblPos val="nextTo"/>
        <c:spPr>
          <a:noFill/>
          <a:ln w="9525" cap="flat" cmpd="sng" algn="ctr">
            <a:solidFill>
              <a:sysClr val="windowText" lastClr="000000"/>
            </a:solidFill>
            <a:round/>
          </a:ln>
          <a:effectLst/>
        </c:spPr>
        <c:txPr>
          <a:bodyPr rot="-60000000" vert="horz"/>
          <a:lstStyle/>
          <a:p>
            <a:pPr>
              <a:defRPr sz="1100"/>
            </a:pPr>
            <a:endParaRPr lang="en-US"/>
          </a:p>
        </c:txPr>
        <c:crossAx val="219051944"/>
        <c:crosses val="autoZero"/>
        <c:crossBetween val="midCat"/>
        <c:majorUnit val="150"/>
      </c:valAx>
      <c:spPr>
        <a:noFill/>
        <a:ln>
          <a:solidFill>
            <a:sysClr val="windowText" lastClr="000000"/>
          </a:solidFill>
        </a:ln>
        <a:effectLst/>
      </c:spPr>
    </c:plotArea>
    <c:legend>
      <c:legendPos val="r"/>
      <c:layout>
        <c:manualLayout>
          <c:xMode val="edge"/>
          <c:yMode val="edge"/>
          <c:x val="0.67712846805166305"/>
          <c:y val="0.10148674835196761"/>
          <c:w val="0.26408054925337721"/>
          <c:h val="0.30503829185672826"/>
        </c:manualLayout>
      </c:layout>
      <c:overlay val="0"/>
      <c:spPr>
        <a:noFill/>
        <a:ln>
          <a:noFill/>
        </a:ln>
        <a:effectLst/>
      </c:spPr>
      <c:txPr>
        <a:bodyPr rot="0" vert="horz"/>
        <a:lstStyle/>
        <a:p>
          <a:pPr>
            <a:defRPr sz="1100"/>
          </a:pPr>
          <a:endParaRPr lang="en-US"/>
        </a:p>
      </c:txPr>
    </c:legend>
    <c:plotVisOnly val="1"/>
    <c:dispBlanksAs val="gap"/>
    <c:showDLblsOverMax val="0"/>
  </c:chart>
  <c:spPr>
    <a:solidFill>
      <a:sysClr val="window" lastClr="FFFFFF"/>
    </a:solidFill>
    <a:ln w="9525" cap="flat" cmpd="sng" algn="ctr">
      <a:solidFill>
        <a:sysClr val="window" lastClr="FFFFFF"/>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025315977663988"/>
          <c:y val="4.2067277874113615E-2"/>
          <c:w val="0.85196273119818966"/>
          <c:h val="0.79897433405322427"/>
        </c:manualLayout>
      </c:layout>
      <c:scatterChart>
        <c:scatterStyle val="lineMarker"/>
        <c:varyColors val="0"/>
        <c:ser>
          <c:idx val="0"/>
          <c:order val="0"/>
          <c:tx>
            <c:v>EtF_Field</c:v>
          </c:tx>
          <c:spPr>
            <a:ln w="19050" cap="rnd">
              <a:noFill/>
              <a:round/>
            </a:ln>
            <a:effectLst/>
          </c:spPr>
          <c:marker>
            <c:symbol val="square"/>
            <c:size val="5"/>
            <c:spPr>
              <a:noFill/>
              <a:ln w="9525">
                <a:solidFill>
                  <a:schemeClr val="accent1"/>
                </a:solidFill>
              </a:ln>
              <a:effectLst/>
            </c:spPr>
          </c:marker>
          <c:xVal>
            <c:numRef>
              <c:f>'Field Test'!$D$9:$D$109</c:f>
              <c:numCache>
                <c:formatCode>General</c:formatCode>
                <c:ptCount val="101"/>
                <c:pt idx="0">
                  <c:v>0</c:v>
                </c:pt>
                <c:pt idx="1">
                  <c:v>1.1149999999999807</c:v>
                </c:pt>
                <c:pt idx="2">
                  <c:v>1.6724999999999852</c:v>
                </c:pt>
                <c:pt idx="3">
                  <c:v>2.7874999999999943</c:v>
                </c:pt>
                <c:pt idx="4">
                  <c:v>3.9025000000000034</c:v>
                </c:pt>
                <c:pt idx="5">
                  <c:v>5.5749999999999886</c:v>
                </c:pt>
                <c:pt idx="6">
                  <c:v>6.6899999999999977</c:v>
                </c:pt>
                <c:pt idx="7">
                  <c:v>7.5262500000000045</c:v>
                </c:pt>
                <c:pt idx="8">
                  <c:v>8.3624999999999829</c:v>
                </c:pt>
                <c:pt idx="9">
                  <c:v>11.707499999999982</c:v>
                </c:pt>
                <c:pt idx="10">
                  <c:v>15.609999999999985</c:v>
                </c:pt>
                <c:pt idx="11">
                  <c:v>18.39749999999998</c:v>
                </c:pt>
                <c:pt idx="12">
                  <c:v>21.742500000000007</c:v>
                </c:pt>
                <c:pt idx="13">
                  <c:v>22.857499999999987</c:v>
                </c:pt>
                <c:pt idx="14">
                  <c:v>25.087500000000006</c:v>
                </c:pt>
                <c:pt idx="15">
                  <c:v>26.202499999999986</c:v>
                </c:pt>
                <c:pt idx="16">
                  <c:v>27.875</c:v>
                </c:pt>
                <c:pt idx="17">
                  <c:v>28.711250000000007</c:v>
                </c:pt>
                <c:pt idx="18">
                  <c:v>29.547499999999985</c:v>
                </c:pt>
                <c:pt idx="19">
                  <c:v>30.662499999999994</c:v>
                </c:pt>
                <c:pt idx="20">
                  <c:v>31.777500000000003</c:v>
                </c:pt>
                <c:pt idx="21">
                  <c:v>33.449999999999989</c:v>
                </c:pt>
                <c:pt idx="22">
                  <c:v>35.122500000000002</c:v>
                </c:pt>
                <c:pt idx="23">
                  <c:v>37.352499999999992</c:v>
                </c:pt>
                <c:pt idx="24">
                  <c:v>38.467500000000001</c:v>
                </c:pt>
                <c:pt idx="25">
                  <c:v>40.697499999999991</c:v>
                </c:pt>
                <c:pt idx="26">
                  <c:v>41.254999999999995</c:v>
                </c:pt>
                <c:pt idx="27">
                  <c:v>44.04249999999999</c:v>
                </c:pt>
                <c:pt idx="28">
                  <c:v>44.599999999999994</c:v>
                </c:pt>
                <c:pt idx="29">
                  <c:v>45.157499999999999</c:v>
                </c:pt>
                <c:pt idx="30">
                  <c:v>46.829999999999984</c:v>
                </c:pt>
                <c:pt idx="31">
                  <c:v>47.944999999999993</c:v>
                </c:pt>
                <c:pt idx="32">
                  <c:v>49.06</c:v>
                </c:pt>
                <c:pt idx="33">
                  <c:v>50.174999999999983</c:v>
                </c:pt>
                <c:pt idx="34">
                  <c:v>51.289999999999992</c:v>
                </c:pt>
                <c:pt idx="35">
                  <c:v>52.405000000000001</c:v>
                </c:pt>
                <c:pt idx="36">
                  <c:v>53.519999999999982</c:v>
                </c:pt>
                <c:pt idx="37">
                  <c:v>54.634999999999991</c:v>
                </c:pt>
                <c:pt idx="38">
                  <c:v>55.75</c:v>
                </c:pt>
                <c:pt idx="39">
                  <c:v>56.307500000000005</c:v>
                </c:pt>
                <c:pt idx="40">
                  <c:v>57.422499999999985</c:v>
                </c:pt>
                <c:pt idx="41">
                  <c:v>58.537499999999994</c:v>
                </c:pt>
                <c:pt idx="42">
                  <c:v>59.652500000000003</c:v>
                </c:pt>
                <c:pt idx="43">
                  <c:v>60.20999999999998</c:v>
                </c:pt>
                <c:pt idx="44">
                  <c:v>61.324999999999989</c:v>
                </c:pt>
                <c:pt idx="45">
                  <c:v>61.882499999999993</c:v>
                </c:pt>
                <c:pt idx="46">
                  <c:v>62.997500000000002</c:v>
                </c:pt>
                <c:pt idx="47">
                  <c:v>64.112499999999983</c:v>
                </c:pt>
                <c:pt idx="48">
                  <c:v>64.669999999999987</c:v>
                </c:pt>
                <c:pt idx="49">
                  <c:v>66.342500000000001</c:v>
                </c:pt>
                <c:pt idx="50">
                  <c:v>66.900000000000006</c:v>
                </c:pt>
                <c:pt idx="51">
                  <c:v>67.457499999999982</c:v>
                </c:pt>
                <c:pt idx="52">
                  <c:v>67.903500000000008</c:v>
                </c:pt>
                <c:pt idx="53">
                  <c:v>68.126499999999993</c:v>
                </c:pt>
                <c:pt idx="54">
                  <c:v>68.572499999999991</c:v>
                </c:pt>
                <c:pt idx="55">
                  <c:v>69.13</c:v>
                </c:pt>
                <c:pt idx="56">
                  <c:v>69.6875</c:v>
                </c:pt>
                <c:pt idx="57">
                  <c:v>71.91749999999999</c:v>
                </c:pt>
                <c:pt idx="58">
                  <c:v>73.311250000000001</c:v>
                </c:pt>
                <c:pt idx="59">
                  <c:v>75.262499999999989</c:v>
                </c:pt>
                <c:pt idx="60">
                  <c:v>76.377499999999998</c:v>
                </c:pt>
                <c:pt idx="61">
                  <c:v>76.935000000000002</c:v>
                </c:pt>
                <c:pt idx="62">
                  <c:v>77.771249999999981</c:v>
                </c:pt>
                <c:pt idx="63">
                  <c:v>79.164999999999992</c:v>
                </c:pt>
                <c:pt idx="64">
                  <c:v>80.28</c:v>
                </c:pt>
                <c:pt idx="65">
                  <c:v>80.993599999999986</c:v>
                </c:pt>
                <c:pt idx="66">
                  <c:v>82.509999999999991</c:v>
                </c:pt>
                <c:pt idx="67">
                  <c:v>83.625</c:v>
                </c:pt>
                <c:pt idx="68">
                  <c:v>85.297499999999985</c:v>
                </c:pt>
                <c:pt idx="69">
                  <c:v>86.691249999999997</c:v>
                </c:pt>
                <c:pt idx="70">
                  <c:v>88.08499999999998</c:v>
                </c:pt>
                <c:pt idx="71">
                  <c:v>89.199999999999989</c:v>
                </c:pt>
                <c:pt idx="72">
                  <c:v>90.314999999999998</c:v>
                </c:pt>
                <c:pt idx="73">
                  <c:v>93.102499999999992</c:v>
                </c:pt>
                <c:pt idx="74">
                  <c:v>94.217500000000001</c:v>
                </c:pt>
                <c:pt idx="75">
                  <c:v>96.447499999999991</c:v>
                </c:pt>
                <c:pt idx="76">
                  <c:v>98.12</c:v>
                </c:pt>
                <c:pt idx="77">
                  <c:v>99.79249999999999</c:v>
                </c:pt>
                <c:pt idx="78">
                  <c:v>102.02249999999998</c:v>
                </c:pt>
                <c:pt idx="79">
                  <c:v>104.53125</c:v>
                </c:pt>
                <c:pt idx="80">
                  <c:v>107.03999999999999</c:v>
                </c:pt>
                <c:pt idx="81">
                  <c:v>109.26999999999998</c:v>
                </c:pt>
                <c:pt idx="82">
                  <c:v>112.0575</c:v>
                </c:pt>
                <c:pt idx="83">
                  <c:v>114.845</c:v>
                </c:pt>
                <c:pt idx="84">
                  <c:v>116.51749999999998</c:v>
                </c:pt>
                <c:pt idx="85">
                  <c:v>119.86249999999995</c:v>
                </c:pt>
                <c:pt idx="86">
                  <c:v>122.09249999999997</c:v>
                </c:pt>
                <c:pt idx="87">
                  <c:v>124.32249999999999</c:v>
                </c:pt>
                <c:pt idx="88">
                  <c:v>126.55249999999995</c:v>
                </c:pt>
                <c:pt idx="89">
                  <c:v>128.78249999999997</c:v>
                </c:pt>
                <c:pt idx="90">
                  <c:v>133.24249999999995</c:v>
                </c:pt>
                <c:pt idx="91">
                  <c:v>131.01249999999999</c:v>
                </c:pt>
                <c:pt idx="92">
                  <c:v>137.70249999999999</c:v>
                </c:pt>
                <c:pt idx="93">
                  <c:v>139.93249999999995</c:v>
                </c:pt>
                <c:pt idx="94">
                  <c:v>143.27749999999997</c:v>
                </c:pt>
                <c:pt idx="95">
                  <c:v>147.17999999999995</c:v>
                </c:pt>
                <c:pt idx="96">
                  <c:v>149.96749999999997</c:v>
                </c:pt>
                <c:pt idx="97">
                  <c:v>151.63999999999999</c:v>
                </c:pt>
                <c:pt idx="98">
                  <c:v>152.75499999999994</c:v>
                </c:pt>
                <c:pt idx="99">
                  <c:v>154.98499999999996</c:v>
                </c:pt>
                <c:pt idx="100">
                  <c:v>157.21499999999997</c:v>
                </c:pt>
              </c:numCache>
            </c:numRef>
          </c:xVal>
          <c:yVal>
            <c:numRef>
              <c:f>'Field Test'!$M$9:$M$109</c:f>
              <c:numCache>
                <c:formatCode>General</c:formatCode>
                <c:ptCount val="101"/>
                <c:pt idx="6">
                  <c:v>0</c:v>
                </c:pt>
                <c:pt idx="7">
                  <c:v>0</c:v>
                </c:pt>
                <c:pt idx="9">
                  <c:v>0</c:v>
                </c:pt>
                <c:pt idx="10">
                  <c:v>0</c:v>
                </c:pt>
                <c:pt idx="11">
                  <c:v>0</c:v>
                </c:pt>
                <c:pt idx="12">
                  <c:v>119</c:v>
                </c:pt>
                <c:pt idx="13">
                  <c:v>549</c:v>
                </c:pt>
                <c:pt idx="14">
                  <c:v>570.5</c:v>
                </c:pt>
                <c:pt idx="15">
                  <c:v>615</c:v>
                </c:pt>
                <c:pt idx="16">
                  <c:v>609</c:v>
                </c:pt>
                <c:pt idx="17">
                  <c:v>639.5</c:v>
                </c:pt>
                <c:pt idx="18">
                  <c:v>490.5</c:v>
                </c:pt>
                <c:pt idx="19">
                  <c:v>552</c:v>
                </c:pt>
                <c:pt idx="20">
                  <c:v>597</c:v>
                </c:pt>
                <c:pt idx="21">
                  <c:v>511</c:v>
                </c:pt>
                <c:pt idx="22">
                  <c:v>508.5</c:v>
                </c:pt>
                <c:pt idx="23">
                  <c:v>462</c:v>
                </c:pt>
                <c:pt idx="24">
                  <c:v>505</c:v>
                </c:pt>
                <c:pt idx="25">
                  <c:v>449.5</c:v>
                </c:pt>
                <c:pt idx="26">
                  <c:v>534</c:v>
                </c:pt>
                <c:pt idx="27">
                  <c:v>405.5</c:v>
                </c:pt>
                <c:pt idx="28">
                  <c:v>493</c:v>
                </c:pt>
                <c:pt idx="29">
                  <c:v>451.5</c:v>
                </c:pt>
                <c:pt idx="30">
                  <c:v>444.5</c:v>
                </c:pt>
                <c:pt idx="31">
                  <c:v>261</c:v>
                </c:pt>
                <c:pt idx="32">
                  <c:v>475.5</c:v>
                </c:pt>
                <c:pt idx="33">
                  <c:v>425</c:v>
                </c:pt>
                <c:pt idx="34">
                  <c:v>276.5</c:v>
                </c:pt>
                <c:pt idx="35">
                  <c:v>429.5</c:v>
                </c:pt>
                <c:pt idx="36">
                  <c:v>380.5</c:v>
                </c:pt>
                <c:pt idx="37">
                  <c:v>373.5</c:v>
                </c:pt>
                <c:pt idx="38">
                  <c:v>286</c:v>
                </c:pt>
                <c:pt idx="39">
                  <c:v>352.5</c:v>
                </c:pt>
                <c:pt idx="40">
                  <c:v>344.5</c:v>
                </c:pt>
                <c:pt idx="41">
                  <c:v>335.5</c:v>
                </c:pt>
                <c:pt idx="42">
                  <c:v>210.5</c:v>
                </c:pt>
                <c:pt idx="43">
                  <c:v>324</c:v>
                </c:pt>
                <c:pt idx="44">
                  <c:v>229</c:v>
                </c:pt>
                <c:pt idx="45">
                  <c:v>269</c:v>
                </c:pt>
                <c:pt idx="46">
                  <c:v>214</c:v>
                </c:pt>
                <c:pt idx="47">
                  <c:v>213</c:v>
                </c:pt>
                <c:pt idx="48">
                  <c:v>385</c:v>
                </c:pt>
                <c:pt idx="49">
                  <c:v>342.5</c:v>
                </c:pt>
                <c:pt idx="50">
                  <c:v>350.5</c:v>
                </c:pt>
                <c:pt idx="51">
                  <c:v>330</c:v>
                </c:pt>
                <c:pt idx="52">
                  <c:v>314.5</c:v>
                </c:pt>
                <c:pt idx="53">
                  <c:v>287</c:v>
                </c:pt>
                <c:pt idx="54">
                  <c:v>286.5</c:v>
                </c:pt>
                <c:pt idx="55">
                  <c:v>241.5</c:v>
                </c:pt>
                <c:pt idx="56">
                  <c:v>282.5</c:v>
                </c:pt>
                <c:pt idx="57">
                  <c:v>253</c:v>
                </c:pt>
                <c:pt idx="58">
                  <c:v>234</c:v>
                </c:pt>
                <c:pt idx="59">
                  <c:v>149.5</c:v>
                </c:pt>
                <c:pt idx="60">
                  <c:v>123.5</c:v>
                </c:pt>
                <c:pt idx="61">
                  <c:v>110</c:v>
                </c:pt>
                <c:pt idx="62">
                  <c:v>96.5</c:v>
                </c:pt>
                <c:pt idx="63">
                  <c:v>97</c:v>
                </c:pt>
                <c:pt idx="64">
                  <c:v>93.5</c:v>
                </c:pt>
                <c:pt idx="65">
                  <c:v>94.5</c:v>
                </c:pt>
                <c:pt idx="66">
                  <c:v>80.5</c:v>
                </c:pt>
                <c:pt idx="67">
                  <c:v>90.5</c:v>
                </c:pt>
                <c:pt idx="68">
                  <c:v>148</c:v>
                </c:pt>
                <c:pt idx="69">
                  <c:v>91.5</c:v>
                </c:pt>
                <c:pt idx="70">
                  <c:v>89</c:v>
                </c:pt>
                <c:pt idx="71">
                  <c:v>85</c:v>
                </c:pt>
                <c:pt idx="72">
                  <c:v>81.5</c:v>
                </c:pt>
                <c:pt idx="73">
                  <c:v>82</c:v>
                </c:pt>
                <c:pt idx="74">
                  <c:v>72</c:v>
                </c:pt>
                <c:pt idx="75">
                  <c:v>64</c:v>
                </c:pt>
                <c:pt idx="76">
                  <c:v>73.5</c:v>
                </c:pt>
                <c:pt idx="77">
                  <c:v>61.5</c:v>
                </c:pt>
                <c:pt idx="78">
                  <c:v>63.5</c:v>
                </c:pt>
                <c:pt idx="79">
                  <c:v>63</c:v>
                </c:pt>
                <c:pt idx="80">
                  <c:v>53</c:v>
                </c:pt>
                <c:pt idx="81">
                  <c:v>41</c:v>
                </c:pt>
                <c:pt idx="82">
                  <c:v>47</c:v>
                </c:pt>
                <c:pt idx="83">
                  <c:v>53.5</c:v>
                </c:pt>
                <c:pt idx="84">
                  <c:v>52.5</c:v>
                </c:pt>
                <c:pt idx="85">
                  <c:v>49</c:v>
                </c:pt>
                <c:pt idx="86">
                  <c:v>50.5</c:v>
                </c:pt>
                <c:pt idx="87">
                  <c:v>47.5</c:v>
                </c:pt>
                <c:pt idx="88">
                  <c:v>58.5</c:v>
                </c:pt>
                <c:pt idx="89">
                  <c:v>48</c:v>
                </c:pt>
                <c:pt idx="90">
                  <c:v>44</c:v>
                </c:pt>
                <c:pt idx="91">
                  <c:v>44</c:v>
                </c:pt>
                <c:pt idx="92">
                  <c:v>30.5</c:v>
                </c:pt>
                <c:pt idx="93">
                  <c:v>30.5</c:v>
                </c:pt>
                <c:pt idx="94">
                  <c:v>43.5</c:v>
                </c:pt>
                <c:pt idx="95">
                  <c:v>34</c:v>
                </c:pt>
                <c:pt idx="96">
                  <c:v>37</c:v>
                </c:pt>
                <c:pt idx="97">
                  <c:v>26.5</c:v>
                </c:pt>
                <c:pt idx="98">
                  <c:v>32.5</c:v>
                </c:pt>
                <c:pt idx="99">
                  <c:v>34</c:v>
                </c:pt>
                <c:pt idx="100">
                  <c:v>25.5</c:v>
                </c:pt>
              </c:numCache>
            </c:numRef>
          </c:yVal>
          <c:smooth val="0"/>
        </c:ser>
        <c:ser>
          <c:idx val="1"/>
          <c:order val="1"/>
          <c:tx>
            <c:v>EOH_Field</c:v>
          </c:tx>
          <c:spPr>
            <a:ln w="25400" cap="rnd">
              <a:noFill/>
              <a:round/>
            </a:ln>
            <a:effectLst/>
          </c:spPr>
          <c:marker>
            <c:symbol val="circle"/>
            <c:size val="6"/>
            <c:spPr>
              <a:noFill/>
              <a:ln w="9525">
                <a:solidFill>
                  <a:schemeClr val="accent2"/>
                </a:solidFill>
              </a:ln>
              <a:effectLst/>
            </c:spPr>
          </c:marker>
          <c:xVal>
            <c:numRef>
              <c:f>'Field Test'!$D$9:$D$109</c:f>
              <c:numCache>
                <c:formatCode>General</c:formatCode>
                <c:ptCount val="101"/>
                <c:pt idx="0">
                  <c:v>0</c:v>
                </c:pt>
                <c:pt idx="1">
                  <c:v>1.1149999999999807</c:v>
                </c:pt>
                <c:pt idx="2">
                  <c:v>1.6724999999999852</c:v>
                </c:pt>
                <c:pt idx="3">
                  <c:v>2.7874999999999943</c:v>
                </c:pt>
                <c:pt idx="4">
                  <c:v>3.9025000000000034</c:v>
                </c:pt>
                <c:pt idx="5">
                  <c:v>5.5749999999999886</c:v>
                </c:pt>
                <c:pt idx="6">
                  <c:v>6.6899999999999977</c:v>
                </c:pt>
                <c:pt idx="7">
                  <c:v>7.5262500000000045</c:v>
                </c:pt>
                <c:pt idx="8">
                  <c:v>8.3624999999999829</c:v>
                </c:pt>
                <c:pt idx="9">
                  <c:v>11.707499999999982</c:v>
                </c:pt>
                <c:pt idx="10">
                  <c:v>15.609999999999985</c:v>
                </c:pt>
                <c:pt idx="11">
                  <c:v>18.39749999999998</c:v>
                </c:pt>
                <c:pt idx="12">
                  <c:v>21.742500000000007</c:v>
                </c:pt>
                <c:pt idx="13">
                  <c:v>22.857499999999987</c:v>
                </c:pt>
                <c:pt idx="14">
                  <c:v>25.087500000000006</c:v>
                </c:pt>
                <c:pt idx="15">
                  <c:v>26.202499999999986</c:v>
                </c:pt>
                <c:pt idx="16">
                  <c:v>27.875</c:v>
                </c:pt>
                <c:pt idx="17">
                  <c:v>28.711250000000007</c:v>
                </c:pt>
                <c:pt idx="18">
                  <c:v>29.547499999999985</c:v>
                </c:pt>
                <c:pt idx="19">
                  <c:v>30.662499999999994</c:v>
                </c:pt>
                <c:pt idx="20">
                  <c:v>31.777500000000003</c:v>
                </c:pt>
                <c:pt idx="21">
                  <c:v>33.449999999999989</c:v>
                </c:pt>
                <c:pt idx="22">
                  <c:v>35.122500000000002</c:v>
                </c:pt>
                <c:pt idx="23">
                  <c:v>37.352499999999992</c:v>
                </c:pt>
                <c:pt idx="24">
                  <c:v>38.467500000000001</c:v>
                </c:pt>
                <c:pt idx="25">
                  <c:v>40.697499999999991</c:v>
                </c:pt>
                <c:pt idx="26">
                  <c:v>41.254999999999995</c:v>
                </c:pt>
                <c:pt idx="27">
                  <c:v>44.04249999999999</c:v>
                </c:pt>
                <c:pt idx="28">
                  <c:v>44.599999999999994</c:v>
                </c:pt>
                <c:pt idx="29">
                  <c:v>45.157499999999999</c:v>
                </c:pt>
                <c:pt idx="30">
                  <c:v>46.829999999999984</c:v>
                </c:pt>
                <c:pt idx="31">
                  <c:v>47.944999999999993</c:v>
                </c:pt>
                <c:pt idx="32">
                  <c:v>49.06</c:v>
                </c:pt>
                <c:pt idx="33">
                  <c:v>50.174999999999983</c:v>
                </c:pt>
                <c:pt idx="34">
                  <c:v>51.289999999999992</c:v>
                </c:pt>
                <c:pt idx="35">
                  <c:v>52.405000000000001</c:v>
                </c:pt>
                <c:pt idx="36">
                  <c:v>53.519999999999982</c:v>
                </c:pt>
                <c:pt idx="37">
                  <c:v>54.634999999999991</c:v>
                </c:pt>
                <c:pt idx="38">
                  <c:v>55.75</c:v>
                </c:pt>
                <c:pt idx="39">
                  <c:v>56.307500000000005</c:v>
                </c:pt>
                <c:pt idx="40">
                  <c:v>57.422499999999985</c:v>
                </c:pt>
                <c:pt idx="41">
                  <c:v>58.537499999999994</c:v>
                </c:pt>
                <c:pt idx="42">
                  <c:v>59.652500000000003</c:v>
                </c:pt>
                <c:pt idx="43">
                  <c:v>60.20999999999998</c:v>
                </c:pt>
                <c:pt idx="44">
                  <c:v>61.324999999999989</c:v>
                </c:pt>
                <c:pt idx="45">
                  <c:v>61.882499999999993</c:v>
                </c:pt>
                <c:pt idx="46">
                  <c:v>62.997500000000002</c:v>
                </c:pt>
                <c:pt idx="47">
                  <c:v>64.112499999999983</c:v>
                </c:pt>
                <c:pt idx="48">
                  <c:v>64.669999999999987</c:v>
                </c:pt>
                <c:pt idx="49">
                  <c:v>66.342500000000001</c:v>
                </c:pt>
                <c:pt idx="50">
                  <c:v>66.900000000000006</c:v>
                </c:pt>
                <c:pt idx="51">
                  <c:v>67.457499999999982</c:v>
                </c:pt>
                <c:pt idx="52">
                  <c:v>67.903500000000008</c:v>
                </c:pt>
                <c:pt idx="53">
                  <c:v>68.126499999999993</c:v>
                </c:pt>
                <c:pt idx="54">
                  <c:v>68.572499999999991</c:v>
                </c:pt>
                <c:pt idx="55">
                  <c:v>69.13</c:v>
                </c:pt>
                <c:pt idx="56">
                  <c:v>69.6875</c:v>
                </c:pt>
                <c:pt idx="57">
                  <c:v>71.91749999999999</c:v>
                </c:pt>
                <c:pt idx="58">
                  <c:v>73.311250000000001</c:v>
                </c:pt>
                <c:pt idx="59">
                  <c:v>75.262499999999989</c:v>
                </c:pt>
                <c:pt idx="60">
                  <c:v>76.377499999999998</c:v>
                </c:pt>
                <c:pt idx="61">
                  <c:v>76.935000000000002</c:v>
                </c:pt>
                <c:pt idx="62">
                  <c:v>77.771249999999981</c:v>
                </c:pt>
                <c:pt idx="63">
                  <c:v>79.164999999999992</c:v>
                </c:pt>
                <c:pt idx="64">
                  <c:v>80.28</c:v>
                </c:pt>
                <c:pt idx="65">
                  <c:v>80.993599999999986</c:v>
                </c:pt>
                <c:pt idx="66">
                  <c:v>82.509999999999991</c:v>
                </c:pt>
                <c:pt idx="67">
                  <c:v>83.625</c:v>
                </c:pt>
                <c:pt idx="68">
                  <c:v>85.297499999999985</c:v>
                </c:pt>
                <c:pt idx="69">
                  <c:v>86.691249999999997</c:v>
                </c:pt>
                <c:pt idx="70">
                  <c:v>88.08499999999998</c:v>
                </c:pt>
                <c:pt idx="71">
                  <c:v>89.199999999999989</c:v>
                </c:pt>
                <c:pt idx="72">
                  <c:v>90.314999999999998</c:v>
                </c:pt>
                <c:pt idx="73">
                  <c:v>93.102499999999992</c:v>
                </c:pt>
                <c:pt idx="74">
                  <c:v>94.217500000000001</c:v>
                </c:pt>
                <c:pt idx="75">
                  <c:v>96.447499999999991</c:v>
                </c:pt>
                <c:pt idx="76">
                  <c:v>98.12</c:v>
                </c:pt>
                <c:pt idx="77">
                  <c:v>99.79249999999999</c:v>
                </c:pt>
                <c:pt idx="78">
                  <c:v>102.02249999999998</c:v>
                </c:pt>
                <c:pt idx="79">
                  <c:v>104.53125</c:v>
                </c:pt>
                <c:pt idx="80">
                  <c:v>107.03999999999999</c:v>
                </c:pt>
                <c:pt idx="81">
                  <c:v>109.26999999999998</c:v>
                </c:pt>
                <c:pt idx="82">
                  <c:v>112.0575</c:v>
                </c:pt>
                <c:pt idx="83">
                  <c:v>114.845</c:v>
                </c:pt>
                <c:pt idx="84">
                  <c:v>116.51749999999998</c:v>
                </c:pt>
                <c:pt idx="85">
                  <c:v>119.86249999999995</c:v>
                </c:pt>
                <c:pt idx="86">
                  <c:v>122.09249999999997</c:v>
                </c:pt>
                <c:pt idx="87">
                  <c:v>124.32249999999999</c:v>
                </c:pt>
                <c:pt idx="88">
                  <c:v>126.55249999999995</c:v>
                </c:pt>
                <c:pt idx="89">
                  <c:v>128.78249999999997</c:v>
                </c:pt>
                <c:pt idx="90">
                  <c:v>133.24249999999995</c:v>
                </c:pt>
                <c:pt idx="91">
                  <c:v>131.01249999999999</c:v>
                </c:pt>
                <c:pt idx="92">
                  <c:v>137.70249999999999</c:v>
                </c:pt>
                <c:pt idx="93">
                  <c:v>139.93249999999995</c:v>
                </c:pt>
                <c:pt idx="94">
                  <c:v>143.27749999999997</c:v>
                </c:pt>
                <c:pt idx="95">
                  <c:v>147.17999999999995</c:v>
                </c:pt>
                <c:pt idx="96">
                  <c:v>149.96749999999997</c:v>
                </c:pt>
                <c:pt idx="97">
                  <c:v>151.63999999999999</c:v>
                </c:pt>
                <c:pt idx="98">
                  <c:v>152.75499999999994</c:v>
                </c:pt>
                <c:pt idx="99">
                  <c:v>154.98499999999996</c:v>
                </c:pt>
                <c:pt idx="100">
                  <c:v>157.21499999999997</c:v>
                </c:pt>
              </c:numCache>
            </c:numRef>
          </c:xVal>
          <c:yVal>
            <c:numRef>
              <c:f>'Field Test'!$J$9:$J$109</c:f>
              <c:numCache>
                <c:formatCode>General</c:formatCode>
                <c:ptCount val="101"/>
                <c:pt idx="1">
                  <c:v>0</c:v>
                </c:pt>
                <c:pt idx="2">
                  <c:v>0</c:v>
                </c:pt>
                <c:pt idx="3">
                  <c:v>0</c:v>
                </c:pt>
                <c:pt idx="10">
                  <c:v>0</c:v>
                </c:pt>
                <c:pt idx="11">
                  <c:v>80</c:v>
                </c:pt>
                <c:pt idx="12">
                  <c:v>339.5</c:v>
                </c:pt>
                <c:pt idx="13">
                  <c:v>696.5</c:v>
                </c:pt>
                <c:pt idx="14">
                  <c:v>717</c:v>
                </c:pt>
                <c:pt idx="15">
                  <c:v>712.5</c:v>
                </c:pt>
                <c:pt idx="16">
                  <c:v>743</c:v>
                </c:pt>
                <c:pt idx="17">
                  <c:v>803.5</c:v>
                </c:pt>
                <c:pt idx="18">
                  <c:v>689</c:v>
                </c:pt>
                <c:pt idx="19">
                  <c:v>729</c:v>
                </c:pt>
                <c:pt idx="20">
                  <c:v>691</c:v>
                </c:pt>
                <c:pt idx="21">
                  <c:v>617.5</c:v>
                </c:pt>
                <c:pt idx="22">
                  <c:v>609.5</c:v>
                </c:pt>
                <c:pt idx="23">
                  <c:v>611.5</c:v>
                </c:pt>
                <c:pt idx="24">
                  <c:v>657</c:v>
                </c:pt>
                <c:pt idx="25">
                  <c:v>709</c:v>
                </c:pt>
                <c:pt idx="26">
                  <c:v>590.5</c:v>
                </c:pt>
                <c:pt idx="27">
                  <c:v>589</c:v>
                </c:pt>
                <c:pt idx="28">
                  <c:v>669.5</c:v>
                </c:pt>
                <c:pt idx="29">
                  <c:v>602.5</c:v>
                </c:pt>
                <c:pt idx="30">
                  <c:v>507</c:v>
                </c:pt>
                <c:pt idx="31">
                  <c:v>522</c:v>
                </c:pt>
                <c:pt idx="32">
                  <c:v>665</c:v>
                </c:pt>
                <c:pt idx="33">
                  <c:v>598</c:v>
                </c:pt>
                <c:pt idx="34">
                  <c:v>401.5</c:v>
                </c:pt>
                <c:pt idx="35">
                  <c:v>534</c:v>
                </c:pt>
                <c:pt idx="36">
                  <c:v>529.5</c:v>
                </c:pt>
                <c:pt idx="37">
                  <c:v>508</c:v>
                </c:pt>
                <c:pt idx="38">
                  <c:v>395.5</c:v>
                </c:pt>
                <c:pt idx="39">
                  <c:v>510</c:v>
                </c:pt>
                <c:pt idx="40">
                  <c:v>514.5</c:v>
                </c:pt>
                <c:pt idx="41">
                  <c:v>498</c:v>
                </c:pt>
                <c:pt idx="42">
                  <c:v>443</c:v>
                </c:pt>
                <c:pt idx="43">
                  <c:v>567</c:v>
                </c:pt>
                <c:pt idx="44">
                  <c:v>534</c:v>
                </c:pt>
                <c:pt idx="45">
                  <c:v>538.5</c:v>
                </c:pt>
                <c:pt idx="46">
                  <c:v>516.5</c:v>
                </c:pt>
                <c:pt idx="47">
                  <c:v>531</c:v>
                </c:pt>
                <c:pt idx="48">
                  <c:v>511.5</c:v>
                </c:pt>
                <c:pt idx="49">
                  <c:v>488</c:v>
                </c:pt>
                <c:pt idx="50">
                  <c:v>457</c:v>
                </c:pt>
                <c:pt idx="51">
                  <c:v>505.5</c:v>
                </c:pt>
                <c:pt idx="52">
                  <c:v>484.5</c:v>
                </c:pt>
                <c:pt idx="53">
                  <c:v>442.5</c:v>
                </c:pt>
                <c:pt idx="54">
                  <c:v>464.5</c:v>
                </c:pt>
                <c:pt idx="55">
                  <c:v>401</c:v>
                </c:pt>
                <c:pt idx="56">
                  <c:v>434</c:v>
                </c:pt>
                <c:pt idx="57">
                  <c:v>396</c:v>
                </c:pt>
                <c:pt idx="58">
                  <c:v>381</c:v>
                </c:pt>
                <c:pt idx="59">
                  <c:v>345</c:v>
                </c:pt>
                <c:pt idx="60">
                  <c:v>326</c:v>
                </c:pt>
                <c:pt idx="61">
                  <c:v>329.5</c:v>
                </c:pt>
                <c:pt idx="62">
                  <c:v>320.5</c:v>
                </c:pt>
                <c:pt idx="63">
                  <c:v>314.5</c:v>
                </c:pt>
                <c:pt idx="64">
                  <c:v>297</c:v>
                </c:pt>
                <c:pt idx="65">
                  <c:v>317</c:v>
                </c:pt>
                <c:pt idx="66">
                  <c:v>301</c:v>
                </c:pt>
                <c:pt idx="67">
                  <c:v>312</c:v>
                </c:pt>
                <c:pt idx="68">
                  <c:v>299.5</c:v>
                </c:pt>
                <c:pt idx="69">
                  <c:v>302.5</c:v>
                </c:pt>
                <c:pt idx="70">
                  <c:v>295</c:v>
                </c:pt>
                <c:pt idx="71">
                  <c:v>290</c:v>
                </c:pt>
                <c:pt idx="72">
                  <c:v>282</c:v>
                </c:pt>
                <c:pt idx="73">
                  <c:v>288.5</c:v>
                </c:pt>
                <c:pt idx="74">
                  <c:v>268.5</c:v>
                </c:pt>
                <c:pt idx="75">
                  <c:v>253.5</c:v>
                </c:pt>
                <c:pt idx="76">
                  <c:v>270.5</c:v>
                </c:pt>
                <c:pt idx="77">
                  <c:v>250.5</c:v>
                </c:pt>
                <c:pt idx="78">
                  <c:v>250</c:v>
                </c:pt>
                <c:pt idx="79">
                  <c:v>248</c:v>
                </c:pt>
                <c:pt idx="80">
                  <c:v>211.5</c:v>
                </c:pt>
                <c:pt idx="81">
                  <c:v>201.5</c:v>
                </c:pt>
                <c:pt idx="82">
                  <c:v>186</c:v>
                </c:pt>
                <c:pt idx="83">
                  <c:v>197.5</c:v>
                </c:pt>
                <c:pt idx="84">
                  <c:v>222</c:v>
                </c:pt>
                <c:pt idx="85">
                  <c:v>208.5</c:v>
                </c:pt>
                <c:pt idx="86">
                  <c:v>210.5</c:v>
                </c:pt>
                <c:pt idx="87">
                  <c:v>198</c:v>
                </c:pt>
                <c:pt idx="88">
                  <c:v>253</c:v>
                </c:pt>
                <c:pt idx="89">
                  <c:v>242</c:v>
                </c:pt>
                <c:pt idx="90">
                  <c:v>216.5</c:v>
                </c:pt>
                <c:pt idx="91">
                  <c:v>208.5</c:v>
                </c:pt>
                <c:pt idx="92">
                  <c:v>169.5</c:v>
                </c:pt>
                <c:pt idx="93">
                  <c:v>197.5</c:v>
                </c:pt>
                <c:pt idx="94">
                  <c:v>211.5</c:v>
                </c:pt>
                <c:pt idx="95">
                  <c:v>169</c:v>
                </c:pt>
                <c:pt idx="96">
                  <c:v>197</c:v>
                </c:pt>
                <c:pt idx="97">
                  <c:v>98.5</c:v>
                </c:pt>
                <c:pt idx="98">
                  <c:v>161</c:v>
                </c:pt>
                <c:pt idx="99">
                  <c:v>190.5</c:v>
                </c:pt>
                <c:pt idx="100">
                  <c:v>193</c:v>
                </c:pt>
              </c:numCache>
            </c:numRef>
          </c:yVal>
          <c:smooth val="0"/>
        </c:ser>
        <c:ser>
          <c:idx val="2"/>
          <c:order val="2"/>
          <c:tx>
            <c:v>EtF</c:v>
          </c:tx>
          <c:spPr>
            <a:ln w="28575" cmpd="sng">
              <a:solidFill>
                <a:schemeClr val="tx2"/>
              </a:solidFill>
            </a:ln>
          </c:spPr>
          <c:marker>
            <c:symbol val="none"/>
          </c:marker>
          <c:xVal>
            <c:numRef>
              <c:f>Simulation!$I$7:$I$1227</c:f>
              <c:numCache>
                <c:formatCode>General</c:formatCode>
                <c:ptCount val="1221"/>
                <c:pt idx="0">
                  <c:v>0</c:v>
                </c:pt>
                <c:pt idx="1">
                  <c:v>9.7631614442003606E-2</c:v>
                </c:pt>
                <c:pt idx="2">
                  <c:v>0.14836087435489259</c:v>
                </c:pt>
                <c:pt idx="3">
                  <c:v>0.25010487030018758</c:v>
                </c:pt>
                <c:pt idx="4">
                  <c:v>0.38848071155038549</c:v>
                </c:pt>
                <c:pt idx="5">
                  <c:v>0.52685655280058341</c:v>
                </c:pt>
                <c:pt idx="6">
                  <c:v>0.66523239405074996</c:v>
                </c:pt>
                <c:pt idx="7">
                  <c:v>0.80360823530100456</c:v>
                </c:pt>
                <c:pt idx="8">
                  <c:v>0.94198407655119609</c:v>
                </c:pt>
                <c:pt idx="9">
                  <c:v>1.0803599178013876</c:v>
                </c:pt>
                <c:pt idx="10">
                  <c:v>1.2187357590515795</c:v>
                </c:pt>
                <c:pt idx="11">
                  <c:v>1.3571116003017709</c:v>
                </c:pt>
                <c:pt idx="12">
                  <c:v>1.4954874415519628</c:v>
                </c:pt>
                <c:pt idx="13">
                  <c:v>1.6338633765276342</c:v>
                </c:pt>
                <c:pt idx="14">
                  <c:v>1.7722391240523458</c:v>
                </c:pt>
                <c:pt idx="15">
                  <c:v>1.9106150590280178</c:v>
                </c:pt>
                <c:pt idx="16">
                  <c:v>2.0489908065527294</c:v>
                </c:pt>
                <c:pt idx="17">
                  <c:v>2.1873667415284008</c:v>
                </c:pt>
                <c:pt idx="18">
                  <c:v>2.3257424890531126</c:v>
                </c:pt>
                <c:pt idx="19">
                  <c:v>2.4641184240287841</c:v>
                </c:pt>
                <c:pt idx="20">
                  <c:v>2.6024941715534955</c:v>
                </c:pt>
                <c:pt idx="21">
                  <c:v>2.7408701065292305</c:v>
                </c:pt>
                <c:pt idx="22">
                  <c:v>2.8792458540539418</c:v>
                </c:pt>
                <c:pt idx="23">
                  <c:v>3.0176217890296138</c:v>
                </c:pt>
                <c:pt idx="24">
                  <c:v>3.1559977240052857</c:v>
                </c:pt>
                <c:pt idx="25">
                  <c:v>3.294373284079037</c:v>
                </c:pt>
                <c:pt idx="26">
                  <c:v>3.432749219054708</c:v>
                </c:pt>
                <c:pt idx="27">
                  <c:v>3.5711251540303799</c:v>
                </c:pt>
                <c:pt idx="28">
                  <c:v>3.7095010890060518</c:v>
                </c:pt>
                <c:pt idx="29">
                  <c:v>3.8478766490798031</c:v>
                </c:pt>
                <c:pt idx="30">
                  <c:v>3.986252584055475</c:v>
                </c:pt>
                <c:pt idx="31">
                  <c:v>4.1246285190311474</c:v>
                </c:pt>
                <c:pt idx="32">
                  <c:v>4.2630044540068814</c:v>
                </c:pt>
                <c:pt idx="33">
                  <c:v>4.4013800140805692</c:v>
                </c:pt>
                <c:pt idx="34">
                  <c:v>4.5397559490562411</c:v>
                </c:pt>
                <c:pt idx="35">
                  <c:v>4.6781318840319761</c:v>
                </c:pt>
                <c:pt idx="36">
                  <c:v>4.816507819007648</c:v>
                </c:pt>
                <c:pt idx="37">
                  <c:v>4.9548833790813998</c:v>
                </c:pt>
                <c:pt idx="38">
                  <c:v>5.0932593140570708</c:v>
                </c:pt>
                <c:pt idx="39">
                  <c:v>5.2316352490327427</c:v>
                </c:pt>
                <c:pt idx="40">
                  <c:v>5.3700111840084146</c:v>
                </c:pt>
                <c:pt idx="41">
                  <c:v>5.5083867440821654</c:v>
                </c:pt>
                <c:pt idx="42">
                  <c:v>5.6467626790578374</c:v>
                </c:pt>
                <c:pt idx="43">
                  <c:v>5.7851386140335093</c:v>
                </c:pt>
                <c:pt idx="44">
                  <c:v>5.9235145490091812</c:v>
                </c:pt>
                <c:pt idx="45">
                  <c:v>6.0618901090829329</c:v>
                </c:pt>
                <c:pt idx="46">
                  <c:v>6.2002660440586039</c:v>
                </c:pt>
                <c:pt idx="47">
                  <c:v>6.338641979034338</c:v>
                </c:pt>
                <c:pt idx="48">
                  <c:v>6.4770175391080267</c:v>
                </c:pt>
                <c:pt idx="49">
                  <c:v>6.6153938489856818</c:v>
                </c:pt>
                <c:pt idx="50">
                  <c:v>6.7537694090593705</c:v>
                </c:pt>
                <c:pt idx="51">
                  <c:v>6.8921449691330592</c:v>
                </c:pt>
                <c:pt idx="52">
                  <c:v>7.0305212790107143</c:v>
                </c:pt>
                <c:pt idx="53">
                  <c:v>7.168896839084403</c:v>
                </c:pt>
                <c:pt idx="54">
                  <c:v>7.3072731489620582</c:v>
                </c:pt>
                <c:pt idx="55">
                  <c:v>7.4456487090357468</c:v>
                </c:pt>
                <c:pt idx="56">
                  <c:v>7.5840242691094337</c:v>
                </c:pt>
                <c:pt idx="57">
                  <c:v>7.7224005789870889</c:v>
                </c:pt>
                <c:pt idx="58">
                  <c:v>7.8607761390607775</c:v>
                </c:pt>
                <c:pt idx="59">
                  <c:v>7.9991516991344662</c:v>
                </c:pt>
                <c:pt idx="60">
                  <c:v>8.1375280090121205</c:v>
                </c:pt>
                <c:pt idx="61">
                  <c:v>8.2759035690858092</c:v>
                </c:pt>
                <c:pt idx="62">
                  <c:v>8.4142798789634643</c:v>
                </c:pt>
                <c:pt idx="63">
                  <c:v>8.552655439037153</c:v>
                </c:pt>
                <c:pt idx="64">
                  <c:v>8.6910309991114705</c:v>
                </c:pt>
                <c:pt idx="65">
                  <c:v>8.8294073089884968</c:v>
                </c:pt>
                <c:pt idx="66">
                  <c:v>8.9677828690628143</c:v>
                </c:pt>
                <c:pt idx="67">
                  <c:v>9.106158429136503</c:v>
                </c:pt>
                <c:pt idx="68">
                  <c:v>9.2445347390141581</c:v>
                </c:pt>
                <c:pt idx="69">
                  <c:v>9.3829102990878468</c:v>
                </c:pt>
                <c:pt idx="70">
                  <c:v>9.5212866089655019</c:v>
                </c:pt>
                <c:pt idx="71">
                  <c:v>9.6596621690391906</c:v>
                </c:pt>
                <c:pt idx="72">
                  <c:v>9.7980377291128775</c:v>
                </c:pt>
                <c:pt idx="73">
                  <c:v>9.9364140389905327</c:v>
                </c:pt>
                <c:pt idx="74">
                  <c:v>10.074789599064221</c:v>
                </c:pt>
                <c:pt idx="75">
                  <c:v>10.21316515913791</c:v>
                </c:pt>
                <c:pt idx="76">
                  <c:v>10.351541469015565</c:v>
                </c:pt>
                <c:pt idx="77">
                  <c:v>10.489917029089254</c:v>
                </c:pt>
                <c:pt idx="78">
                  <c:v>10.628293338966909</c:v>
                </c:pt>
                <c:pt idx="79">
                  <c:v>10.766668899040598</c:v>
                </c:pt>
                <c:pt idx="80">
                  <c:v>10.905044459114286</c:v>
                </c:pt>
                <c:pt idx="81">
                  <c:v>11.043420768991941</c:v>
                </c:pt>
                <c:pt idx="82">
                  <c:v>11.18179632906563</c:v>
                </c:pt>
                <c:pt idx="83">
                  <c:v>11.320171889139319</c:v>
                </c:pt>
                <c:pt idx="84">
                  <c:v>11.458548199016972</c:v>
                </c:pt>
                <c:pt idx="85">
                  <c:v>11.596923759090661</c:v>
                </c:pt>
                <c:pt idx="86">
                  <c:v>11.735300068968316</c:v>
                </c:pt>
                <c:pt idx="87">
                  <c:v>11.873675629042005</c:v>
                </c:pt>
                <c:pt idx="88">
                  <c:v>12.012051189115693</c:v>
                </c:pt>
                <c:pt idx="89">
                  <c:v>12.150427498993347</c:v>
                </c:pt>
                <c:pt idx="90">
                  <c:v>12.288803059067035</c:v>
                </c:pt>
                <c:pt idx="91">
                  <c:v>12.427178619140724</c:v>
                </c:pt>
                <c:pt idx="92">
                  <c:v>12.565554929018379</c:v>
                </c:pt>
                <c:pt idx="93">
                  <c:v>12.703930489092068</c:v>
                </c:pt>
                <c:pt idx="94">
                  <c:v>12.842306798969721</c:v>
                </c:pt>
                <c:pt idx="95">
                  <c:v>12.980681609240074</c:v>
                </c:pt>
                <c:pt idx="96">
                  <c:v>13.119057919117727</c:v>
                </c:pt>
                <c:pt idx="97">
                  <c:v>13.257434228995384</c:v>
                </c:pt>
                <c:pt idx="98">
                  <c:v>13.395810538872409</c:v>
                </c:pt>
                <c:pt idx="99">
                  <c:v>13.534185349142762</c:v>
                </c:pt>
                <c:pt idx="100">
                  <c:v>13.672561659020415</c:v>
                </c:pt>
                <c:pt idx="101">
                  <c:v>13.810937968898072</c:v>
                </c:pt>
                <c:pt idx="102">
                  <c:v>13.949312779167792</c:v>
                </c:pt>
                <c:pt idx="103">
                  <c:v>14.087689089045449</c:v>
                </c:pt>
                <c:pt idx="104">
                  <c:v>14.226065398923103</c:v>
                </c:pt>
                <c:pt idx="105">
                  <c:v>14.364440209192827</c:v>
                </c:pt>
                <c:pt idx="106">
                  <c:v>14.50281651907048</c:v>
                </c:pt>
                <c:pt idx="107">
                  <c:v>14.641192828948133</c:v>
                </c:pt>
                <c:pt idx="108">
                  <c:v>14.779567639217857</c:v>
                </c:pt>
                <c:pt idx="109">
                  <c:v>14.917943949095511</c:v>
                </c:pt>
                <c:pt idx="110">
                  <c:v>15.056320258973168</c:v>
                </c:pt>
                <c:pt idx="111">
                  <c:v>15.194695069242888</c:v>
                </c:pt>
                <c:pt idx="112">
                  <c:v>15.333071379120545</c:v>
                </c:pt>
                <c:pt idx="113">
                  <c:v>15.471447688998198</c:v>
                </c:pt>
                <c:pt idx="114">
                  <c:v>15.609823998875854</c:v>
                </c:pt>
                <c:pt idx="115">
                  <c:v>15.748198809145576</c:v>
                </c:pt>
                <c:pt idx="116">
                  <c:v>15.886575119023231</c:v>
                </c:pt>
                <c:pt idx="117">
                  <c:v>16.024951428900884</c:v>
                </c:pt>
                <c:pt idx="118">
                  <c:v>16.163326239170605</c:v>
                </c:pt>
                <c:pt idx="119">
                  <c:v>16.301702549048262</c:v>
                </c:pt>
                <c:pt idx="120">
                  <c:v>16.440078858925915</c:v>
                </c:pt>
                <c:pt idx="121">
                  <c:v>16.578453669195639</c:v>
                </c:pt>
                <c:pt idx="122">
                  <c:v>16.716829979073292</c:v>
                </c:pt>
                <c:pt idx="123">
                  <c:v>16.855206288950949</c:v>
                </c:pt>
                <c:pt idx="124">
                  <c:v>16.993581099221299</c:v>
                </c:pt>
                <c:pt idx="125">
                  <c:v>17.131957409098327</c:v>
                </c:pt>
                <c:pt idx="126">
                  <c:v>17.27033371897598</c:v>
                </c:pt>
                <c:pt idx="127">
                  <c:v>17.408710028853637</c:v>
                </c:pt>
                <c:pt idx="128">
                  <c:v>17.547084839123986</c:v>
                </c:pt>
                <c:pt idx="129">
                  <c:v>17.685461149001643</c:v>
                </c:pt>
                <c:pt idx="130">
                  <c:v>17.823837458879296</c:v>
                </c:pt>
                <c:pt idx="131">
                  <c:v>17.96221226914902</c:v>
                </c:pt>
                <c:pt idx="132">
                  <c:v>18.100588579026674</c:v>
                </c:pt>
                <c:pt idx="133">
                  <c:v>18.238964888904331</c:v>
                </c:pt>
                <c:pt idx="134">
                  <c:v>18.377339699174051</c:v>
                </c:pt>
                <c:pt idx="135">
                  <c:v>18.515716009051705</c:v>
                </c:pt>
                <c:pt idx="136">
                  <c:v>18.654092318929361</c:v>
                </c:pt>
                <c:pt idx="137">
                  <c:v>18.792467129199082</c:v>
                </c:pt>
                <c:pt idx="138">
                  <c:v>18.930843439076739</c:v>
                </c:pt>
                <c:pt idx="139">
                  <c:v>19.069219748954392</c:v>
                </c:pt>
                <c:pt idx="140">
                  <c:v>19.207594559224116</c:v>
                </c:pt>
                <c:pt idx="141">
                  <c:v>19.34597086910177</c:v>
                </c:pt>
                <c:pt idx="142">
                  <c:v>19.484347178979426</c:v>
                </c:pt>
                <c:pt idx="143">
                  <c:v>19.62272348885708</c:v>
                </c:pt>
                <c:pt idx="144">
                  <c:v>19.761098299126804</c:v>
                </c:pt>
                <c:pt idx="145">
                  <c:v>19.899474609004457</c:v>
                </c:pt>
                <c:pt idx="146">
                  <c:v>20.037850918882114</c:v>
                </c:pt>
                <c:pt idx="147">
                  <c:v>20.176225729151835</c:v>
                </c:pt>
                <c:pt idx="148">
                  <c:v>20.314602039029488</c:v>
                </c:pt>
                <c:pt idx="149">
                  <c:v>20.452978348907145</c:v>
                </c:pt>
                <c:pt idx="150">
                  <c:v>20.591353159176865</c:v>
                </c:pt>
                <c:pt idx="151">
                  <c:v>20.729729469054522</c:v>
                </c:pt>
                <c:pt idx="152">
                  <c:v>20.868105778932176</c:v>
                </c:pt>
                <c:pt idx="153">
                  <c:v>21.0064805892019</c:v>
                </c:pt>
                <c:pt idx="154">
                  <c:v>21.144856899079553</c:v>
                </c:pt>
                <c:pt idx="155">
                  <c:v>21.28323320895721</c:v>
                </c:pt>
                <c:pt idx="156">
                  <c:v>21.421608019227559</c:v>
                </c:pt>
                <c:pt idx="157">
                  <c:v>21.559984329105212</c:v>
                </c:pt>
                <c:pt idx="158">
                  <c:v>21.698360638982241</c:v>
                </c:pt>
                <c:pt idx="159">
                  <c:v>21.836736948859894</c:v>
                </c:pt>
                <c:pt idx="160">
                  <c:v>21.975111759130247</c:v>
                </c:pt>
                <c:pt idx="161">
                  <c:v>22.1134880690079</c:v>
                </c:pt>
                <c:pt idx="162">
                  <c:v>22.251864378885553</c:v>
                </c:pt>
                <c:pt idx="163">
                  <c:v>22.390239189155277</c:v>
                </c:pt>
                <c:pt idx="164">
                  <c:v>22.528615499032931</c:v>
                </c:pt>
                <c:pt idx="165">
                  <c:v>22.666991808910584</c:v>
                </c:pt>
                <c:pt idx="166">
                  <c:v>22.805366619180308</c:v>
                </c:pt>
                <c:pt idx="167">
                  <c:v>22.943742929057962</c:v>
                </c:pt>
                <c:pt idx="168">
                  <c:v>23.082119238935618</c:v>
                </c:pt>
                <c:pt idx="169">
                  <c:v>23.220494049205339</c:v>
                </c:pt>
                <c:pt idx="170">
                  <c:v>23.358870359082996</c:v>
                </c:pt>
                <c:pt idx="171">
                  <c:v>23.497246668960649</c:v>
                </c:pt>
                <c:pt idx="172">
                  <c:v>23.635621479230373</c:v>
                </c:pt>
                <c:pt idx="173">
                  <c:v>23.773997789108027</c:v>
                </c:pt>
                <c:pt idx="174">
                  <c:v>23.912374098985683</c:v>
                </c:pt>
                <c:pt idx="175">
                  <c:v>24.050750408863337</c:v>
                </c:pt>
                <c:pt idx="176">
                  <c:v>24.189125219133057</c:v>
                </c:pt>
                <c:pt idx="177">
                  <c:v>24.327501529010714</c:v>
                </c:pt>
                <c:pt idx="178">
                  <c:v>24.465877838888368</c:v>
                </c:pt>
                <c:pt idx="179">
                  <c:v>24.604252649158092</c:v>
                </c:pt>
                <c:pt idx="180">
                  <c:v>24.742628959035745</c:v>
                </c:pt>
                <c:pt idx="181">
                  <c:v>24.881005268913402</c:v>
                </c:pt>
                <c:pt idx="182">
                  <c:v>25.019380079183122</c:v>
                </c:pt>
                <c:pt idx="183">
                  <c:v>25.157756389060779</c:v>
                </c:pt>
                <c:pt idx="184">
                  <c:v>25.2961311993305</c:v>
                </c:pt>
                <c:pt idx="185">
                  <c:v>25.434509008816086</c:v>
                </c:pt>
                <c:pt idx="186">
                  <c:v>25.572883819085813</c:v>
                </c:pt>
                <c:pt idx="187">
                  <c:v>25.711258629356159</c:v>
                </c:pt>
                <c:pt idx="188">
                  <c:v>25.84963643884112</c:v>
                </c:pt>
                <c:pt idx="189">
                  <c:v>25.988011249111473</c:v>
                </c:pt>
                <c:pt idx="190">
                  <c:v>26.126386059381193</c:v>
                </c:pt>
                <c:pt idx="191">
                  <c:v>26.264763868866154</c:v>
                </c:pt>
                <c:pt idx="192">
                  <c:v>26.4031386791365</c:v>
                </c:pt>
                <c:pt idx="193">
                  <c:v>26.541513489406228</c:v>
                </c:pt>
                <c:pt idx="194">
                  <c:v>26.679891298891814</c:v>
                </c:pt>
                <c:pt idx="195">
                  <c:v>26.818266109161534</c:v>
                </c:pt>
                <c:pt idx="196">
                  <c:v>26.956640919431255</c:v>
                </c:pt>
                <c:pt idx="197">
                  <c:v>27.095018728916848</c:v>
                </c:pt>
                <c:pt idx="198">
                  <c:v>27.233393539186569</c:v>
                </c:pt>
                <c:pt idx="199">
                  <c:v>27.371771348672155</c:v>
                </c:pt>
                <c:pt idx="200">
                  <c:v>27.510146158941875</c:v>
                </c:pt>
                <c:pt idx="201">
                  <c:v>27.648520969211603</c:v>
                </c:pt>
                <c:pt idx="202">
                  <c:v>27.786898778697189</c:v>
                </c:pt>
                <c:pt idx="203">
                  <c:v>27.92527358896691</c:v>
                </c:pt>
                <c:pt idx="204">
                  <c:v>28.06364839923663</c:v>
                </c:pt>
                <c:pt idx="205">
                  <c:v>28.202026208722216</c:v>
                </c:pt>
                <c:pt idx="206">
                  <c:v>28.340401018991944</c:v>
                </c:pt>
                <c:pt idx="207">
                  <c:v>28.478775829261664</c:v>
                </c:pt>
                <c:pt idx="208">
                  <c:v>28.617153638747251</c:v>
                </c:pt>
                <c:pt idx="209">
                  <c:v>28.755528449016971</c:v>
                </c:pt>
                <c:pt idx="210">
                  <c:v>28.893903259286699</c:v>
                </c:pt>
                <c:pt idx="211">
                  <c:v>29.032281068772285</c:v>
                </c:pt>
                <c:pt idx="212">
                  <c:v>29.170655879042005</c:v>
                </c:pt>
                <c:pt idx="213">
                  <c:v>29.309030689311726</c:v>
                </c:pt>
                <c:pt idx="214">
                  <c:v>29.447408498797316</c:v>
                </c:pt>
                <c:pt idx="215">
                  <c:v>29.58578330906704</c:v>
                </c:pt>
                <c:pt idx="216">
                  <c:v>29.724158119337389</c:v>
                </c:pt>
                <c:pt idx="217">
                  <c:v>29.862535928822346</c:v>
                </c:pt>
                <c:pt idx="218">
                  <c:v>30.000910739092067</c:v>
                </c:pt>
                <c:pt idx="219">
                  <c:v>30.13928554936242</c:v>
                </c:pt>
                <c:pt idx="220">
                  <c:v>30.277663358847381</c:v>
                </c:pt>
                <c:pt idx="221">
                  <c:v>30.41603816911773</c:v>
                </c:pt>
                <c:pt idx="222">
                  <c:v>30.554412979387454</c:v>
                </c:pt>
                <c:pt idx="223">
                  <c:v>30.692790788872411</c:v>
                </c:pt>
                <c:pt idx="224">
                  <c:v>30.831165599142761</c:v>
                </c:pt>
                <c:pt idx="225">
                  <c:v>30.969540409412485</c:v>
                </c:pt>
                <c:pt idx="226">
                  <c:v>31.107918218898071</c:v>
                </c:pt>
                <c:pt idx="227">
                  <c:v>31.246293029167791</c:v>
                </c:pt>
                <c:pt idx="228">
                  <c:v>31.384667839437515</c:v>
                </c:pt>
                <c:pt idx="229">
                  <c:v>31.523045648923105</c:v>
                </c:pt>
                <c:pt idx="230">
                  <c:v>31.661420459192826</c:v>
                </c:pt>
                <c:pt idx="231">
                  <c:v>31.799798268678412</c:v>
                </c:pt>
                <c:pt idx="232">
                  <c:v>31.938173078948132</c:v>
                </c:pt>
                <c:pt idx="233">
                  <c:v>32.076547889217856</c:v>
                </c:pt>
                <c:pt idx="234">
                  <c:v>32.214925698703446</c:v>
                </c:pt>
                <c:pt idx="235">
                  <c:v>32.35330050897317</c:v>
                </c:pt>
                <c:pt idx="236">
                  <c:v>32.491675319242887</c:v>
                </c:pt>
                <c:pt idx="237">
                  <c:v>32.630053128728477</c:v>
                </c:pt>
                <c:pt idx="238">
                  <c:v>32.768427938998201</c:v>
                </c:pt>
                <c:pt idx="239">
                  <c:v>32.906802749267925</c:v>
                </c:pt>
                <c:pt idx="240">
                  <c:v>33.045180558753508</c:v>
                </c:pt>
                <c:pt idx="241">
                  <c:v>33.183555369023232</c:v>
                </c:pt>
                <c:pt idx="242">
                  <c:v>33.321930179292949</c:v>
                </c:pt>
                <c:pt idx="243">
                  <c:v>33.460307988778546</c:v>
                </c:pt>
                <c:pt idx="244">
                  <c:v>33.598682799048262</c:v>
                </c:pt>
                <c:pt idx="245">
                  <c:v>33.737057609317986</c:v>
                </c:pt>
                <c:pt idx="246">
                  <c:v>33.875435418803569</c:v>
                </c:pt>
                <c:pt idx="247">
                  <c:v>34.0138102290733</c:v>
                </c:pt>
                <c:pt idx="248">
                  <c:v>34.152185039343642</c:v>
                </c:pt>
                <c:pt idx="249">
                  <c:v>34.290562848828607</c:v>
                </c:pt>
                <c:pt idx="250">
                  <c:v>34.428937659098324</c:v>
                </c:pt>
                <c:pt idx="251">
                  <c:v>34.56731246936868</c:v>
                </c:pt>
                <c:pt idx="252">
                  <c:v>34.705690278853638</c:v>
                </c:pt>
                <c:pt idx="253">
                  <c:v>34.844065089123987</c:v>
                </c:pt>
                <c:pt idx="254">
                  <c:v>34.982439899393711</c:v>
                </c:pt>
                <c:pt idx="255">
                  <c:v>35.120817708879294</c:v>
                </c:pt>
                <c:pt idx="256">
                  <c:v>35.259192519149018</c:v>
                </c:pt>
                <c:pt idx="257">
                  <c:v>35.397567329418742</c:v>
                </c:pt>
                <c:pt idx="258">
                  <c:v>35.535945138904331</c:v>
                </c:pt>
                <c:pt idx="259">
                  <c:v>35.674319949174048</c:v>
                </c:pt>
                <c:pt idx="260">
                  <c:v>35.812697758659638</c:v>
                </c:pt>
                <c:pt idx="261">
                  <c:v>35.951072568929362</c:v>
                </c:pt>
                <c:pt idx="262">
                  <c:v>36.089447379199086</c:v>
                </c:pt>
                <c:pt idx="263">
                  <c:v>36.227825188684669</c:v>
                </c:pt>
                <c:pt idx="264">
                  <c:v>36.366199998954393</c:v>
                </c:pt>
                <c:pt idx="265">
                  <c:v>36.504574809224117</c:v>
                </c:pt>
                <c:pt idx="266">
                  <c:v>36.642952618709707</c:v>
                </c:pt>
                <c:pt idx="267">
                  <c:v>36.781327428979424</c:v>
                </c:pt>
                <c:pt idx="268">
                  <c:v>36.919702239249148</c:v>
                </c:pt>
                <c:pt idx="269">
                  <c:v>37.05808004873473</c:v>
                </c:pt>
                <c:pt idx="270">
                  <c:v>37.196454859004461</c:v>
                </c:pt>
                <c:pt idx="271">
                  <c:v>37.334829669274178</c:v>
                </c:pt>
                <c:pt idx="272">
                  <c:v>37.473207478759768</c:v>
                </c:pt>
                <c:pt idx="273">
                  <c:v>37.611582289029485</c:v>
                </c:pt>
                <c:pt idx="274">
                  <c:v>37.749957099299209</c:v>
                </c:pt>
                <c:pt idx="275">
                  <c:v>37.888334908784799</c:v>
                </c:pt>
                <c:pt idx="276">
                  <c:v>38.026709719054523</c:v>
                </c:pt>
                <c:pt idx="277">
                  <c:v>38.16508452932424</c:v>
                </c:pt>
                <c:pt idx="278">
                  <c:v>38.30346233880983</c:v>
                </c:pt>
                <c:pt idx="279">
                  <c:v>38.441837149079554</c:v>
                </c:pt>
                <c:pt idx="280">
                  <c:v>38.580211959349903</c:v>
                </c:pt>
                <c:pt idx="281">
                  <c:v>38.71858976883486</c:v>
                </c:pt>
                <c:pt idx="282">
                  <c:v>38.856964579105217</c:v>
                </c:pt>
                <c:pt idx="283">
                  <c:v>38.995339389374934</c:v>
                </c:pt>
                <c:pt idx="284">
                  <c:v>39.133717198859898</c:v>
                </c:pt>
                <c:pt idx="285">
                  <c:v>39.272092009130247</c:v>
                </c:pt>
                <c:pt idx="286">
                  <c:v>39.410466819399971</c:v>
                </c:pt>
                <c:pt idx="287">
                  <c:v>39.548844628885554</c:v>
                </c:pt>
                <c:pt idx="288">
                  <c:v>39.687219439155278</c:v>
                </c:pt>
                <c:pt idx="289">
                  <c:v>39.825594249424995</c:v>
                </c:pt>
                <c:pt idx="290">
                  <c:v>39.963972058910592</c:v>
                </c:pt>
                <c:pt idx="291">
                  <c:v>40.102346869180309</c:v>
                </c:pt>
                <c:pt idx="292">
                  <c:v>40.240724678665899</c:v>
                </c:pt>
                <c:pt idx="293">
                  <c:v>40.379099488935616</c:v>
                </c:pt>
                <c:pt idx="294">
                  <c:v>40.517474299205347</c:v>
                </c:pt>
                <c:pt idx="295">
                  <c:v>40.655852108690929</c:v>
                </c:pt>
                <c:pt idx="296">
                  <c:v>40.794226918960653</c:v>
                </c:pt>
                <c:pt idx="297">
                  <c:v>40.93260172923037</c:v>
                </c:pt>
                <c:pt idx="298">
                  <c:v>41.070979538715967</c:v>
                </c:pt>
                <c:pt idx="299">
                  <c:v>41.209354348985684</c:v>
                </c:pt>
                <c:pt idx="300">
                  <c:v>41.347729159255408</c:v>
                </c:pt>
                <c:pt idx="301">
                  <c:v>41.486106968740991</c:v>
                </c:pt>
                <c:pt idx="302">
                  <c:v>41.624481779010715</c:v>
                </c:pt>
                <c:pt idx="303">
                  <c:v>41.762856589280439</c:v>
                </c:pt>
                <c:pt idx="304">
                  <c:v>41.901234398766029</c:v>
                </c:pt>
                <c:pt idx="305">
                  <c:v>42.039609209035746</c:v>
                </c:pt>
                <c:pt idx="306">
                  <c:v>42.17798401930547</c:v>
                </c:pt>
                <c:pt idx="307">
                  <c:v>42.316361828791059</c:v>
                </c:pt>
                <c:pt idx="308">
                  <c:v>42.454736639060783</c:v>
                </c:pt>
                <c:pt idx="309">
                  <c:v>42.5931114493305</c:v>
                </c:pt>
                <c:pt idx="310">
                  <c:v>42.73148925881609</c:v>
                </c:pt>
                <c:pt idx="311">
                  <c:v>42.869864069085814</c:v>
                </c:pt>
                <c:pt idx="312">
                  <c:v>43.008238879356163</c:v>
                </c:pt>
                <c:pt idx="313">
                  <c:v>43.146616688841121</c:v>
                </c:pt>
                <c:pt idx="314">
                  <c:v>43.28499149911147</c:v>
                </c:pt>
                <c:pt idx="315">
                  <c:v>43.423366309381194</c:v>
                </c:pt>
                <c:pt idx="316">
                  <c:v>43.561744118866152</c:v>
                </c:pt>
                <c:pt idx="317">
                  <c:v>43.700118929136501</c:v>
                </c:pt>
                <c:pt idx="318">
                  <c:v>43.838493739406225</c:v>
                </c:pt>
                <c:pt idx="319">
                  <c:v>43.976871548891815</c:v>
                </c:pt>
                <c:pt idx="320">
                  <c:v>44.115246359161539</c:v>
                </c:pt>
                <c:pt idx="321">
                  <c:v>44.253621169431256</c:v>
                </c:pt>
                <c:pt idx="322">
                  <c:v>44.391998978916845</c:v>
                </c:pt>
                <c:pt idx="323">
                  <c:v>44.530373789186569</c:v>
                </c:pt>
                <c:pt idx="324">
                  <c:v>44.668751598672152</c:v>
                </c:pt>
                <c:pt idx="325">
                  <c:v>44.807126408941876</c:v>
                </c:pt>
                <c:pt idx="326">
                  <c:v>44.9455012192116</c:v>
                </c:pt>
                <c:pt idx="327">
                  <c:v>45.08387902869719</c:v>
                </c:pt>
                <c:pt idx="328">
                  <c:v>45.222253838966907</c:v>
                </c:pt>
                <c:pt idx="329">
                  <c:v>45.360628649236631</c:v>
                </c:pt>
                <c:pt idx="330">
                  <c:v>45.499006458722214</c:v>
                </c:pt>
                <c:pt idx="331">
                  <c:v>45.637381268991945</c:v>
                </c:pt>
                <c:pt idx="332">
                  <c:v>45.775756079261662</c:v>
                </c:pt>
                <c:pt idx="333">
                  <c:v>45.914133888747251</c:v>
                </c:pt>
                <c:pt idx="334">
                  <c:v>46.052508699016968</c:v>
                </c:pt>
                <c:pt idx="335">
                  <c:v>46.190883509286699</c:v>
                </c:pt>
                <c:pt idx="336">
                  <c:v>46.329261318772282</c:v>
                </c:pt>
                <c:pt idx="337">
                  <c:v>46.467636129042006</c:v>
                </c:pt>
                <c:pt idx="338">
                  <c:v>46.606010939311723</c:v>
                </c:pt>
                <c:pt idx="339">
                  <c:v>46.74438874879732</c:v>
                </c:pt>
                <c:pt idx="340">
                  <c:v>46.882763559067037</c:v>
                </c:pt>
                <c:pt idx="341">
                  <c:v>47.021138369337393</c:v>
                </c:pt>
                <c:pt idx="342">
                  <c:v>47.159516178822344</c:v>
                </c:pt>
                <c:pt idx="343">
                  <c:v>47.297890989092068</c:v>
                </c:pt>
                <c:pt idx="344">
                  <c:v>47.436265799362417</c:v>
                </c:pt>
                <c:pt idx="345">
                  <c:v>47.574643608847381</c:v>
                </c:pt>
                <c:pt idx="346">
                  <c:v>47.713018419117731</c:v>
                </c:pt>
                <c:pt idx="347">
                  <c:v>47.851393229387455</c:v>
                </c:pt>
                <c:pt idx="348">
                  <c:v>47.989771038872412</c:v>
                </c:pt>
                <c:pt idx="349">
                  <c:v>48.128145849142761</c:v>
                </c:pt>
                <c:pt idx="350">
                  <c:v>48.266520659412485</c:v>
                </c:pt>
                <c:pt idx="351">
                  <c:v>48.404898468898075</c:v>
                </c:pt>
                <c:pt idx="352">
                  <c:v>48.543273279167792</c:v>
                </c:pt>
                <c:pt idx="353">
                  <c:v>48.681648089437516</c:v>
                </c:pt>
                <c:pt idx="354">
                  <c:v>48.820025898923106</c:v>
                </c:pt>
                <c:pt idx="355">
                  <c:v>48.95840070919283</c:v>
                </c:pt>
                <c:pt idx="356">
                  <c:v>49.096778518678413</c:v>
                </c:pt>
                <c:pt idx="357">
                  <c:v>49.235153328948137</c:v>
                </c:pt>
                <c:pt idx="358">
                  <c:v>49.373528139217854</c:v>
                </c:pt>
                <c:pt idx="359">
                  <c:v>49.511905948703451</c:v>
                </c:pt>
                <c:pt idx="360">
                  <c:v>49.650280758973167</c:v>
                </c:pt>
                <c:pt idx="361">
                  <c:v>49.788655569242891</c:v>
                </c:pt>
                <c:pt idx="362">
                  <c:v>49.927033378728474</c:v>
                </c:pt>
                <c:pt idx="363">
                  <c:v>50.065408188998205</c:v>
                </c:pt>
                <c:pt idx="364">
                  <c:v>50.203782999267922</c:v>
                </c:pt>
                <c:pt idx="365">
                  <c:v>50.342157809537646</c:v>
                </c:pt>
                <c:pt idx="366">
                  <c:v>50.480535619023236</c:v>
                </c:pt>
                <c:pt idx="367">
                  <c:v>50.618913428508819</c:v>
                </c:pt>
                <c:pt idx="368">
                  <c:v>50.757285239563302</c:v>
                </c:pt>
                <c:pt idx="369">
                  <c:v>50.89566304904826</c:v>
                </c:pt>
                <c:pt idx="370">
                  <c:v>51.034040858533849</c:v>
                </c:pt>
                <c:pt idx="371">
                  <c:v>51.17241266958834</c:v>
                </c:pt>
                <c:pt idx="372">
                  <c:v>51.31079047907329</c:v>
                </c:pt>
                <c:pt idx="373">
                  <c:v>51.449168288558887</c:v>
                </c:pt>
                <c:pt idx="374">
                  <c:v>51.587540099613371</c:v>
                </c:pt>
                <c:pt idx="375">
                  <c:v>51.725917909098328</c:v>
                </c:pt>
                <c:pt idx="376">
                  <c:v>51.864295718583918</c:v>
                </c:pt>
                <c:pt idx="377">
                  <c:v>52.002667529638401</c:v>
                </c:pt>
                <c:pt idx="378">
                  <c:v>52.141045339123984</c:v>
                </c:pt>
                <c:pt idx="379">
                  <c:v>52.279423148608949</c:v>
                </c:pt>
                <c:pt idx="380">
                  <c:v>52.417794959663439</c:v>
                </c:pt>
                <c:pt idx="381">
                  <c:v>52.556172769149022</c:v>
                </c:pt>
                <c:pt idx="382">
                  <c:v>52.694550578633972</c:v>
                </c:pt>
                <c:pt idx="383">
                  <c:v>52.832922389688463</c:v>
                </c:pt>
                <c:pt idx="384">
                  <c:v>52.971300199174053</c:v>
                </c:pt>
                <c:pt idx="385">
                  <c:v>53.109678008659643</c:v>
                </c:pt>
                <c:pt idx="386">
                  <c:v>53.248049819713493</c:v>
                </c:pt>
                <c:pt idx="387">
                  <c:v>53.386427629199083</c:v>
                </c:pt>
                <c:pt idx="388">
                  <c:v>53.524805438684666</c:v>
                </c:pt>
                <c:pt idx="389">
                  <c:v>53.663177249738531</c:v>
                </c:pt>
                <c:pt idx="390">
                  <c:v>53.801555059224121</c:v>
                </c:pt>
                <c:pt idx="391">
                  <c:v>53.939932868709704</c:v>
                </c:pt>
                <c:pt idx="392">
                  <c:v>54.078304679763562</c:v>
                </c:pt>
                <c:pt idx="393">
                  <c:v>54.216682489249152</c:v>
                </c:pt>
                <c:pt idx="394">
                  <c:v>54.355060298734735</c:v>
                </c:pt>
                <c:pt idx="395">
                  <c:v>54.493432109788593</c:v>
                </c:pt>
                <c:pt idx="396">
                  <c:v>54.631809919274176</c:v>
                </c:pt>
                <c:pt idx="397">
                  <c:v>54.770187728759765</c:v>
                </c:pt>
                <c:pt idx="398">
                  <c:v>54.908559539814256</c:v>
                </c:pt>
                <c:pt idx="399">
                  <c:v>55.046937349299206</c:v>
                </c:pt>
                <c:pt idx="400">
                  <c:v>55.185315158784803</c:v>
                </c:pt>
                <c:pt idx="401">
                  <c:v>55.323692968270379</c:v>
                </c:pt>
                <c:pt idx="402">
                  <c:v>55.462064779324244</c:v>
                </c:pt>
                <c:pt idx="403">
                  <c:v>55.600442588809834</c:v>
                </c:pt>
                <c:pt idx="404">
                  <c:v>55.738820398295417</c:v>
                </c:pt>
                <c:pt idx="405">
                  <c:v>55.8771922093499</c:v>
                </c:pt>
                <c:pt idx="406">
                  <c:v>56.015570018834872</c:v>
                </c:pt>
                <c:pt idx="407">
                  <c:v>56.153947828320447</c:v>
                </c:pt>
                <c:pt idx="408">
                  <c:v>56.292319639374938</c:v>
                </c:pt>
                <c:pt idx="409">
                  <c:v>56.430697448859888</c:v>
                </c:pt>
                <c:pt idx="410">
                  <c:v>56.569075258345485</c:v>
                </c:pt>
                <c:pt idx="411">
                  <c:v>56.707447069399969</c:v>
                </c:pt>
                <c:pt idx="412">
                  <c:v>56.845824878885566</c:v>
                </c:pt>
                <c:pt idx="413">
                  <c:v>56.984202688370516</c:v>
                </c:pt>
                <c:pt idx="414">
                  <c:v>57.122574499425006</c:v>
                </c:pt>
                <c:pt idx="415">
                  <c:v>57.260952308910582</c:v>
                </c:pt>
                <c:pt idx="416">
                  <c:v>57.399330118395554</c:v>
                </c:pt>
                <c:pt idx="417">
                  <c:v>57.537701929450037</c:v>
                </c:pt>
                <c:pt idx="418">
                  <c:v>57.67607973893562</c:v>
                </c:pt>
                <c:pt idx="419">
                  <c:v>57.81445754842121</c:v>
                </c:pt>
                <c:pt idx="420">
                  <c:v>57.952829359475061</c:v>
                </c:pt>
                <c:pt idx="421">
                  <c:v>58.091207168960651</c:v>
                </c:pt>
                <c:pt idx="422">
                  <c:v>58.22958497844624</c:v>
                </c:pt>
                <c:pt idx="423">
                  <c:v>58.367956789500091</c:v>
                </c:pt>
                <c:pt idx="424">
                  <c:v>58.506334598985688</c:v>
                </c:pt>
                <c:pt idx="425">
                  <c:v>58.644712408471278</c:v>
                </c:pt>
                <c:pt idx="426">
                  <c:v>58.783084219525129</c:v>
                </c:pt>
                <c:pt idx="427">
                  <c:v>58.921462029010719</c:v>
                </c:pt>
                <c:pt idx="428">
                  <c:v>59.059839838496302</c:v>
                </c:pt>
                <c:pt idx="429">
                  <c:v>59.19821164955016</c:v>
                </c:pt>
                <c:pt idx="430">
                  <c:v>59.33658945903575</c:v>
                </c:pt>
                <c:pt idx="431">
                  <c:v>59.474967268521333</c:v>
                </c:pt>
                <c:pt idx="432">
                  <c:v>59.613339079575823</c:v>
                </c:pt>
                <c:pt idx="433">
                  <c:v>59.751716889060773</c:v>
                </c:pt>
                <c:pt idx="434">
                  <c:v>59.89009469854637</c:v>
                </c:pt>
                <c:pt idx="435">
                  <c:v>60.028466509600854</c:v>
                </c:pt>
                <c:pt idx="436">
                  <c:v>60.166844319085811</c:v>
                </c:pt>
                <c:pt idx="437">
                  <c:v>60.305222128571401</c:v>
                </c:pt>
                <c:pt idx="438">
                  <c:v>60.443593939625885</c:v>
                </c:pt>
                <c:pt idx="439">
                  <c:v>60.581971749111467</c:v>
                </c:pt>
                <c:pt idx="440">
                  <c:v>60.720349558596432</c:v>
                </c:pt>
                <c:pt idx="441">
                  <c:v>60.858721369650922</c:v>
                </c:pt>
                <c:pt idx="442">
                  <c:v>60.997099179136505</c:v>
                </c:pt>
                <c:pt idx="443">
                  <c:v>61.13547698862147</c:v>
                </c:pt>
                <c:pt idx="444">
                  <c:v>61.273848799675946</c:v>
                </c:pt>
                <c:pt idx="445">
                  <c:v>61.412226609161536</c:v>
                </c:pt>
                <c:pt idx="446">
                  <c:v>61.550604418647126</c:v>
                </c:pt>
                <c:pt idx="447">
                  <c:v>61.688976229700977</c:v>
                </c:pt>
                <c:pt idx="448">
                  <c:v>61.827354039186567</c:v>
                </c:pt>
                <c:pt idx="449">
                  <c:v>61.965731848672164</c:v>
                </c:pt>
                <c:pt idx="450">
                  <c:v>62.104103659726015</c:v>
                </c:pt>
                <c:pt idx="451">
                  <c:v>62.242481469211604</c:v>
                </c:pt>
                <c:pt idx="452">
                  <c:v>62.380859278697187</c:v>
                </c:pt>
                <c:pt idx="453">
                  <c:v>62.519231089751045</c:v>
                </c:pt>
                <c:pt idx="454">
                  <c:v>62.657608899236635</c:v>
                </c:pt>
                <c:pt idx="455">
                  <c:v>62.795986708722218</c:v>
                </c:pt>
                <c:pt idx="456">
                  <c:v>62.934358519776076</c:v>
                </c:pt>
                <c:pt idx="457">
                  <c:v>63.072736329260408</c:v>
                </c:pt>
                <c:pt idx="458">
                  <c:v>63.21111413874474</c:v>
                </c:pt>
                <c:pt idx="459">
                  <c:v>63.349485949799849</c:v>
                </c:pt>
                <c:pt idx="460">
                  <c:v>63.487863759284181</c:v>
                </c:pt>
                <c:pt idx="461">
                  <c:v>63.626241568774802</c:v>
                </c:pt>
                <c:pt idx="462">
                  <c:v>63.764613379823622</c:v>
                </c:pt>
                <c:pt idx="463">
                  <c:v>63.902991189314243</c:v>
                </c:pt>
                <c:pt idx="464">
                  <c:v>64.041368998798575</c:v>
                </c:pt>
                <c:pt idx="465">
                  <c:v>64.1797468082829</c:v>
                </c:pt>
                <c:pt idx="466">
                  <c:v>64.318118619338023</c:v>
                </c:pt>
                <c:pt idx="467">
                  <c:v>64.456496428822348</c:v>
                </c:pt>
                <c:pt idx="468">
                  <c:v>64.594874238306687</c:v>
                </c:pt>
                <c:pt idx="469">
                  <c:v>64.733246049361796</c:v>
                </c:pt>
                <c:pt idx="470">
                  <c:v>64.871623858846121</c:v>
                </c:pt>
                <c:pt idx="471">
                  <c:v>65.010001668330446</c:v>
                </c:pt>
                <c:pt idx="472">
                  <c:v>65.148373479385569</c:v>
                </c:pt>
                <c:pt idx="473">
                  <c:v>65.286751288869894</c:v>
                </c:pt>
                <c:pt idx="474">
                  <c:v>65.425129098360514</c:v>
                </c:pt>
                <c:pt idx="475">
                  <c:v>65.563500909409342</c:v>
                </c:pt>
                <c:pt idx="476">
                  <c:v>65.701878718899962</c:v>
                </c:pt>
                <c:pt idx="477">
                  <c:v>65.840256528384288</c:v>
                </c:pt>
                <c:pt idx="478">
                  <c:v>65.97862833943941</c:v>
                </c:pt>
                <c:pt idx="479">
                  <c:v>66.117006148923736</c:v>
                </c:pt>
                <c:pt idx="480">
                  <c:v>66.255383958408075</c:v>
                </c:pt>
                <c:pt idx="481">
                  <c:v>66.393755769463183</c:v>
                </c:pt>
                <c:pt idx="482">
                  <c:v>66.532133578947509</c:v>
                </c:pt>
                <c:pt idx="483">
                  <c:v>66.670511388431834</c:v>
                </c:pt>
                <c:pt idx="484">
                  <c:v>66.808883199486957</c:v>
                </c:pt>
                <c:pt idx="485">
                  <c:v>66.947261008971282</c:v>
                </c:pt>
                <c:pt idx="486">
                  <c:v>67.085638818455607</c:v>
                </c:pt>
                <c:pt idx="487">
                  <c:v>67.22401062951073</c:v>
                </c:pt>
                <c:pt idx="488">
                  <c:v>67.362388439001336</c:v>
                </c:pt>
                <c:pt idx="489">
                  <c:v>67.500766248485675</c:v>
                </c:pt>
                <c:pt idx="490">
                  <c:v>67.639138059540784</c:v>
                </c:pt>
                <c:pt idx="491">
                  <c:v>67.777515869025123</c:v>
                </c:pt>
                <c:pt idx="492">
                  <c:v>67.915893678509448</c:v>
                </c:pt>
                <c:pt idx="493">
                  <c:v>68.054265489564571</c:v>
                </c:pt>
                <c:pt idx="494">
                  <c:v>68.192643299048896</c:v>
                </c:pt>
                <c:pt idx="495">
                  <c:v>68.331021108533221</c:v>
                </c:pt>
                <c:pt idx="496">
                  <c:v>68.469392919588344</c:v>
                </c:pt>
                <c:pt idx="497">
                  <c:v>68.607770729072669</c:v>
                </c:pt>
                <c:pt idx="498">
                  <c:v>68.746148538556994</c:v>
                </c:pt>
                <c:pt idx="499">
                  <c:v>68.884520349612103</c:v>
                </c:pt>
                <c:pt idx="500">
                  <c:v>69.022898159096442</c:v>
                </c:pt>
                <c:pt idx="501">
                  <c:v>69.161275968587063</c:v>
                </c:pt>
                <c:pt idx="502">
                  <c:v>69.299647779635876</c:v>
                </c:pt>
                <c:pt idx="503">
                  <c:v>69.438025589126497</c:v>
                </c:pt>
                <c:pt idx="504">
                  <c:v>69.576403398610836</c:v>
                </c:pt>
                <c:pt idx="505">
                  <c:v>69.714775209665959</c:v>
                </c:pt>
                <c:pt idx="506">
                  <c:v>69.853153019150284</c:v>
                </c:pt>
                <c:pt idx="507">
                  <c:v>69.991530828634609</c:v>
                </c:pt>
                <c:pt idx="508">
                  <c:v>70.129902639689718</c:v>
                </c:pt>
                <c:pt idx="509">
                  <c:v>70.268280449174057</c:v>
                </c:pt>
                <c:pt idx="510">
                  <c:v>70.406658258658382</c:v>
                </c:pt>
                <c:pt idx="511">
                  <c:v>70.545030069713491</c:v>
                </c:pt>
                <c:pt idx="512">
                  <c:v>70.68340787919783</c:v>
                </c:pt>
                <c:pt idx="513">
                  <c:v>70.821785688682155</c:v>
                </c:pt>
                <c:pt idx="514">
                  <c:v>70.960157499737264</c:v>
                </c:pt>
                <c:pt idx="515">
                  <c:v>71.098535309221603</c:v>
                </c:pt>
                <c:pt idx="516">
                  <c:v>71.236913118712209</c:v>
                </c:pt>
                <c:pt idx="517">
                  <c:v>71.375284929761051</c:v>
                </c:pt>
                <c:pt idx="518">
                  <c:v>71.513662739251671</c:v>
                </c:pt>
                <c:pt idx="519">
                  <c:v>71.652040548735997</c:v>
                </c:pt>
                <c:pt idx="520">
                  <c:v>71.790412359791105</c:v>
                </c:pt>
                <c:pt idx="521">
                  <c:v>71.928790169275445</c:v>
                </c:pt>
                <c:pt idx="522">
                  <c:v>72.06716797875977</c:v>
                </c:pt>
                <c:pt idx="523">
                  <c:v>72.205539789814878</c:v>
                </c:pt>
                <c:pt idx="524">
                  <c:v>72.343917599299203</c:v>
                </c:pt>
                <c:pt idx="525">
                  <c:v>72.482295408783543</c:v>
                </c:pt>
                <c:pt idx="526">
                  <c:v>72.620673218267868</c:v>
                </c:pt>
                <c:pt idx="527">
                  <c:v>72.759045029322976</c:v>
                </c:pt>
                <c:pt idx="528">
                  <c:v>72.897422838807316</c:v>
                </c:pt>
                <c:pt idx="529">
                  <c:v>73.035800648297936</c:v>
                </c:pt>
                <c:pt idx="530">
                  <c:v>73.174172459346764</c:v>
                </c:pt>
                <c:pt idx="531">
                  <c:v>73.312550268837384</c:v>
                </c:pt>
                <c:pt idx="532">
                  <c:v>73.450928078321709</c:v>
                </c:pt>
                <c:pt idx="533">
                  <c:v>73.589299889376832</c:v>
                </c:pt>
                <c:pt idx="534">
                  <c:v>73.727677698861157</c:v>
                </c:pt>
                <c:pt idx="535">
                  <c:v>73.866055508345482</c:v>
                </c:pt>
                <c:pt idx="536">
                  <c:v>74.004427319400591</c:v>
                </c:pt>
                <c:pt idx="537">
                  <c:v>74.14280512888493</c:v>
                </c:pt>
                <c:pt idx="538">
                  <c:v>74.281182938369255</c:v>
                </c:pt>
                <c:pt idx="539">
                  <c:v>74.419554749424364</c:v>
                </c:pt>
                <c:pt idx="540">
                  <c:v>74.557932558908703</c:v>
                </c:pt>
                <c:pt idx="541">
                  <c:v>74.696310368393043</c:v>
                </c:pt>
                <c:pt idx="542">
                  <c:v>74.834682179448151</c:v>
                </c:pt>
                <c:pt idx="543">
                  <c:v>74.973059988932476</c:v>
                </c:pt>
                <c:pt idx="544">
                  <c:v>75.111437798423097</c:v>
                </c:pt>
                <c:pt idx="545">
                  <c:v>75.249809609478206</c:v>
                </c:pt>
                <c:pt idx="546">
                  <c:v>75.388187418962545</c:v>
                </c:pt>
                <c:pt idx="547">
                  <c:v>75.52656522844687</c:v>
                </c:pt>
                <c:pt idx="548">
                  <c:v>75.664937039501979</c:v>
                </c:pt>
                <c:pt idx="549">
                  <c:v>75.803314848986318</c:v>
                </c:pt>
                <c:pt idx="550">
                  <c:v>75.941692658470643</c:v>
                </c:pt>
                <c:pt idx="551">
                  <c:v>76.080064469525752</c:v>
                </c:pt>
                <c:pt idx="552">
                  <c:v>76.218442279010077</c:v>
                </c:pt>
                <c:pt idx="553">
                  <c:v>76.356820088494416</c:v>
                </c:pt>
                <c:pt idx="554">
                  <c:v>76.495191899549539</c:v>
                </c:pt>
                <c:pt idx="555">
                  <c:v>76.633569709033864</c:v>
                </c:pt>
                <c:pt idx="556">
                  <c:v>76.771947518518189</c:v>
                </c:pt>
                <c:pt idx="557">
                  <c:v>76.910319329573312</c:v>
                </c:pt>
                <c:pt idx="558">
                  <c:v>77.048697139063933</c:v>
                </c:pt>
                <c:pt idx="559">
                  <c:v>77.187074948548258</c:v>
                </c:pt>
                <c:pt idx="560">
                  <c:v>77.325446759603366</c:v>
                </c:pt>
                <c:pt idx="561">
                  <c:v>77.463824569087691</c:v>
                </c:pt>
                <c:pt idx="562">
                  <c:v>77.602202378572031</c:v>
                </c:pt>
                <c:pt idx="563">
                  <c:v>77.740574189627139</c:v>
                </c:pt>
                <c:pt idx="564">
                  <c:v>77.878951999111464</c:v>
                </c:pt>
                <c:pt idx="565">
                  <c:v>78.017329808595804</c:v>
                </c:pt>
                <c:pt idx="566">
                  <c:v>78.155701619650927</c:v>
                </c:pt>
                <c:pt idx="567">
                  <c:v>78.294079429135252</c:v>
                </c:pt>
                <c:pt idx="568">
                  <c:v>78.432457238619577</c:v>
                </c:pt>
                <c:pt idx="569">
                  <c:v>78.5708290496747</c:v>
                </c:pt>
                <c:pt idx="570">
                  <c:v>78.709206859159025</c:v>
                </c:pt>
                <c:pt idx="571">
                  <c:v>78.847584668649645</c:v>
                </c:pt>
                <c:pt idx="572">
                  <c:v>78.985956479698459</c:v>
                </c:pt>
                <c:pt idx="573">
                  <c:v>79.124334289189079</c:v>
                </c:pt>
                <c:pt idx="574">
                  <c:v>79.262712098673418</c:v>
                </c:pt>
                <c:pt idx="575">
                  <c:v>79.401083909728527</c:v>
                </c:pt>
                <c:pt idx="576">
                  <c:v>79.539461719212852</c:v>
                </c:pt>
                <c:pt idx="577">
                  <c:v>79.677839528697191</c:v>
                </c:pt>
                <c:pt idx="578">
                  <c:v>79.816211339752314</c:v>
                </c:pt>
                <c:pt idx="579">
                  <c:v>79.954589149236639</c:v>
                </c:pt>
                <c:pt idx="580">
                  <c:v>80.092966958720964</c:v>
                </c:pt>
                <c:pt idx="581">
                  <c:v>80.231338769776073</c:v>
                </c:pt>
                <c:pt idx="582">
                  <c:v>80.369716579260412</c:v>
                </c:pt>
                <c:pt idx="583">
                  <c:v>80.508094388744738</c:v>
                </c:pt>
                <c:pt idx="584">
                  <c:v>80.646466199799846</c:v>
                </c:pt>
                <c:pt idx="585">
                  <c:v>80.784844009284186</c:v>
                </c:pt>
                <c:pt idx="586">
                  <c:v>80.923221818774806</c:v>
                </c:pt>
                <c:pt idx="587">
                  <c:v>81.061593629823619</c:v>
                </c:pt>
                <c:pt idx="588">
                  <c:v>81.19997143931424</c:v>
                </c:pt>
                <c:pt idx="589">
                  <c:v>81.338349248798565</c:v>
                </c:pt>
                <c:pt idx="590">
                  <c:v>81.476727058282904</c:v>
                </c:pt>
                <c:pt idx="591">
                  <c:v>81.615098869338027</c:v>
                </c:pt>
                <c:pt idx="592">
                  <c:v>81.753476678822352</c:v>
                </c:pt>
                <c:pt idx="593">
                  <c:v>81.891854488306677</c:v>
                </c:pt>
                <c:pt idx="594">
                  <c:v>82.0302262993618</c:v>
                </c:pt>
                <c:pt idx="595">
                  <c:v>82.168604108846125</c:v>
                </c:pt>
                <c:pt idx="596">
                  <c:v>82.30698191833045</c:v>
                </c:pt>
                <c:pt idx="597">
                  <c:v>82.445353729385573</c:v>
                </c:pt>
                <c:pt idx="598">
                  <c:v>82.583731538869898</c:v>
                </c:pt>
                <c:pt idx="599">
                  <c:v>82.722109348360519</c:v>
                </c:pt>
                <c:pt idx="600">
                  <c:v>82.860481159409332</c:v>
                </c:pt>
                <c:pt idx="601">
                  <c:v>82.998858968899953</c:v>
                </c:pt>
                <c:pt idx="602">
                  <c:v>83.137236778384292</c:v>
                </c:pt>
                <c:pt idx="603">
                  <c:v>83.275608589439415</c:v>
                </c:pt>
                <c:pt idx="604">
                  <c:v>83.41398639892374</c:v>
                </c:pt>
                <c:pt idx="605">
                  <c:v>83.552364208408065</c:v>
                </c:pt>
                <c:pt idx="606">
                  <c:v>83.690736019463188</c:v>
                </c:pt>
                <c:pt idx="607">
                  <c:v>83.829113828947513</c:v>
                </c:pt>
                <c:pt idx="608">
                  <c:v>83.967491638431838</c:v>
                </c:pt>
                <c:pt idx="609">
                  <c:v>84.105863449486947</c:v>
                </c:pt>
                <c:pt idx="610">
                  <c:v>84.244241258971286</c:v>
                </c:pt>
                <c:pt idx="611">
                  <c:v>84.382619068455611</c:v>
                </c:pt>
                <c:pt idx="612">
                  <c:v>84.52099087951072</c:v>
                </c:pt>
                <c:pt idx="613">
                  <c:v>84.65936868900134</c:v>
                </c:pt>
                <c:pt idx="614">
                  <c:v>84.797746498485679</c:v>
                </c:pt>
                <c:pt idx="615">
                  <c:v>84.936118309540788</c:v>
                </c:pt>
                <c:pt idx="616">
                  <c:v>85.074496119025127</c:v>
                </c:pt>
                <c:pt idx="617">
                  <c:v>85.212873928509453</c:v>
                </c:pt>
                <c:pt idx="618">
                  <c:v>85.351245739564561</c:v>
                </c:pt>
                <c:pt idx="619">
                  <c:v>85.4896235490489</c:v>
                </c:pt>
                <c:pt idx="620">
                  <c:v>85.628001358533226</c:v>
                </c:pt>
                <c:pt idx="621">
                  <c:v>85.766373169588334</c:v>
                </c:pt>
                <c:pt idx="622">
                  <c:v>85.904750979072674</c:v>
                </c:pt>
                <c:pt idx="623">
                  <c:v>86.043128788556999</c:v>
                </c:pt>
                <c:pt idx="624">
                  <c:v>86.181500599612107</c:v>
                </c:pt>
                <c:pt idx="625">
                  <c:v>86.319878409096432</c:v>
                </c:pt>
                <c:pt idx="626">
                  <c:v>86.458256218587053</c:v>
                </c:pt>
                <c:pt idx="627">
                  <c:v>86.59662802963588</c:v>
                </c:pt>
                <c:pt idx="628">
                  <c:v>86.735005839126501</c:v>
                </c:pt>
                <c:pt idx="629">
                  <c:v>86.87338364861084</c:v>
                </c:pt>
                <c:pt idx="630">
                  <c:v>87.011755459665949</c:v>
                </c:pt>
                <c:pt idx="631">
                  <c:v>87.150133269150288</c:v>
                </c:pt>
                <c:pt idx="632">
                  <c:v>87.288511078634613</c:v>
                </c:pt>
                <c:pt idx="633">
                  <c:v>87.426882889689722</c:v>
                </c:pt>
                <c:pt idx="634">
                  <c:v>87.565260699174047</c:v>
                </c:pt>
                <c:pt idx="635">
                  <c:v>87.703638508658386</c:v>
                </c:pt>
                <c:pt idx="636">
                  <c:v>87.842010319713495</c:v>
                </c:pt>
                <c:pt idx="637">
                  <c:v>87.98038812919782</c:v>
                </c:pt>
                <c:pt idx="638">
                  <c:v>88.118765938682159</c:v>
                </c:pt>
                <c:pt idx="639">
                  <c:v>88.257137749737268</c:v>
                </c:pt>
                <c:pt idx="640">
                  <c:v>88.395515559221607</c:v>
                </c:pt>
                <c:pt idx="641">
                  <c:v>88.533893368712214</c:v>
                </c:pt>
                <c:pt idx="642">
                  <c:v>88.672265179761055</c:v>
                </c:pt>
                <c:pt idx="643">
                  <c:v>88.810642989251676</c:v>
                </c:pt>
                <c:pt idx="644">
                  <c:v>88.949020798736001</c:v>
                </c:pt>
                <c:pt idx="645">
                  <c:v>89.08739260979111</c:v>
                </c:pt>
                <c:pt idx="646">
                  <c:v>89.225770419275435</c:v>
                </c:pt>
                <c:pt idx="647">
                  <c:v>89.364148228759774</c:v>
                </c:pt>
                <c:pt idx="648">
                  <c:v>89.502520039814883</c:v>
                </c:pt>
                <c:pt idx="649">
                  <c:v>89.640897849299208</c:v>
                </c:pt>
                <c:pt idx="650">
                  <c:v>89.779275658783547</c:v>
                </c:pt>
                <c:pt idx="651">
                  <c:v>89.917653468267872</c:v>
                </c:pt>
                <c:pt idx="652">
                  <c:v>90.056025279322981</c:v>
                </c:pt>
                <c:pt idx="653">
                  <c:v>90.19440308880732</c:v>
                </c:pt>
                <c:pt idx="654">
                  <c:v>90.332780898297926</c:v>
                </c:pt>
                <c:pt idx="655">
                  <c:v>90.471152709346768</c:v>
                </c:pt>
                <c:pt idx="656">
                  <c:v>90.609530518837389</c:v>
                </c:pt>
                <c:pt idx="657">
                  <c:v>90.747908328321714</c:v>
                </c:pt>
                <c:pt idx="658">
                  <c:v>90.886280139376822</c:v>
                </c:pt>
                <c:pt idx="659">
                  <c:v>91.024657948861162</c:v>
                </c:pt>
                <c:pt idx="660">
                  <c:v>91.163035758345487</c:v>
                </c:pt>
                <c:pt idx="661">
                  <c:v>91.301407569400595</c:v>
                </c:pt>
                <c:pt idx="662">
                  <c:v>91.43978537888492</c:v>
                </c:pt>
                <c:pt idx="663">
                  <c:v>91.57816318836926</c:v>
                </c:pt>
                <c:pt idx="664">
                  <c:v>91.716534999424368</c:v>
                </c:pt>
                <c:pt idx="665">
                  <c:v>91.854912808908693</c:v>
                </c:pt>
                <c:pt idx="666">
                  <c:v>91.993290618393033</c:v>
                </c:pt>
                <c:pt idx="667">
                  <c:v>92.131662429448156</c:v>
                </c:pt>
                <c:pt idx="668">
                  <c:v>92.270040238932481</c:v>
                </c:pt>
                <c:pt idx="669">
                  <c:v>92.408418048423101</c:v>
                </c:pt>
                <c:pt idx="670">
                  <c:v>92.54678985947821</c:v>
                </c:pt>
                <c:pt idx="671">
                  <c:v>92.685167668962535</c:v>
                </c:pt>
                <c:pt idx="672">
                  <c:v>92.823545478446874</c:v>
                </c:pt>
                <c:pt idx="673">
                  <c:v>92.961917289501983</c:v>
                </c:pt>
                <c:pt idx="674">
                  <c:v>93.100295098986308</c:v>
                </c:pt>
                <c:pt idx="675">
                  <c:v>93.238672908470647</c:v>
                </c:pt>
                <c:pt idx="676">
                  <c:v>93.377044719525756</c:v>
                </c:pt>
                <c:pt idx="677">
                  <c:v>93.515422529010081</c:v>
                </c:pt>
                <c:pt idx="678">
                  <c:v>93.653800338494406</c:v>
                </c:pt>
                <c:pt idx="679">
                  <c:v>93.792172149549543</c:v>
                </c:pt>
                <c:pt idx="680">
                  <c:v>93.930549959033868</c:v>
                </c:pt>
                <c:pt idx="681">
                  <c:v>94.068927768518193</c:v>
                </c:pt>
                <c:pt idx="682">
                  <c:v>94.207299579573302</c:v>
                </c:pt>
                <c:pt idx="683">
                  <c:v>94.345677389063923</c:v>
                </c:pt>
                <c:pt idx="684">
                  <c:v>94.484055198548262</c:v>
                </c:pt>
                <c:pt idx="685">
                  <c:v>94.622427009603371</c:v>
                </c:pt>
                <c:pt idx="686">
                  <c:v>94.760804819087696</c:v>
                </c:pt>
                <c:pt idx="687">
                  <c:v>94.899182628572035</c:v>
                </c:pt>
                <c:pt idx="688">
                  <c:v>95.037554439627144</c:v>
                </c:pt>
                <c:pt idx="689">
                  <c:v>95.175932249111469</c:v>
                </c:pt>
                <c:pt idx="690">
                  <c:v>95.314310058595794</c:v>
                </c:pt>
                <c:pt idx="691">
                  <c:v>95.452681869650917</c:v>
                </c:pt>
                <c:pt idx="692">
                  <c:v>95.591059679135256</c:v>
                </c:pt>
                <c:pt idx="693">
                  <c:v>95.729437488619581</c:v>
                </c:pt>
                <c:pt idx="694">
                  <c:v>95.86780929967469</c:v>
                </c:pt>
                <c:pt idx="695">
                  <c:v>96.006187109159029</c:v>
                </c:pt>
                <c:pt idx="696">
                  <c:v>96.14456491864965</c:v>
                </c:pt>
                <c:pt idx="697">
                  <c:v>96.282936729698463</c:v>
                </c:pt>
                <c:pt idx="698">
                  <c:v>96.421314539189083</c:v>
                </c:pt>
                <c:pt idx="699">
                  <c:v>96.559692348673408</c:v>
                </c:pt>
                <c:pt idx="700">
                  <c:v>96.698064159728531</c:v>
                </c:pt>
                <c:pt idx="701">
                  <c:v>96.836441969212856</c:v>
                </c:pt>
                <c:pt idx="702">
                  <c:v>96.974819778697182</c:v>
                </c:pt>
                <c:pt idx="703">
                  <c:v>97.113191589752304</c:v>
                </c:pt>
                <c:pt idx="704">
                  <c:v>97.251569399236644</c:v>
                </c:pt>
                <c:pt idx="705">
                  <c:v>97.389947208720969</c:v>
                </c:pt>
                <c:pt idx="706">
                  <c:v>97.528319019776077</c:v>
                </c:pt>
                <c:pt idx="707">
                  <c:v>97.666696829260403</c:v>
                </c:pt>
                <c:pt idx="708">
                  <c:v>97.805074638744742</c:v>
                </c:pt>
                <c:pt idx="709">
                  <c:v>97.94344644979985</c:v>
                </c:pt>
                <c:pt idx="710">
                  <c:v>98.081824259284176</c:v>
                </c:pt>
                <c:pt idx="711">
                  <c:v>98.220202068774796</c:v>
                </c:pt>
                <c:pt idx="712">
                  <c:v>98.358573879823624</c:v>
                </c:pt>
                <c:pt idx="713">
                  <c:v>98.496951689314244</c:v>
                </c:pt>
                <c:pt idx="714">
                  <c:v>98.635329498798569</c:v>
                </c:pt>
                <c:pt idx="715">
                  <c:v>98.773707308282894</c:v>
                </c:pt>
                <c:pt idx="716">
                  <c:v>98.912079119338031</c:v>
                </c:pt>
                <c:pt idx="717">
                  <c:v>99.050456928822356</c:v>
                </c:pt>
                <c:pt idx="718">
                  <c:v>99.188834738306682</c:v>
                </c:pt>
                <c:pt idx="719">
                  <c:v>99.32720654936179</c:v>
                </c:pt>
                <c:pt idx="720">
                  <c:v>99.465584358846129</c:v>
                </c:pt>
                <c:pt idx="721">
                  <c:v>99.603962168330455</c:v>
                </c:pt>
                <c:pt idx="722">
                  <c:v>99.742333979385563</c:v>
                </c:pt>
                <c:pt idx="723">
                  <c:v>99.880711788869903</c:v>
                </c:pt>
                <c:pt idx="724">
                  <c:v>100.01908959836052</c:v>
                </c:pt>
                <c:pt idx="725">
                  <c:v>100.15746140940934</c:v>
                </c:pt>
                <c:pt idx="726">
                  <c:v>100.29583921889996</c:v>
                </c:pt>
                <c:pt idx="727">
                  <c:v>100.43421702838428</c:v>
                </c:pt>
                <c:pt idx="728">
                  <c:v>100.5725888394394</c:v>
                </c:pt>
                <c:pt idx="729">
                  <c:v>100.71096065049451</c:v>
                </c:pt>
                <c:pt idx="730">
                  <c:v>100.84934445840807</c:v>
                </c:pt>
                <c:pt idx="731">
                  <c:v>100.98771626946316</c:v>
                </c:pt>
                <c:pt idx="732">
                  <c:v>101.1260880805183</c:v>
                </c:pt>
                <c:pt idx="733">
                  <c:v>101.26447188843183</c:v>
                </c:pt>
                <c:pt idx="734">
                  <c:v>101.40284369948695</c:v>
                </c:pt>
                <c:pt idx="735">
                  <c:v>101.54121551054207</c:v>
                </c:pt>
                <c:pt idx="736">
                  <c:v>101.67959931845562</c:v>
                </c:pt>
                <c:pt idx="737">
                  <c:v>101.81797112951074</c:v>
                </c:pt>
                <c:pt idx="738">
                  <c:v>101.95634294056583</c:v>
                </c:pt>
                <c:pt idx="739">
                  <c:v>102.09472674848567</c:v>
                </c:pt>
                <c:pt idx="740">
                  <c:v>102.23309855954079</c:v>
                </c:pt>
                <c:pt idx="741">
                  <c:v>102.37147037058962</c:v>
                </c:pt>
                <c:pt idx="742">
                  <c:v>102.50985417850946</c:v>
                </c:pt>
                <c:pt idx="743">
                  <c:v>102.64822598956455</c:v>
                </c:pt>
                <c:pt idx="744">
                  <c:v>102.78659780061967</c:v>
                </c:pt>
                <c:pt idx="745">
                  <c:v>102.92498160853322</c:v>
                </c:pt>
                <c:pt idx="746">
                  <c:v>103.06335341958834</c:v>
                </c:pt>
                <c:pt idx="747">
                  <c:v>103.20173722750188</c:v>
                </c:pt>
                <c:pt idx="748">
                  <c:v>103.340109038557</c:v>
                </c:pt>
                <c:pt idx="749">
                  <c:v>103.47848084961213</c:v>
                </c:pt>
                <c:pt idx="750">
                  <c:v>103.61686465753196</c:v>
                </c:pt>
                <c:pt idx="751">
                  <c:v>103.75523646858706</c:v>
                </c:pt>
                <c:pt idx="752">
                  <c:v>103.89360827963588</c:v>
                </c:pt>
                <c:pt idx="753">
                  <c:v>104.03199208755572</c:v>
                </c:pt>
                <c:pt idx="754">
                  <c:v>104.17036389861084</c:v>
                </c:pt>
                <c:pt idx="755">
                  <c:v>104.30873570966594</c:v>
                </c:pt>
                <c:pt idx="756">
                  <c:v>104.44711951757949</c:v>
                </c:pt>
                <c:pt idx="757">
                  <c:v>104.5854913286346</c:v>
                </c:pt>
                <c:pt idx="758">
                  <c:v>104.72386313968973</c:v>
                </c:pt>
                <c:pt idx="759">
                  <c:v>104.86224694760325</c:v>
                </c:pt>
                <c:pt idx="760">
                  <c:v>105.00061875865839</c:v>
                </c:pt>
                <c:pt idx="761">
                  <c:v>105.13899056971351</c:v>
                </c:pt>
                <c:pt idx="762">
                  <c:v>105.27737437763335</c:v>
                </c:pt>
                <c:pt idx="763">
                  <c:v>105.41574618868216</c:v>
                </c:pt>
                <c:pt idx="764">
                  <c:v>105.55411799973727</c:v>
                </c:pt>
                <c:pt idx="765">
                  <c:v>105.69250180765711</c:v>
                </c:pt>
                <c:pt idx="766">
                  <c:v>105.83087361871223</c:v>
                </c:pt>
                <c:pt idx="767">
                  <c:v>105.96924542976105</c:v>
                </c:pt>
                <c:pt idx="768">
                  <c:v>106.10762923768088</c:v>
                </c:pt>
                <c:pt idx="769">
                  <c:v>106.24600104873599</c:v>
                </c:pt>
                <c:pt idx="770">
                  <c:v>106.38437285979111</c:v>
                </c:pt>
                <c:pt idx="771">
                  <c:v>106.52275666770464</c:v>
                </c:pt>
                <c:pt idx="772">
                  <c:v>106.66112847875976</c:v>
                </c:pt>
                <c:pt idx="773">
                  <c:v>106.79950028981489</c:v>
                </c:pt>
                <c:pt idx="774">
                  <c:v>106.93788409772843</c:v>
                </c:pt>
                <c:pt idx="775">
                  <c:v>107.07625590878355</c:v>
                </c:pt>
                <c:pt idx="776">
                  <c:v>107.21462771983866</c:v>
                </c:pt>
                <c:pt idx="777">
                  <c:v>107.3530115277585</c:v>
                </c:pt>
                <c:pt idx="778">
                  <c:v>107.49138333880731</c:v>
                </c:pt>
                <c:pt idx="779">
                  <c:v>107.62975514986243</c:v>
                </c:pt>
                <c:pt idx="780">
                  <c:v>107.76813895778227</c:v>
                </c:pt>
                <c:pt idx="781">
                  <c:v>107.90651076883738</c:v>
                </c:pt>
                <c:pt idx="782">
                  <c:v>108.04488257988619</c:v>
                </c:pt>
                <c:pt idx="783">
                  <c:v>108.18326638780603</c:v>
                </c:pt>
                <c:pt idx="784">
                  <c:v>108.32163819886115</c:v>
                </c:pt>
                <c:pt idx="785">
                  <c:v>108.46001000991627</c:v>
                </c:pt>
                <c:pt idx="786">
                  <c:v>108.59839381782982</c:v>
                </c:pt>
                <c:pt idx="787">
                  <c:v>108.73676562888494</c:v>
                </c:pt>
                <c:pt idx="788">
                  <c:v>108.87513743994003</c:v>
                </c:pt>
                <c:pt idx="789">
                  <c:v>109.0135212478536</c:v>
                </c:pt>
                <c:pt idx="790">
                  <c:v>109.1518930589087</c:v>
                </c:pt>
                <c:pt idx="791">
                  <c:v>109.29026486996382</c:v>
                </c:pt>
                <c:pt idx="792">
                  <c:v>109.42864867788366</c:v>
                </c:pt>
                <c:pt idx="793">
                  <c:v>109.56702048893249</c:v>
                </c:pt>
                <c:pt idx="794">
                  <c:v>109.70539229998758</c:v>
                </c:pt>
                <c:pt idx="795">
                  <c:v>109.84377610790742</c:v>
                </c:pt>
                <c:pt idx="796">
                  <c:v>109.98214791896254</c:v>
                </c:pt>
                <c:pt idx="797">
                  <c:v>110.12051973001766</c:v>
                </c:pt>
                <c:pt idx="798">
                  <c:v>110.2589035379312</c:v>
                </c:pt>
                <c:pt idx="799">
                  <c:v>110.39727534898633</c:v>
                </c:pt>
                <c:pt idx="800">
                  <c:v>110.53564716004142</c:v>
                </c:pt>
                <c:pt idx="801">
                  <c:v>110.67403096795498</c:v>
                </c:pt>
                <c:pt idx="802">
                  <c:v>110.81240277901009</c:v>
                </c:pt>
                <c:pt idx="803">
                  <c:v>110.95077459006521</c:v>
                </c:pt>
                <c:pt idx="804">
                  <c:v>111.08915839797875</c:v>
                </c:pt>
                <c:pt idx="805">
                  <c:v>111.22753020903387</c:v>
                </c:pt>
                <c:pt idx="806">
                  <c:v>111.36590202008897</c:v>
                </c:pt>
                <c:pt idx="807">
                  <c:v>111.5042858280088</c:v>
                </c:pt>
                <c:pt idx="808">
                  <c:v>111.64265763906393</c:v>
                </c:pt>
                <c:pt idx="809">
                  <c:v>111.78102945011275</c:v>
                </c:pt>
                <c:pt idx="810">
                  <c:v>111.91941325803259</c:v>
                </c:pt>
                <c:pt idx="811">
                  <c:v>112.05778506908771</c:v>
                </c:pt>
                <c:pt idx="812">
                  <c:v>112.19615688014281</c:v>
                </c:pt>
                <c:pt idx="813">
                  <c:v>112.33454068805636</c:v>
                </c:pt>
                <c:pt idx="814">
                  <c:v>112.47291249911147</c:v>
                </c:pt>
                <c:pt idx="815">
                  <c:v>112.6112843101666</c:v>
                </c:pt>
                <c:pt idx="816">
                  <c:v>112.74966811808012</c:v>
                </c:pt>
                <c:pt idx="817">
                  <c:v>112.88803992913525</c:v>
                </c:pt>
                <c:pt idx="818">
                  <c:v>113.02641174019035</c:v>
                </c:pt>
                <c:pt idx="819">
                  <c:v>113.16479554811019</c:v>
                </c:pt>
                <c:pt idx="820">
                  <c:v>113.30316735915902</c:v>
                </c:pt>
                <c:pt idx="821">
                  <c:v>113.44153917021414</c:v>
                </c:pt>
                <c:pt idx="822">
                  <c:v>113.57992297813398</c:v>
                </c:pt>
                <c:pt idx="823">
                  <c:v>113.7182947891891</c:v>
                </c:pt>
                <c:pt idx="824">
                  <c:v>113.85666660023792</c:v>
                </c:pt>
                <c:pt idx="825">
                  <c:v>113.99505040815775</c:v>
                </c:pt>
                <c:pt idx="826">
                  <c:v>114.13342221921286</c:v>
                </c:pt>
                <c:pt idx="827">
                  <c:v>114.27179403026798</c:v>
                </c:pt>
                <c:pt idx="828">
                  <c:v>114.41017783818151</c:v>
                </c:pt>
                <c:pt idx="829">
                  <c:v>114.54854964923663</c:v>
                </c:pt>
                <c:pt idx="830">
                  <c:v>114.68692146029174</c:v>
                </c:pt>
                <c:pt idx="831">
                  <c:v>114.8253052682053</c:v>
                </c:pt>
                <c:pt idx="832">
                  <c:v>114.96367707926039</c:v>
                </c:pt>
                <c:pt idx="833">
                  <c:v>115.10204889031553</c:v>
                </c:pt>
                <c:pt idx="834">
                  <c:v>115.24043269823535</c:v>
                </c:pt>
                <c:pt idx="835">
                  <c:v>115.37880450928418</c:v>
                </c:pt>
                <c:pt idx="836">
                  <c:v>115.5171763203393</c:v>
                </c:pt>
                <c:pt idx="837">
                  <c:v>115.65556012825914</c:v>
                </c:pt>
                <c:pt idx="838">
                  <c:v>115.79393193931425</c:v>
                </c:pt>
                <c:pt idx="839">
                  <c:v>115.93230375036937</c:v>
                </c:pt>
                <c:pt idx="840">
                  <c:v>116.0706875582829</c:v>
                </c:pt>
                <c:pt idx="841">
                  <c:v>116.20905936933802</c:v>
                </c:pt>
                <c:pt idx="842">
                  <c:v>116.34743118039313</c:v>
                </c:pt>
                <c:pt idx="843">
                  <c:v>116.48581498830669</c:v>
                </c:pt>
                <c:pt idx="844">
                  <c:v>116.62418679936178</c:v>
                </c:pt>
                <c:pt idx="845">
                  <c:v>116.7625586104169</c:v>
                </c:pt>
                <c:pt idx="846">
                  <c:v>116.90094241833044</c:v>
                </c:pt>
                <c:pt idx="847">
                  <c:v>117.03931422938557</c:v>
                </c:pt>
                <c:pt idx="848">
                  <c:v>117.17768604044069</c:v>
                </c:pt>
                <c:pt idx="849">
                  <c:v>117.31606984836053</c:v>
                </c:pt>
                <c:pt idx="850">
                  <c:v>117.45444165940935</c:v>
                </c:pt>
                <c:pt idx="851">
                  <c:v>117.59281347046445</c:v>
                </c:pt>
                <c:pt idx="852">
                  <c:v>117.73119727838429</c:v>
                </c:pt>
                <c:pt idx="853">
                  <c:v>117.86956908943941</c:v>
                </c:pt>
                <c:pt idx="854">
                  <c:v>118.00794090049452</c:v>
                </c:pt>
                <c:pt idx="855">
                  <c:v>118.14632470840807</c:v>
                </c:pt>
                <c:pt idx="856">
                  <c:v>118.28469651946317</c:v>
                </c:pt>
                <c:pt idx="857">
                  <c:v>118.42306833051829</c:v>
                </c:pt>
                <c:pt idx="858">
                  <c:v>118.56145213843183</c:v>
                </c:pt>
                <c:pt idx="859">
                  <c:v>118.69982394948696</c:v>
                </c:pt>
                <c:pt idx="860">
                  <c:v>118.83819576054208</c:v>
                </c:pt>
                <c:pt idx="861">
                  <c:v>118.97657956845561</c:v>
                </c:pt>
                <c:pt idx="862">
                  <c:v>119.11495137951074</c:v>
                </c:pt>
                <c:pt idx="863">
                  <c:v>119.25332319056584</c:v>
                </c:pt>
                <c:pt idx="864">
                  <c:v>119.39170699848567</c:v>
                </c:pt>
                <c:pt idx="865">
                  <c:v>119.5300788095408</c:v>
                </c:pt>
                <c:pt idx="866">
                  <c:v>119.66845062058962</c:v>
                </c:pt>
                <c:pt idx="867">
                  <c:v>119.80683442850946</c:v>
                </c:pt>
                <c:pt idx="868">
                  <c:v>119.94520623956456</c:v>
                </c:pt>
                <c:pt idx="869">
                  <c:v>120.08357805061968</c:v>
                </c:pt>
                <c:pt idx="870">
                  <c:v>120.22196185853322</c:v>
                </c:pt>
                <c:pt idx="871">
                  <c:v>120.36033366958834</c:v>
                </c:pt>
                <c:pt idx="872">
                  <c:v>120.49871747750187</c:v>
                </c:pt>
                <c:pt idx="873">
                  <c:v>120.63708928855699</c:v>
                </c:pt>
                <c:pt idx="874">
                  <c:v>120.77546109961212</c:v>
                </c:pt>
                <c:pt idx="875">
                  <c:v>120.91384490753195</c:v>
                </c:pt>
                <c:pt idx="876">
                  <c:v>121.05221671858706</c:v>
                </c:pt>
                <c:pt idx="877">
                  <c:v>121.19058852963589</c:v>
                </c:pt>
                <c:pt idx="878">
                  <c:v>121.32897233755573</c:v>
                </c:pt>
                <c:pt idx="879">
                  <c:v>121.46734414861085</c:v>
                </c:pt>
                <c:pt idx="880">
                  <c:v>121.60571595966594</c:v>
                </c:pt>
                <c:pt idx="881">
                  <c:v>121.7440997675795</c:v>
                </c:pt>
                <c:pt idx="882">
                  <c:v>121.88247157863461</c:v>
                </c:pt>
                <c:pt idx="883">
                  <c:v>122.02084338968973</c:v>
                </c:pt>
                <c:pt idx="884">
                  <c:v>122.15922719760326</c:v>
                </c:pt>
                <c:pt idx="885">
                  <c:v>122.29759900865838</c:v>
                </c:pt>
                <c:pt idx="886">
                  <c:v>122.4359708197135</c:v>
                </c:pt>
                <c:pt idx="887">
                  <c:v>122.57435462763334</c:v>
                </c:pt>
                <c:pt idx="888">
                  <c:v>122.71272643868217</c:v>
                </c:pt>
                <c:pt idx="889">
                  <c:v>122.85109824973726</c:v>
                </c:pt>
                <c:pt idx="890">
                  <c:v>122.9894820576571</c:v>
                </c:pt>
                <c:pt idx="891">
                  <c:v>123.12785386871222</c:v>
                </c:pt>
                <c:pt idx="892">
                  <c:v>123.26622567976105</c:v>
                </c:pt>
                <c:pt idx="893">
                  <c:v>123.40460948768089</c:v>
                </c:pt>
                <c:pt idx="894">
                  <c:v>123.542981298736</c:v>
                </c:pt>
                <c:pt idx="895">
                  <c:v>123.68135310979112</c:v>
                </c:pt>
                <c:pt idx="896">
                  <c:v>123.81973691770465</c:v>
                </c:pt>
                <c:pt idx="897">
                  <c:v>123.95810872875977</c:v>
                </c:pt>
                <c:pt idx="898">
                  <c:v>124.09648053981489</c:v>
                </c:pt>
                <c:pt idx="899">
                  <c:v>124.23486434772843</c:v>
                </c:pt>
                <c:pt idx="900">
                  <c:v>124.37323615878356</c:v>
                </c:pt>
                <c:pt idx="901">
                  <c:v>124.51160796983865</c:v>
                </c:pt>
                <c:pt idx="902">
                  <c:v>124.64999177775849</c:v>
                </c:pt>
                <c:pt idx="903">
                  <c:v>124.78836358880731</c:v>
                </c:pt>
                <c:pt idx="904">
                  <c:v>124.92673539986244</c:v>
                </c:pt>
                <c:pt idx="905">
                  <c:v>125.06511920778227</c:v>
                </c:pt>
                <c:pt idx="906">
                  <c:v>125.20349101883737</c:v>
                </c:pt>
                <c:pt idx="907">
                  <c:v>125.3418628298862</c:v>
                </c:pt>
                <c:pt idx="908">
                  <c:v>125.48024663780603</c:v>
                </c:pt>
                <c:pt idx="909">
                  <c:v>125.61861844886116</c:v>
                </c:pt>
                <c:pt idx="910">
                  <c:v>125.75699025991628</c:v>
                </c:pt>
                <c:pt idx="911">
                  <c:v>125.89537406782982</c:v>
                </c:pt>
                <c:pt idx="912">
                  <c:v>126.03374587888494</c:v>
                </c:pt>
                <c:pt idx="913">
                  <c:v>126.17211768994004</c:v>
                </c:pt>
                <c:pt idx="914">
                  <c:v>126.31050149785359</c:v>
                </c:pt>
                <c:pt idx="915">
                  <c:v>126.4488733089087</c:v>
                </c:pt>
                <c:pt idx="916">
                  <c:v>126.58724511996382</c:v>
                </c:pt>
                <c:pt idx="917">
                  <c:v>126.72562892788366</c:v>
                </c:pt>
                <c:pt idx="918">
                  <c:v>126.86400073893248</c:v>
                </c:pt>
                <c:pt idx="919">
                  <c:v>127.00237254998758</c:v>
                </c:pt>
                <c:pt idx="920">
                  <c:v>127.14075635790742</c:v>
                </c:pt>
                <c:pt idx="921">
                  <c:v>127.27912816896254</c:v>
                </c:pt>
                <c:pt idx="922">
                  <c:v>127.41749998001767</c:v>
                </c:pt>
                <c:pt idx="923">
                  <c:v>127.55588378793121</c:v>
                </c:pt>
                <c:pt idx="924">
                  <c:v>127.69425559898633</c:v>
                </c:pt>
                <c:pt idx="925">
                  <c:v>127.83262741004143</c:v>
                </c:pt>
                <c:pt idx="926">
                  <c:v>127.97101121795498</c:v>
                </c:pt>
                <c:pt idx="927">
                  <c:v>128.10938302901008</c:v>
                </c:pt>
                <c:pt idx="928">
                  <c:v>128.2477548400652</c:v>
                </c:pt>
                <c:pt idx="929">
                  <c:v>128.38613864797875</c:v>
                </c:pt>
                <c:pt idx="930">
                  <c:v>128.52451045903388</c:v>
                </c:pt>
                <c:pt idx="931">
                  <c:v>128.66288227008897</c:v>
                </c:pt>
                <c:pt idx="932">
                  <c:v>128.80126607800881</c:v>
                </c:pt>
                <c:pt idx="933">
                  <c:v>128.93963788906393</c:v>
                </c:pt>
                <c:pt idx="934">
                  <c:v>129.07800970011274</c:v>
                </c:pt>
                <c:pt idx="935">
                  <c:v>129.21639350803258</c:v>
                </c:pt>
                <c:pt idx="936">
                  <c:v>129.3547653190877</c:v>
                </c:pt>
                <c:pt idx="937">
                  <c:v>129.4931371301428</c:v>
                </c:pt>
                <c:pt idx="938">
                  <c:v>129.63152093805638</c:v>
                </c:pt>
                <c:pt idx="939">
                  <c:v>129.76989274911148</c:v>
                </c:pt>
                <c:pt idx="940">
                  <c:v>129.9082645601666</c:v>
                </c:pt>
                <c:pt idx="941">
                  <c:v>130.04664836808013</c:v>
                </c:pt>
                <c:pt idx="942">
                  <c:v>130.18502017913525</c:v>
                </c:pt>
                <c:pt idx="943">
                  <c:v>130.32339199019034</c:v>
                </c:pt>
                <c:pt idx="944">
                  <c:v>130.46177579811018</c:v>
                </c:pt>
                <c:pt idx="945">
                  <c:v>130.60014760915902</c:v>
                </c:pt>
                <c:pt idx="946">
                  <c:v>130.73851942021415</c:v>
                </c:pt>
                <c:pt idx="947">
                  <c:v>130.87690322813398</c:v>
                </c:pt>
                <c:pt idx="948">
                  <c:v>131.01527503918911</c:v>
                </c:pt>
                <c:pt idx="949">
                  <c:v>131.15364685023792</c:v>
                </c:pt>
                <c:pt idx="950">
                  <c:v>131.29203065815776</c:v>
                </c:pt>
                <c:pt idx="951">
                  <c:v>131.43040246921285</c:v>
                </c:pt>
                <c:pt idx="952">
                  <c:v>131.56877428026797</c:v>
                </c:pt>
                <c:pt idx="953">
                  <c:v>131.70715808818153</c:v>
                </c:pt>
                <c:pt idx="954">
                  <c:v>131.84552989923665</c:v>
                </c:pt>
                <c:pt idx="955">
                  <c:v>131.98390171029175</c:v>
                </c:pt>
                <c:pt idx="956">
                  <c:v>132.1222855182053</c:v>
                </c:pt>
                <c:pt idx="957">
                  <c:v>132.2606573292604</c:v>
                </c:pt>
                <c:pt idx="958">
                  <c:v>132.39902914031552</c:v>
                </c:pt>
                <c:pt idx="959">
                  <c:v>132.53741294823536</c:v>
                </c:pt>
                <c:pt idx="960">
                  <c:v>132.67578475928417</c:v>
                </c:pt>
                <c:pt idx="961">
                  <c:v>132.81415657033929</c:v>
                </c:pt>
                <c:pt idx="962">
                  <c:v>132.95254037825913</c:v>
                </c:pt>
                <c:pt idx="963">
                  <c:v>133.09091218931425</c:v>
                </c:pt>
                <c:pt idx="964">
                  <c:v>133.22928400036938</c:v>
                </c:pt>
                <c:pt idx="965">
                  <c:v>133.3676678082829</c:v>
                </c:pt>
                <c:pt idx="966">
                  <c:v>133.50603961933803</c:v>
                </c:pt>
                <c:pt idx="967">
                  <c:v>133.64441143039312</c:v>
                </c:pt>
                <c:pt idx="968">
                  <c:v>133.78279523830668</c:v>
                </c:pt>
                <c:pt idx="969">
                  <c:v>133.9211670493618</c:v>
                </c:pt>
                <c:pt idx="970">
                  <c:v>134.05953886041692</c:v>
                </c:pt>
                <c:pt idx="971">
                  <c:v>134.19792266833045</c:v>
                </c:pt>
                <c:pt idx="972">
                  <c:v>134.33629447938557</c:v>
                </c:pt>
                <c:pt idx="973">
                  <c:v>134.47466629044069</c:v>
                </c:pt>
                <c:pt idx="974">
                  <c:v>134.61305009836053</c:v>
                </c:pt>
                <c:pt idx="975">
                  <c:v>134.75142190940934</c:v>
                </c:pt>
                <c:pt idx="976">
                  <c:v>134.88979372046444</c:v>
                </c:pt>
                <c:pt idx="977">
                  <c:v>135.02817752838428</c:v>
                </c:pt>
                <c:pt idx="978">
                  <c:v>135.1665493394394</c:v>
                </c:pt>
                <c:pt idx="979">
                  <c:v>135.30492115049452</c:v>
                </c:pt>
                <c:pt idx="980">
                  <c:v>135.44330495840808</c:v>
                </c:pt>
                <c:pt idx="981">
                  <c:v>135.58167676946317</c:v>
                </c:pt>
                <c:pt idx="982">
                  <c:v>135.7200485805183</c:v>
                </c:pt>
                <c:pt idx="983">
                  <c:v>135.85843238843182</c:v>
                </c:pt>
                <c:pt idx="984">
                  <c:v>135.99680419948695</c:v>
                </c:pt>
                <c:pt idx="985">
                  <c:v>136.13517601054207</c:v>
                </c:pt>
                <c:pt idx="986">
                  <c:v>136.27355981845562</c:v>
                </c:pt>
                <c:pt idx="987">
                  <c:v>136.41193162951075</c:v>
                </c:pt>
                <c:pt idx="988">
                  <c:v>136.55030344056584</c:v>
                </c:pt>
                <c:pt idx="989">
                  <c:v>136.68868724848568</c:v>
                </c:pt>
                <c:pt idx="990">
                  <c:v>136.8270590595408</c:v>
                </c:pt>
                <c:pt idx="991">
                  <c:v>136.96543087058961</c:v>
                </c:pt>
                <c:pt idx="992">
                  <c:v>137.10381467850945</c:v>
                </c:pt>
                <c:pt idx="993">
                  <c:v>137.24218648956455</c:v>
                </c:pt>
                <c:pt idx="994">
                  <c:v>137.38055830061967</c:v>
                </c:pt>
                <c:pt idx="995">
                  <c:v>137.51894210853322</c:v>
                </c:pt>
                <c:pt idx="996">
                  <c:v>137.65731391958835</c:v>
                </c:pt>
                <c:pt idx="997">
                  <c:v>137.79569772750187</c:v>
                </c:pt>
                <c:pt idx="998">
                  <c:v>137.934069538557</c:v>
                </c:pt>
                <c:pt idx="999">
                  <c:v>138.07244134961212</c:v>
                </c:pt>
                <c:pt idx="1000">
                  <c:v>138.21082515753196</c:v>
                </c:pt>
                <c:pt idx="1001">
                  <c:v>138.34919696858705</c:v>
                </c:pt>
                <c:pt idx="1002">
                  <c:v>138.48756877963589</c:v>
                </c:pt>
                <c:pt idx="1003">
                  <c:v>138.62595258755573</c:v>
                </c:pt>
                <c:pt idx="1004">
                  <c:v>138.76432439861085</c:v>
                </c:pt>
                <c:pt idx="1005">
                  <c:v>138.90269620966595</c:v>
                </c:pt>
                <c:pt idx="1006">
                  <c:v>139.0410800175795</c:v>
                </c:pt>
                <c:pt idx="1007">
                  <c:v>139.1794518286346</c:v>
                </c:pt>
                <c:pt idx="1008">
                  <c:v>139.31782363968972</c:v>
                </c:pt>
                <c:pt idx="1009">
                  <c:v>139.45620744760325</c:v>
                </c:pt>
                <c:pt idx="1010">
                  <c:v>139.5945792586584</c:v>
                </c:pt>
                <c:pt idx="1011">
                  <c:v>139.73295106971352</c:v>
                </c:pt>
                <c:pt idx="1012">
                  <c:v>139.87133487763336</c:v>
                </c:pt>
                <c:pt idx="1013">
                  <c:v>140.00970668868217</c:v>
                </c:pt>
                <c:pt idx="1014">
                  <c:v>140.14807849973727</c:v>
                </c:pt>
                <c:pt idx="1015">
                  <c:v>140.2864623076571</c:v>
                </c:pt>
                <c:pt idx="1016">
                  <c:v>140.42483411871223</c:v>
                </c:pt>
                <c:pt idx="1017">
                  <c:v>140.56320592976104</c:v>
                </c:pt>
                <c:pt idx="1018">
                  <c:v>140.70158973768088</c:v>
                </c:pt>
                <c:pt idx="1019">
                  <c:v>140.839961548736</c:v>
                </c:pt>
                <c:pt idx="1020">
                  <c:v>140.97833335979112</c:v>
                </c:pt>
                <c:pt idx="1021">
                  <c:v>141.11671716770465</c:v>
                </c:pt>
                <c:pt idx="1022">
                  <c:v>141.25508897875977</c:v>
                </c:pt>
                <c:pt idx="1023">
                  <c:v>141.3934607898149</c:v>
                </c:pt>
                <c:pt idx="1024">
                  <c:v>141.53184459772842</c:v>
                </c:pt>
                <c:pt idx="1025">
                  <c:v>141.67021640878355</c:v>
                </c:pt>
                <c:pt idx="1026">
                  <c:v>141.80858821983867</c:v>
                </c:pt>
                <c:pt idx="1027">
                  <c:v>141.94697202775851</c:v>
                </c:pt>
                <c:pt idx="1028">
                  <c:v>142.08534383880732</c:v>
                </c:pt>
                <c:pt idx="1029">
                  <c:v>142.22371564986244</c:v>
                </c:pt>
                <c:pt idx="1030">
                  <c:v>142.36209945778228</c:v>
                </c:pt>
                <c:pt idx="1031">
                  <c:v>142.50047126883737</c:v>
                </c:pt>
                <c:pt idx="1032">
                  <c:v>142.63884307988619</c:v>
                </c:pt>
                <c:pt idx="1033">
                  <c:v>142.77722688780602</c:v>
                </c:pt>
                <c:pt idx="1034">
                  <c:v>142.91559869886115</c:v>
                </c:pt>
                <c:pt idx="1035">
                  <c:v>143.05397050991627</c:v>
                </c:pt>
                <c:pt idx="1036">
                  <c:v>143.19235431782982</c:v>
                </c:pt>
                <c:pt idx="1037">
                  <c:v>143.33072612888495</c:v>
                </c:pt>
                <c:pt idx="1038">
                  <c:v>143.46909793994004</c:v>
                </c:pt>
                <c:pt idx="1039">
                  <c:v>143.6074817478536</c:v>
                </c:pt>
                <c:pt idx="1040">
                  <c:v>143.74585355890869</c:v>
                </c:pt>
                <c:pt idx="1041">
                  <c:v>143.88422536996381</c:v>
                </c:pt>
                <c:pt idx="1042">
                  <c:v>144.02260917788365</c:v>
                </c:pt>
                <c:pt idx="1043">
                  <c:v>144.16098098893249</c:v>
                </c:pt>
                <c:pt idx="1044">
                  <c:v>144.29935279998759</c:v>
                </c:pt>
                <c:pt idx="1045">
                  <c:v>144.43773660790742</c:v>
                </c:pt>
                <c:pt idx="1046">
                  <c:v>144.57610841896255</c:v>
                </c:pt>
                <c:pt idx="1047">
                  <c:v>144.71448023001767</c:v>
                </c:pt>
                <c:pt idx="1048">
                  <c:v>144.8528640379312</c:v>
                </c:pt>
                <c:pt idx="1049">
                  <c:v>144.99123584898632</c:v>
                </c:pt>
                <c:pt idx="1050">
                  <c:v>145.12960766004142</c:v>
                </c:pt>
                <c:pt idx="1051">
                  <c:v>145.26799146795497</c:v>
                </c:pt>
                <c:pt idx="1052">
                  <c:v>145.40636327901009</c:v>
                </c:pt>
                <c:pt idx="1053">
                  <c:v>145.54473509006522</c:v>
                </c:pt>
                <c:pt idx="1054">
                  <c:v>145.68311889797874</c:v>
                </c:pt>
                <c:pt idx="1055">
                  <c:v>145.82149070903387</c:v>
                </c:pt>
                <c:pt idx="1056">
                  <c:v>145.95986252008896</c:v>
                </c:pt>
                <c:pt idx="1057">
                  <c:v>146.0982463280088</c:v>
                </c:pt>
                <c:pt idx="1058">
                  <c:v>146.23661813906392</c:v>
                </c:pt>
                <c:pt idx="1059">
                  <c:v>146.37498995011276</c:v>
                </c:pt>
                <c:pt idx="1060">
                  <c:v>146.5133737580326</c:v>
                </c:pt>
                <c:pt idx="1061">
                  <c:v>146.65174556908772</c:v>
                </c:pt>
                <c:pt idx="1062">
                  <c:v>146.79011738014282</c:v>
                </c:pt>
                <c:pt idx="1063">
                  <c:v>146.92850118805637</c:v>
                </c:pt>
                <c:pt idx="1064">
                  <c:v>147.06687299911147</c:v>
                </c:pt>
                <c:pt idx="1065">
                  <c:v>147.20524481016659</c:v>
                </c:pt>
                <c:pt idx="1066">
                  <c:v>147.34362861808012</c:v>
                </c:pt>
                <c:pt idx="1067">
                  <c:v>147.48200042913524</c:v>
                </c:pt>
                <c:pt idx="1068">
                  <c:v>147.62037224019036</c:v>
                </c:pt>
                <c:pt idx="1069">
                  <c:v>147.7587560481102</c:v>
                </c:pt>
                <c:pt idx="1070">
                  <c:v>147.89712785915901</c:v>
                </c:pt>
                <c:pt idx="1071">
                  <c:v>148.03549967021414</c:v>
                </c:pt>
                <c:pt idx="1072">
                  <c:v>148.17388347813397</c:v>
                </c:pt>
                <c:pt idx="1073">
                  <c:v>148.3122552891891</c:v>
                </c:pt>
                <c:pt idx="1074">
                  <c:v>148.45062710023791</c:v>
                </c:pt>
                <c:pt idx="1075">
                  <c:v>148.58901090815775</c:v>
                </c:pt>
                <c:pt idx="1076">
                  <c:v>148.72738271921287</c:v>
                </c:pt>
                <c:pt idx="1077">
                  <c:v>148.86575453026799</c:v>
                </c:pt>
                <c:pt idx="1078">
                  <c:v>149.00413833818152</c:v>
                </c:pt>
                <c:pt idx="1079">
                  <c:v>149.14251014923664</c:v>
                </c:pt>
                <c:pt idx="1080">
                  <c:v>149.28088196029174</c:v>
                </c:pt>
                <c:pt idx="1081">
                  <c:v>149.41926576820529</c:v>
                </c:pt>
                <c:pt idx="1082">
                  <c:v>149.55763757926039</c:v>
                </c:pt>
                <c:pt idx="1083">
                  <c:v>149.69600939031554</c:v>
                </c:pt>
                <c:pt idx="1084">
                  <c:v>149.83439319823535</c:v>
                </c:pt>
                <c:pt idx="1085">
                  <c:v>149.97276500928419</c:v>
                </c:pt>
                <c:pt idx="1086">
                  <c:v>150.11113682033931</c:v>
                </c:pt>
                <c:pt idx="1087">
                  <c:v>150.24952062825915</c:v>
                </c:pt>
                <c:pt idx="1088">
                  <c:v>150.38789243931424</c:v>
                </c:pt>
                <c:pt idx="1089">
                  <c:v>150.52626425036937</c:v>
                </c:pt>
                <c:pt idx="1090">
                  <c:v>150.66464805828289</c:v>
                </c:pt>
                <c:pt idx="1091">
                  <c:v>150.80301986933802</c:v>
                </c:pt>
                <c:pt idx="1092">
                  <c:v>150.94139168039314</c:v>
                </c:pt>
                <c:pt idx="1093">
                  <c:v>151.07977548830669</c:v>
                </c:pt>
                <c:pt idx="1094">
                  <c:v>151.21814729936179</c:v>
                </c:pt>
                <c:pt idx="1095">
                  <c:v>151.35651911041691</c:v>
                </c:pt>
                <c:pt idx="1096">
                  <c:v>151.49490291833044</c:v>
                </c:pt>
                <c:pt idx="1097">
                  <c:v>151.63327472938556</c:v>
                </c:pt>
                <c:pt idx="1098">
                  <c:v>151.77164654044068</c:v>
                </c:pt>
                <c:pt idx="1099">
                  <c:v>151.91003034836052</c:v>
                </c:pt>
                <c:pt idx="1100">
                  <c:v>152.04840215940936</c:v>
                </c:pt>
                <c:pt idx="1101">
                  <c:v>152.18677397046446</c:v>
                </c:pt>
                <c:pt idx="1102">
                  <c:v>152.32515777838429</c:v>
                </c:pt>
                <c:pt idx="1103">
                  <c:v>152.46352958943942</c:v>
                </c:pt>
                <c:pt idx="1104">
                  <c:v>152.60190140049451</c:v>
                </c:pt>
                <c:pt idx="1105">
                  <c:v>152.74028520840807</c:v>
                </c:pt>
                <c:pt idx="1106">
                  <c:v>152.87865701946316</c:v>
                </c:pt>
                <c:pt idx="1107">
                  <c:v>153.01702883051829</c:v>
                </c:pt>
                <c:pt idx="1108">
                  <c:v>153.15541263843184</c:v>
                </c:pt>
                <c:pt idx="1109">
                  <c:v>153.29378444948696</c:v>
                </c:pt>
                <c:pt idx="1110">
                  <c:v>153.43215626054209</c:v>
                </c:pt>
                <c:pt idx="1111">
                  <c:v>153.57054006845561</c:v>
                </c:pt>
                <c:pt idx="1112">
                  <c:v>153.70891187951074</c:v>
                </c:pt>
                <c:pt idx="1113">
                  <c:v>153.84728369056583</c:v>
                </c:pt>
                <c:pt idx="1114">
                  <c:v>153.98566749848567</c:v>
                </c:pt>
                <c:pt idx="1115">
                  <c:v>154.12403930954079</c:v>
                </c:pt>
                <c:pt idx="1116">
                  <c:v>154.26241112058963</c:v>
                </c:pt>
                <c:pt idx="1117">
                  <c:v>154.40079492850947</c:v>
                </c:pt>
                <c:pt idx="1118">
                  <c:v>154.53916673956456</c:v>
                </c:pt>
                <c:pt idx="1119">
                  <c:v>154.67753855061969</c:v>
                </c:pt>
                <c:pt idx="1120">
                  <c:v>154.81592235853321</c:v>
                </c:pt>
                <c:pt idx="1121">
                  <c:v>154.95429416958834</c:v>
                </c:pt>
                <c:pt idx="1122">
                  <c:v>155.09267797750186</c:v>
                </c:pt>
                <c:pt idx="1123">
                  <c:v>155.23104978855699</c:v>
                </c:pt>
                <c:pt idx="1124">
                  <c:v>155.36942159961211</c:v>
                </c:pt>
                <c:pt idx="1125">
                  <c:v>155.50780540753195</c:v>
                </c:pt>
                <c:pt idx="1126">
                  <c:v>155.64617721858707</c:v>
                </c:pt>
                <c:pt idx="1127">
                  <c:v>155.78454902963588</c:v>
                </c:pt>
                <c:pt idx="1128">
                  <c:v>155.92293283755572</c:v>
                </c:pt>
                <c:pt idx="1129">
                  <c:v>156.06130464861084</c:v>
                </c:pt>
                <c:pt idx="1130">
                  <c:v>156.19967645966594</c:v>
                </c:pt>
                <c:pt idx="1131">
                  <c:v>156.33806026757949</c:v>
                </c:pt>
                <c:pt idx="1132">
                  <c:v>156.47643207863462</c:v>
                </c:pt>
                <c:pt idx="1133">
                  <c:v>156.61480388968974</c:v>
                </c:pt>
                <c:pt idx="1134">
                  <c:v>156.75318769760327</c:v>
                </c:pt>
                <c:pt idx="1135">
                  <c:v>156.89155950865839</c:v>
                </c:pt>
                <c:pt idx="1136">
                  <c:v>157.02993131971351</c:v>
                </c:pt>
                <c:pt idx="1137">
                  <c:v>157.16831512763335</c:v>
                </c:pt>
                <c:pt idx="1138">
                  <c:v>157.30668693868216</c:v>
                </c:pt>
                <c:pt idx="1139">
                  <c:v>157.44505874973726</c:v>
                </c:pt>
                <c:pt idx="1140">
                  <c:v>157.58344255765709</c:v>
                </c:pt>
                <c:pt idx="1141">
                  <c:v>157.72181436871222</c:v>
                </c:pt>
                <c:pt idx="1142">
                  <c:v>157.86018617976106</c:v>
                </c:pt>
                <c:pt idx="1143">
                  <c:v>157.9985699876809</c:v>
                </c:pt>
                <c:pt idx="1144">
                  <c:v>158.13694179873599</c:v>
                </c:pt>
                <c:pt idx="1145">
                  <c:v>158.27531360979111</c:v>
                </c:pt>
                <c:pt idx="1146">
                  <c:v>158.41369741770464</c:v>
                </c:pt>
                <c:pt idx="1147">
                  <c:v>158.55206922875976</c:v>
                </c:pt>
                <c:pt idx="1148">
                  <c:v>158.69044103981489</c:v>
                </c:pt>
                <c:pt idx="1149">
                  <c:v>158.82882484772844</c:v>
                </c:pt>
                <c:pt idx="1150">
                  <c:v>158.96719665878356</c:v>
                </c:pt>
                <c:pt idx="1151">
                  <c:v>159.10556846983866</c:v>
                </c:pt>
                <c:pt idx="1152">
                  <c:v>159.2439522777585</c:v>
                </c:pt>
                <c:pt idx="1153">
                  <c:v>159.38232408880731</c:v>
                </c:pt>
                <c:pt idx="1154">
                  <c:v>159.52069589986243</c:v>
                </c:pt>
                <c:pt idx="1155">
                  <c:v>159.65907970778227</c:v>
                </c:pt>
                <c:pt idx="1156">
                  <c:v>159.79745151883736</c:v>
                </c:pt>
                <c:pt idx="1157">
                  <c:v>159.9358233298862</c:v>
                </c:pt>
                <c:pt idx="1158">
                  <c:v>160.07420713780604</c:v>
                </c:pt>
                <c:pt idx="1159">
                  <c:v>160.21257894886116</c:v>
                </c:pt>
                <c:pt idx="1160">
                  <c:v>160.35095075991629</c:v>
                </c:pt>
                <c:pt idx="1161">
                  <c:v>160.48933456782981</c:v>
                </c:pt>
                <c:pt idx="1162">
                  <c:v>160.62770637888494</c:v>
                </c:pt>
                <c:pt idx="1163">
                  <c:v>160.76607818994003</c:v>
                </c:pt>
                <c:pt idx="1164">
                  <c:v>160.90446199785359</c:v>
                </c:pt>
                <c:pt idx="1165">
                  <c:v>161.04283380890871</c:v>
                </c:pt>
                <c:pt idx="1166">
                  <c:v>161.18120561996383</c:v>
                </c:pt>
                <c:pt idx="1167">
                  <c:v>161.31958942788367</c:v>
                </c:pt>
                <c:pt idx="1168">
                  <c:v>161.45796123893248</c:v>
                </c:pt>
                <c:pt idx="1169">
                  <c:v>161.59633304998758</c:v>
                </c:pt>
                <c:pt idx="1170">
                  <c:v>161.73471685790742</c:v>
                </c:pt>
                <c:pt idx="1171">
                  <c:v>161.87308866896254</c:v>
                </c:pt>
                <c:pt idx="1172">
                  <c:v>162.01146048001766</c:v>
                </c:pt>
                <c:pt idx="1173">
                  <c:v>162.14984428793122</c:v>
                </c:pt>
                <c:pt idx="1174">
                  <c:v>162.28821609898634</c:v>
                </c:pt>
                <c:pt idx="1175">
                  <c:v>162.42658791004143</c:v>
                </c:pt>
                <c:pt idx="1176">
                  <c:v>162.56497171795499</c:v>
                </c:pt>
                <c:pt idx="1177">
                  <c:v>162.70334352901008</c:v>
                </c:pt>
                <c:pt idx="1178">
                  <c:v>162.84171534006521</c:v>
                </c:pt>
                <c:pt idx="1179">
                  <c:v>162.98009914797873</c:v>
                </c:pt>
                <c:pt idx="1180">
                  <c:v>163.11847095903386</c:v>
                </c:pt>
                <c:pt idx="1181">
                  <c:v>163.25684277008898</c:v>
                </c:pt>
                <c:pt idx="1182">
                  <c:v>163.39522657800882</c:v>
                </c:pt>
                <c:pt idx="1183">
                  <c:v>163.53359838906394</c:v>
                </c:pt>
                <c:pt idx="1184">
                  <c:v>163.67197020011275</c:v>
                </c:pt>
                <c:pt idx="1185">
                  <c:v>163.81035400803259</c:v>
                </c:pt>
                <c:pt idx="1186">
                  <c:v>163.94872581908771</c:v>
                </c:pt>
                <c:pt idx="1187">
                  <c:v>164.08709763014281</c:v>
                </c:pt>
                <c:pt idx="1188">
                  <c:v>164.22548143805636</c:v>
                </c:pt>
                <c:pt idx="1189">
                  <c:v>164.36385324911149</c:v>
                </c:pt>
                <c:pt idx="1190">
                  <c:v>164.50222506016661</c:v>
                </c:pt>
                <c:pt idx="1191">
                  <c:v>164.64060886808014</c:v>
                </c:pt>
                <c:pt idx="1192">
                  <c:v>164.77898067913526</c:v>
                </c:pt>
                <c:pt idx="1193">
                  <c:v>164.91735249019035</c:v>
                </c:pt>
                <c:pt idx="1194">
                  <c:v>165.05573629811019</c:v>
                </c:pt>
                <c:pt idx="1195">
                  <c:v>165.194108109159</c:v>
                </c:pt>
                <c:pt idx="1196">
                  <c:v>165.33247992021413</c:v>
                </c:pt>
                <c:pt idx="1197">
                  <c:v>165.47086372813396</c:v>
                </c:pt>
                <c:pt idx="1198">
                  <c:v>165.60923553918909</c:v>
                </c:pt>
                <c:pt idx="1199">
                  <c:v>165.74760735023793</c:v>
                </c:pt>
                <c:pt idx="1200">
                  <c:v>165.88599115815776</c:v>
                </c:pt>
                <c:pt idx="1201">
                  <c:v>166.02436296921286</c:v>
                </c:pt>
                <c:pt idx="1202">
                  <c:v>166.16273478026798</c:v>
                </c:pt>
                <c:pt idx="1203">
                  <c:v>166.30111858818151</c:v>
                </c:pt>
                <c:pt idx="1204">
                  <c:v>166.43949039923663</c:v>
                </c:pt>
                <c:pt idx="1205">
                  <c:v>166.57786221029176</c:v>
                </c:pt>
                <c:pt idx="1206">
                  <c:v>166.71624601820531</c:v>
                </c:pt>
                <c:pt idx="1207">
                  <c:v>166.85461782926041</c:v>
                </c:pt>
                <c:pt idx="1208">
                  <c:v>166.99298964031553</c:v>
                </c:pt>
                <c:pt idx="1209">
                  <c:v>167.13137344823537</c:v>
                </c:pt>
                <c:pt idx="1210">
                  <c:v>167.26974525928418</c:v>
                </c:pt>
                <c:pt idx="1211">
                  <c:v>167.4081170703393</c:v>
                </c:pt>
                <c:pt idx="1212">
                  <c:v>167.54650087825914</c:v>
                </c:pt>
                <c:pt idx="1213">
                  <c:v>167.68487268931423</c:v>
                </c:pt>
                <c:pt idx="1214">
                  <c:v>167.82324450036936</c:v>
                </c:pt>
                <c:pt idx="1215">
                  <c:v>167.96162830828291</c:v>
                </c:pt>
                <c:pt idx="1216">
                  <c:v>168.10000011933803</c:v>
                </c:pt>
                <c:pt idx="1217">
                  <c:v>168.23837193039313</c:v>
                </c:pt>
                <c:pt idx="1218">
                  <c:v>168.37675573830668</c:v>
                </c:pt>
                <c:pt idx="1219">
                  <c:v>168.51512754936178</c:v>
                </c:pt>
                <c:pt idx="1220">
                  <c:v>168.6386352478894</c:v>
                </c:pt>
              </c:numCache>
            </c:numRef>
          </c:xVal>
          <c:yVal>
            <c:numRef>
              <c:f>Simulation!$O$7:$O$1227</c:f>
              <c:numCache>
                <c:formatCode>General</c:formatCode>
                <c:ptCount val="1221"/>
                <c:pt idx="2">
                  <c:v>0.19623393372834236</c:v>
                </c:pt>
                <c:pt idx="3">
                  <c:v>0.22053265021857038</c:v>
                </c:pt>
                <c:pt idx="4">
                  <c:v>0.26734466415322028</c:v>
                </c:pt>
                <c:pt idx="5">
                  <c:v>0.33137725825286823</c:v>
                </c:pt>
                <c:pt idx="6">
                  <c:v>0.40599388040194739</c:v>
                </c:pt>
                <c:pt idx="7">
                  <c:v>0.49106362319678654</c:v>
                </c:pt>
                <c:pt idx="8">
                  <c:v>0.58679503405102063</c:v>
                </c:pt>
                <c:pt idx="9">
                  <c:v>0.69377718244950726</c:v>
                </c:pt>
                <c:pt idx="10">
                  <c:v>0.81225775959563162</c:v>
                </c:pt>
                <c:pt idx="11">
                  <c:v>0.9427031016176326</c:v>
                </c:pt>
                <c:pt idx="12">
                  <c:v>1.0859938820628181</c:v>
                </c:pt>
                <c:pt idx="13">
                  <c:v>1.2422037890885347</c:v>
                </c:pt>
                <c:pt idx="14">
                  <c:v>1.4124749019506624</c:v>
                </c:pt>
                <c:pt idx="15">
                  <c:v>1.5969424335706663</c:v>
                </c:pt>
                <c:pt idx="16">
                  <c:v>1.7961446128952887</c:v>
                </c:pt>
                <c:pt idx="17">
                  <c:v>2.0113207312599788</c:v>
                </c:pt>
                <c:pt idx="18">
                  <c:v>2.2421731342055695</c:v>
                </c:pt>
                <c:pt idx="19">
                  <c:v>2.4903116114680617</c:v>
                </c:pt>
                <c:pt idx="20">
                  <c:v>2.7555648288353489</c:v>
                </c:pt>
                <c:pt idx="21">
                  <c:v>3.0384249808917767</c:v>
                </c:pt>
                <c:pt idx="22">
                  <c:v>3.3405993968043992</c:v>
                </c:pt>
                <c:pt idx="23">
                  <c:v>3.6611662387262851</c:v>
                </c:pt>
                <c:pt idx="24">
                  <c:v>4.0024012400829996</c:v>
                </c:pt>
                <c:pt idx="25">
                  <c:v>4.3636031849269168</c:v>
                </c:pt>
                <c:pt idx="26">
                  <c:v>4.7452161156606003</c:v>
                </c:pt>
                <c:pt idx="27">
                  <c:v>5.149547592960511</c:v>
                </c:pt>
                <c:pt idx="28">
                  <c:v>5.5748121732971745</c:v>
                </c:pt>
                <c:pt idx="29">
                  <c:v>6.0241769691432454</c:v>
                </c:pt>
                <c:pt idx="30">
                  <c:v>6.4961579117238166</c:v>
                </c:pt>
                <c:pt idx="31">
                  <c:v>6.9911981414754596</c:v>
                </c:pt>
                <c:pt idx="32">
                  <c:v>7.5123550895964062</c:v>
                </c:pt>
                <c:pt idx="33">
                  <c:v>8.0576812874646979</c:v>
                </c:pt>
                <c:pt idx="34">
                  <c:v>8.6274533716750934</c:v>
                </c:pt>
                <c:pt idx="35">
                  <c:v>9.22537101278599</c:v>
                </c:pt>
                <c:pt idx="36">
                  <c:v>9.8476421103642977</c:v>
                </c:pt>
                <c:pt idx="37">
                  <c:v>10.499383910744687</c:v>
                </c:pt>
                <c:pt idx="38">
                  <c:v>11.177460855587581</c:v>
                </c:pt>
                <c:pt idx="39">
                  <c:v>11.882197679989561</c:v>
                </c:pt>
                <c:pt idx="40">
                  <c:v>12.618315374167837</c:v>
                </c:pt>
                <c:pt idx="41">
                  <c:v>13.380437803854335</c:v>
                </c:pt>
                <c:pt idx="42">
                  <c:v>14.17509022405565</c:v>
                </c:pt>
                <c:pt idx="43">
                  <c:v>14.998078202055224</c:v>
                </c:pt>
                <c:pt idx="44">
                  <c:v>15.849445726297741</c:v>
                </c:pt>
                <c:pt idx="45">
                  <c:v>16.735296804301257</c:v>
                </c:pt>
                <c:pt idx="46">
                  <c:v>17.648174805523269</c:v>
                </c:pt>
                <c:pt idx="47">
                  <c:v>18.596724715103448</c:v>
                </c:pt>
                <c:pt idx="48">
                  <c:v>19.575006590411352</c:v>
                </c:pt>
                <c:pt idx="49">
                  <c:v>20.582855042801114</c:v>
                </c:pt>
                <c:pt idx="50">
                  <c:v>21.62824892988699</c:v>
                </c:pt>
                <c:pt idx="51">
                  <c:v>22.701195771390495</c:v>
                </c:pt>
                <c:pt idx="52">
                  <c:v>23.81245714165642</c:v>
                </c:pt>
                <c:pt idx="53">
                  <c:v>24.95458695721452</c:v>
                </c:pt>
                <c:pt idx="54">
                  <c:v>26.126981119098996</c:v>
                </c:pt>
                <c:pt idx="55">
                  <c:v>27.3396855428756</c:v>
                </c:pt>
                <c:pt idx="56">
                  <c:v>28.579764723453401</c:v>
                </c:pt>
                <c:pt idx="57">
                  <c:v>29.8608001345556</c:v>
                </c:pt>
                <c:pt idx="58">
                  <c:v>31.173173769767821</c:v>
                </c:pt>
                <c:pt idx="59">
                  <c:v>32.516096227249292</c:v>
                </c:pt>
                <c:pt idx="60">
                  <c:v>33.901401420478486</c:v>
                </c:pt>
                <c:pt idx="61">
                  <c:v>35.318063708655586</c:v>
                </c:pt>
                <c:pt idx="62">
                  <c:v>36.764936732607921</c:v>
                </c:pt>
                <c:pt idx="63">
                  <c:v>38.256134482802103</c:v>
                </c:pt>
                <c:pt idx="64">
                  <c:v>39.773125156514197</c:v>
                </c:pt>
                <c:pt idx="65">
                  <c:v>41.334671636627355</c:v>
                </c:pt>
                <c:pt idx="66">
                  <c:v>42.927163370254974</c:v>
                </c:pt>
                <c:pt idx="67">
                  <c:v>44.549377690502943</c:v>
                </c:pt>
                <c:pt idx="68">
                  <c:v>46.217330293864535</c:v>
                </c:pt>
                <c:pt idx="69">
                  <c:v>47.910012587257469</c:v>
                </c:pt>
                <c:pt idx="70">
                  <c:v>49.648770731308581</c:v>
                </c:pt>
                <c:pt idx="71">
                  <c:v>51.417653149659984</c:v>
                </c:pt>
                <c:pt idx="72">
                  <c:v>53.21499870301686</c:v>
                </c:pt>
                <c:pt idx="73">
                  <c:v>55.059683571353069</c:v>
                </c:pt>
                <c:pt idx="74">
                  <c:v>56.926888204278121</c:v>
                </c:pt>
                <c:pt idx="75">
                  <c:v>58.842076670746728</c:v>
                </c:pt>
                <c:pt idx="76">
                  <c:v>60.784746722154878</c:v>
                </c:pt>
                <c:pt idx="77">
                  <c:v>62.755214806346181</c:v>
                </c:pt>
                <c:pt idx="78">
                  <c:v>64.774181867698317</c:v>
                </c:pt>
                <c:pt idx="79">
                  <c:v>66.812475246755497</c:v>
                </c:pt>
                <c:pt idx="80">
                  <c:v>68.900346515088671</c:v>
                </c:pt>
                <c:pt idx="81">
                  <c:v>71.013476661879807</c:v>
                </c:pt>
                <c:pt idx="82">
                  <c:v>73.152012277329348</c:v>
                </c:pt>
                <c:pt idx="83">
                  <c:v>75.340869383925011</c:v>
                </c:pt>
                <c:pt idx="84">
                  <c:v>77.553393618517674</c:v>
                </c:pt>
                <c:pt idx="85">
                  <c:v>79.789753980284061</c:v>
                </c:pt>
                <c:pt idx="86">
                  <c:v>82.076660291469565</c:v>
                </c:pt>
                <c:pt idx="87">
                  <c:v>84.376681057994375</c:v>
                </c:pt>
                <c:pt idx="88">
                  <c:v>86.728092121046117</c:v>
                </c:pt>
                <c:pt idx="89">
                  <c:v>89.100118336441028</c:v>
                </c:pt>
                <c:pt idx="90">
                  <c:v>91.492978781382391</c:v>
                </c:pt>
                <c:pt idx="91">
                  <c:v>93.937780009225378</c:v>
                </c:pt>
                <c:pt idx="92">
                  <c:v>96.389664005924232</c:v>
                </c:pt>
                <c:pt idx="93">
                  <c:v>98.895075506979708</c:v>
                </c:pt>
                <c:pt idx="94">
                  <c:v>101.41735113868843</c:v>
                </c:pt>
                <c:pt idx="95">
                  <c:v>103.95758206841003</c:v>
                </c:pt>
                <c:pt idx="96">
                  <c:v>106.5485045875912</c:v>
                </c:pt>
                <c:pt idx="97">
                  <c:v>109.14324250498645</c:v>
                </c:pt>
                <c:pt idx="98">
                  <c:v>111.79120708210948</c:v>
                </c:pt>
                <c:pt idx="99">
                  <c:v>114.45416984387747</c:v>
                </c:pt>
                <c:pt idx="100">
                  <c:v>117.12729607067799</c:v>
                </c:pt>
                <c:pt idx="101">
                  <c:v>119.85526130486534</c:v>
                </c:pt>
                <c:pt idx="102">
                  <c:v>122.58121389077307</c:v>
                </c:pt>
                <c:pt idx="103">
                  <c:v>125.35869435086087</c:v>
                </c:pt>
                <c:pt idx="104">
                  <c:v>128.14701069752331</c:v>
                </c:pt>
                <c:pt idx="105">
                  <c:v>130.94469174814074</c:v>
                </c:pt>
                <c:pt idx="106">
                  <c:v>133.7940459263055</c:v>
                </c:pt>
                <c:pt idx="107">
                  <c:v>136.63521902959195</c:v>
                </c:pt>
                <c:pt idx="108">
                  <c:v>139.5326205203512</c:v>
                </c:pt>
                <c:pt idx="109">
                  <c:v>142.43192507986404</c:v>
                </c:pt>
                <c:pt idx="110">
                  <c:v>145.33602190570684</c:v>
                </c:pt>
                <c:pt idx="111">
                  <c:v>148.29671488562622</c:v>
                </c:pt>
                <c:pt idx="112">
                  <c:v>151.25623558758889</c:v>
                </c:pt>
                <c:pt idx="113">
                  <c:v>154.2177171883198</c:v>
                </c:pt>
                <c:pt idx="114">
                  <c:v>157.23444629350237</c:v>
                </c:pt>
                <c:pt idx="115">
                  <c:v>160.23275986046156</c:v>
                </c:pt>
                <c:pt idx="116">
                  <c:v>163.28299538093719</c:v>
                </c:pt>
                <c:pt idx="117">
                  <c:v>166.33202693070581</c:v>
                </c:pt>
                <c:pt idx="118">
                  <c:v>169.37819531434715</c:v>
                </c:pt>
                <c:pt idx="119">
                  <c:v>172.47631936052451</c:v>
                </c:pt>
                <c:pt idx="120">
                  <c:v>175.54936037588024</c:v>
                </c:pt>
                <c:pt idx="121">
                  <c:v>178.67956915651769</c:v>
                </c:pt>
                <c:pt idx="122">
                  <c:v>181.79832973149485</c:v>
                </c:pt>
                <c:pt idx="123">
                  <c:v>184.90911489829691</c:v>
                </c:pt>
                <c:pt idx="124">
                  <c:v>188.07736079511571</c:v>
                </c:pt>
                <c:pt idx="125">
                  <c:v>191.20805779341001</c:v>
                </c:pt>
                <c:pt idx="126">
                  <c:v>194.39632905128479</c:v>
                </c:pt>
                <c:pt idx="127">
                  <c:v>197.57118062638912</c:v>
                </c:pt>
                <c:pt idx="128">
                  <c:v>200.73356078260895</c:v>
                </c:pt>
                <c:pt idx="129">
                  <c:v>203.94731767046272</c:v>
                </c:pt>
                <c:pt idx="130">
                  <c:v>207.12195942513219</c:v>
                </c:pt>
                <c:pt idx="131">
                  <c:v>210.35534914630952</c:v>
                </c:pt>
                <c:pt idx="132">
                  <c:v>213.56538565094803</c:v>
                </c:pt>
                <c:pt idx="133">
                  <c:v>216.75706516628662</c:v>
                </c:pt>
                <c:pt idx="134">
                  <c:v>220.00781842942578</c:v>
                </c:pt>
                <c:pt idx="135">
                  <c:v>223.23177438020878</c:v>
                </c:pt>
                <c:pt idx="136">
                  <c:v>226.43422518474736</c:v>
                </c:pt>
                <c:pt idx="137">
                  <c:v>229.69609241534599</c:v>
                </c:pt>
                <c:pt idx="138">
                  <c:v>232.89976881775004</c:v>
                </c:pt>
                <c:pt idx="139">
                  <c:v>236.16304059562046</c:v>
                </c:pt>
                <c:pt idx="140">
                  <c:v>239.40145719650508</c:v>
                </c:pt>
                <c:pt idx="141">
                  <c:v>242.60540335358212</c:v>
                </c:pt>
                <c:pt idx="142">
                  <c:v>245.86932666113324</c:v>
                </c:pt>
                <c:pt idx="143">
                  <c:v>249.07296651387912</c:v>
                </c:pt>
                <c:pt idx="144">
                  <c:v>252.3361525631816</c:v>
                </c:pt>
                <c:pt idx="145">
                  <c:v>255.5618324600124</c:v>
                </c:pt>
                <c:pt idx="146">
                  <c:v>258.75565920718014</c:v>
                </c:pt>
                <c:pt idx="147">
                  <c:v>262.00941752225663</c:v>
                </c:pt>
                <c:pt idx="148">
                  <c:v>265.19076546861658</c:v>
                </c:pt>
                <c:pt idx="149">
                  <c:v>268.43226790802703</c:v>
                </c:pt>
                <c:pt idx="150">
                  <c:v>271.63867244435994</c:v>
                </c:pt>
                <c:pt idx="151">
                  <c:v>274.80016459096765</c:v>
                </c:pt>
                <c:pt idx="152">
                  <c:v>278.02223004671578</c:v>
                </c:pt>
                <c:pt idx="153">
                  <c:v>281.17274866777484</c:v>
                </c:pt>
                <c:pt idx="154">
                  <c:v>284.37586961863832</c:v>
                </c:pt>
                <c:pt idx="155">
                  <c:v>287.53888989176301</c:v>
                </c:pt>
                <c:pt idx="156">
                  <c:v>290.66014503550127</c:v>
                </c:pt>
                <c:pt idx="157">
                  <c:v>293.83420070002609</c:v>
                </c:pt>
                <c:pt idx="158">
                  <c:v>296.96525948081512</c:v>
                </c:pt>
                <c:pt idx="159">
                  <c:v>300.04844133817289</c:v>
                </c:pt>
                <c:pt idx="160">
                  <c:v>303.19445432294913</c:v>
                </c:pt>
                <c:pt idx="161">
                  <c:v>306.24806030426123</c:v>
                </c:pt>
                <c:pt idx="162">
                  <c:v>309.36480499643903</c:v>
                </c:pt>
                <c:pt idx="163">
                  <c:v>312.43395379479307</c:v>
                </c:pt>
                <c:pt idx="164">
                  <c:v>315.44366805854344</c:v>
                </c:pt>
                <c:pt idx="165">
                  <c:v>318.51710894579378</c:v>
                </c:pt>
                <c:pt idx="166">
                  <c:v>321.50198108677336</c:v>
                </c:pt>
                <c:pt idx="167">
                  <c:v>324.53960777802865</c:v>
                </c:pt>
                <c:pt idx="168">
                  <c:v>327.52609298969196</c:v>
                </c:pt>
                <c:pt idx="169">
                  <c:v>330.45895537791972</c:v>
                </c:pt>
                <c:pt idx="170">
                  <c:v>333.44488448584912</c:v>
                </c:pt>
                <c:pt idx="171">
                  <c:v>336.33710303232499</c:v>
                </c:pt>
                <c:pt idx="172">
                  <c:v>339.29361408313866</c:v>
                </c:pt>
                <c:pt idx="173">
                  <c:v>342.18279655837642</c:v>
                </c:pt>
                <c:pt idx="174">
                  <c:v>345.01517474374856</c:v>
                </c:pt>
                <c:pt idx="175">
                  <c:v>347.90837614795879</c:v>
                </c:pt>
                <c:pt idx="176">
                  <c:v>350.70220992487054</c:v>
                </c:pt>
                <c:pt idx="177">
                  <c:v>353.55002390668346</c:v>
                </c:pt>
                <c:pt idx="178">
                  <c:v>356.33754126997388</c:v>
                </c:pt>
                <c:pt idx="179">
                  <c:v>359.06449018278295</c:v>
                </c:pt>
                <c:pt idx="180">
                  <c:v>361.84587273621872</c:v>
                </c:pt>
                <c:pt idx="181">
                  <c:v>364.52133028847686</c:v>
                </c:pt>
                <c:pt idx="182">
                  <c:v>367.26450966670768</c:v>
                </c:pt>
                <c:pt idx="183">
                  <c:v>369.93182269973153</c:v>
                </c:pt>
                <c:pt idx="184">
                  <c:v>372.53787481505253</c:v>
                </c:pt>
                <c:pt idx="185">
                  <c:v>375.19621945324224</c:v>
                </c:pt>
                <c:pt idx="186">
                  <c:v>377.80075398017806</c:v>
                </c:pt>
                <c:pt idx="187">
                  <c:v>380.32578784926966</c:v>
                </c:pt>
                <c:pt idx="188">
                  <c:v>382.90769627572627</c:v>
                </c:pt>
                <c:pt idx="189">
                  <c:v>385.38782804591227</c:v>
                </c:pt>
                <c:pt idx="190">
                  <c:v>387.92533082017007</c:v>
                </c:pt>
                <c:pt idx="191">
                  <c:v>390.38095926228726</c:v>
                </c:pt>
                <c:pt idx="192">
                  <c:v>392.77887680207613</c:v>
                </c:pt>
                <c:pt idx="193">
                  <c:v>395.23478936574685</c:v>
                </c:pt>
                <c:pt idx="194">
                  <c:v>397.55949585071124</c:v>
                </c:pt>
                <c:pt idx="195">
                  <c:v>399.96720528416057</c:v>
                </c:pt>
                <c:pt idx="196">
                  <c:v>402.29104239074633</c:v>
                </c:pt>
                <c:pt idx="197">
                  <c:v>404.52854459809339</c:v>
                </c:pt>
                <c:pt idx="198">
                  <c:v>406.85015692146447</c:v>
                </c:pt>
                <c:pt idx="199">
                  <c:v>409.02855174795513</c:v>
                </c:pt>
                <c:pt idx="200">
                  <c:v>411.29178396484423</c:v>
                </c:pt>
                <c:pt idx="201">
                  <c:v>413.46698256051587</c:v>
                </c:pt>
                <c:pt idx="202">
                  <c:v>415.55421319294402</c:v>
                </c:pt>
                <c:pt idx="203">
                  <c:v>417.7273922023611</c:v>
                </c:pt>
                <c:pt idx="204">
                  <c:v>419.7609522784312</c:v>
                </c:pt>
                <c:pt idx="205">
                  <c:v>421.8551192847716</c:v>
                </c:pt>
                <c:pt idx="206">
                  <c:v>423.88599354900589</c:v>
                </c:pt>
                <c:pt idx="207">
                  <c:v>425.82522424421387</c:v>
                </c:pt>
                <c:pt idx="208">
                  <c:v>427.82579776660344</c:v>
                </c:pt>
                <c:pt idx="209">
                  <c:v>429.76203221331593</c:v>
                </c:pt>
                <c:pt idx="210">
                  <c:v>431.60528678364261</c:v>
                </c:pt>
                <c:pt idx="211">
                  <c:v>433.51063504414003</c:v>
                </c:pt>
                <c:pt idx="212">
                  <c:v>435.29848262792171</c:v>
                </c:pt>
                <c:pt idx="213">
                  <c:v>437.14902805294741</c:v>
                </c:pt>
                <c:pt idx="214">
                  <c:v>438.9053071885462</c:v>
                </c:pt>
                <c:pt idx="215">
                  <c:v>440.59506969105462</c:v>
                </c:pt>
                <c:pt idx="216">
                  <c:v>442.34827378958641</c:v>
                </c:pt>
                <c:pt idx="217">
                  <c:v>443.95329755904322</c:v>
                </c:pt>
                <c:pt idx="218">
                  <c:v>445.64979033361737</c:v>
                </c:pt>
                <c:pt idx="219">
                  <c:v>447.25163834322632</c:v>
                </c:pt>
                <c:pt idx="220">
                  <c:v>448.75675194311498</c:v>
                </c:pt>
                <c:pt idx="221">
                  <c:v>450.35442477782635</c:v>
                </c:pt>
                <c:pt idx="222">
                  <c:v>451.80281278425332</c:v>
                </c:pt>
                <c:pt idx="223">
                  <c:v>453.31510144363801</c:v>
                </c:pt>
                <c:pt idx="224">
                  <c:v>454.75938038432128</c:v>
                </c:pt>
                <c:pt idx="225">
                  <c:v>456.1069740350743</c:v>
                </c:pt>
                <c:pt idx="226">
                  <c:v>457.51926896336357</c:v>
                </c:pt>
                <c:pt idx="227">
                  <c:v>458.80851524393108</c:v>
                </c:pt>
                <c:pt idx="228">
                  <c:v>460.16440136310706</c:v>
                </c:pt>
                <c:pt idx="229">
                  <c:v>461.42165961446892</c:v>
                </c:pt>
                <c:pt idx="230">
                  <c:v>462.60981150895316</c:v>
                </c:pt>
                <c:pt idx="231">
                  <c:v>463.85537716691448</c:v>
                </c:pt>
                <c:pt idx="232">
                  <c:v>464.97614075723021</c:v>
                </c:pt>
                <c:pt idx="233">
                  <c:v>466.16488719187555</c:v>
                </c:pt>
                <c:pt idx="234">
                  <c:v>467.25416483438647</c:v>
                </c:pt>
                <c:pt idx="235">
                  <c:v>468.27398618927919</c:v>
                </c:pt>
                <c:pt idx="236">
                  <c:v>469.36261090933715</c:v>
                </c:pt>
                <c:pt idx="237">
                  <c:v>470.35138092155256</c:v>
                </c:pt>
                <c:pt idx="238">
                  <c:v>471.27059759746101</c:v>
                </c:pt>
                <c:pt idx="239">
                  <c:v>472.25939805636938</c:v>
                </c:pt>
                <c:pt idx="240">
                  <c:v>473.09132809907135</c:v>
                </c:pt>
                <c:pt idx="241">
                  <c:v>474.02411248219892</c:v>
                </c:pt>
                <c:pt idx="242">
                  <c:v>474.85671135881074</c:v>
                </c:pt>
                <c:pt idx="243">
                  <c:v>475.58884785093329</c:v>
                </c:pt>
                <c:pt idx="244">
                  <c:v>476.4227773671758</c:v>
                </c:pt>
                <c:pt idx="245">
                  <c:v>477.09967084481099</c:v>
                </c:pt>
                <c:pt idx="246">
                  <c:v>477.84649141326537</c:v>
                </c:pt>
                <c:pt idx="247">
                  <c:v>478.52550974339113</c:v>
                </c:pt>
                <c:pt idx="248">
                  <c:v>479.1041107266243</c:v>
                </c:pt>
                <c:pt idx="249">
                  <c:v>479.75340626353324</c:v>
                </c:pt>
                <c:pt idx="250">
                  <c:v>480.27789824422791</c:v>
                </c:pt>
                <c:pt idx="251">
                  <c:v>480.87359511052557</c:v>
                </c:pt>
                <c:pt idx="252">
                  <c:v>481.36914264853056</c:v>
                </c:pt>
                <c:pt idx="253">
                  <c:v>481.79723283208182</c:v>
                </c:pt>
                <c:pt idx="254">
                  <c:v>482.29723782736914</c:v>
                </c:pt>
                <c:pt idx="255">
                  <c:v>482.63982915222363</c:v>
                </c:pt>
                <c:pt idx="256">
                  <c:v>483.08767427664105</c:v>
                </c:pt>
                <c:pt idx="257">
                  <c:v>483.43572601230159</c:v>
                </c:pt>
                <c:pt idx="258">
                  <c:v>483.68401604544755</c:v>
                </c:pt>
                <c:pt idx="259">
                  <c:v>484.03834334687122</c:v>
                </c:pt>
                <c:pt idx="260">
                  <c:v>484.2827459248121</c:v>
                </c:pt>
                <c:pt idx="261">
                  <c:v>484.45925949557892</c:v>
                </c:pt>
                <c:pt idx="262">
                  <c:v>484.71099188291947</c:v>
                </c:pt>
                <c:pt idx="263">
                  <c:v>484.80553681193408</c:v>
                </c:pt>
                <c:pt idx="264">
                  <c:v>485.00728365759602</c:v>
                </c:pt>
                <c:pt idx="265">
                  <c:v>485.1103160043117</c:v>
                </c:pt>
                <c:pt idx="266">
                  <c:v>485.11479532923198</c:v>
                </c:pt>
                <c:pt idx="267">
                  <c:v>485.22712876706294</c:v>
                </c:pt>
                <c:pt idx="268">
                  <c:v>485.18357876954406</c:v>
                </c:pt>
                <c:pt idx="269">
                  <c:v>485.21527988503942</c:v>
                </c:pt>
                <c:pt idx="270">
                  <c:v>485.18222052124105</c:v>
                </c:pt>
                <c:pt idx="271">
                  <c:v>485.05164121415748</c:v>
                </c:pt>
                <c:pt idx="272">
                  <c:v>484.99690245299979</c:v>
                </c:pt>
                <c:pt idx="273">
                  <c:v>484.82035278094298</c:v>
                </c:pt>
                <c:pt idx="274">
                  <c:v>484.72005051763955</c:v>
                </c:pt>
                <c:pt idx="275">
                  <c:v>484.52309271066929</c:v>
                </c:pt>
                <c:pt idx="276">
                  <c:v>484.2627613741372</c:v>
                </c:pt>
                <c:pt idx="277">
                  <c:v>484.07919701958275</c:v>
                </c:pt>
                <c:pt idx="278">
                  <c:v>483.74218322863192</c:v>
                </c:pt>
                <c:pt idx="279">
                  <c:v>483.51522643823398</c:v>
                </c:pt>
                <c:pt idx="280">
                  <c:v>483.1929135406977</c:v>
                </c:pt>
                <c:pt idx="281">
                  <c:v>482.77561245105096</c:v>
                </c:pt>
                <c:pt idx="282">
                  <c:v>482.46876166214804</c:v>
                </c:pt>
                <c:pt idx="283">
                  <c:v>482.06743591831173</c:v>
                </c:pt>
                <c:pt idx="284">
                  <c:v>481.57203669927623</c:v>
                </c:pt>
                <c:pt idx="285">
                  <c:v>481.18746525569952</c:v>
                </c:pt>
                <c:pt idx="286">
                  <c:v>480.65159985403216</c:v>
                </c:pt>
                <c:pt idx="287">
                  <c:v>480.19556826303221</c:v>
                </c:pt>
                <c:pt idx="288">
                  <c:v>479.67780400618136</c:v>
                </c:pt>
                <c:pt idx="289">
                  <c:v>479.0675296930865</c:v>
                </c:pt>
                <c:pt idx="290">
                  <c:v>478.53748911987896</c:v>
                </c:pt>
                <c:pt idx="291">
                  <c:v>477.889705330992</c:v>
                </c:pt>
                <c:pt idx="292">
                  <c:v>477.31063271331715</c:v>
                </c:pt>
                <c:pt idx="293">
                  <c:v>476.67272383221126</c:v>
                </c:pt>
                <c:pt idx="294">
                  <c:v>475.94399844284447</c:v>
                </c:pt>
                <c:pt idx="295">
                  <c:v>475.29468311670479</c:v>
                </c:pt>
                <c:pt idx="296">
                  <c:v>474.5309682659036</c:v>
                </c:pt>
                <c:pt idx="297">
                  <c:v>473.8468660516034</c:v>
                </c:pt>
                <c:pt idx="298">
                  <c:v>473.07326370825803</c:v>
                </c:pt>
                <c:pt idx="299">
                  <c:v>472.24289599452771</c:v>
                </c:pt>
                <c:pt idx="300">
                  <c:v>471.49194507212036</c:v>
                </c:pt>
                <c:pt idx="301">
                  <c:v>470.5979994207907</c:v>
                </c:pt>
                <c:pt idx="302">
                  <c:v>469.81474712774752</c:v>
                </c:pt>
                <c:pt idx="303">
                  <c:v>468.94382809313765</c:v>
                </c:pt>
                <c:pt idx="304">
                  <c:v>467.98729865267086</c:v>
                </c:pt>
                <c:pt idx="305">
                  <c:v>467.14152605906901</c:v>
                </c:pt>
                <c:pt idx="306">
                  <c:v>466.15380157386653</c:v>
                </c:pt>
                <c:pt idx="307">
                  <c:v>465.24796451543313</c:v>
                </c:pt>
                <c:pt idx="308">
                  <c:v>464.28669604447089</c:v>
                </c:pt>
                <c:pt idx="309">
                  <c:v>463.24035025693303</c:v>
                </c:pt>
                <c:pt idx="310">
                  <c:v>462.27605254896065</c:v>
                </c:pt>
                <c:pt idx="311">
                  <c:v>461.25739107958947</c:v>
                </c:pt>
                <c:pt idx="312">
                  <c:v>460.15490816593183</c:v>
                </c:pt>
                <c:pt idx="313">
                  <c:v>459.13459638521942</c:v>
                </c:pt>
                <c:pt idx="314">
                  <c:v>458.00596006326833</c:v>
                </c:pt>
                <c:pt idx="315">
                  <c:v>456.95954365005468</c:v>
                </c:pt>
                <c:pt idx="316">
                  <c:v>455.83078118359003</c:v>
                </c:pt>
                <c:pt idx="317">
                  <c:v>454.64994618740752</c:v>
                </c:pt>
                <c:pt idx="318">
                  <c:v>453.55139272386651</c:v>
                </c:pt>
                <c:pt idx="319">
                  <c:v>452.31796239436096</c:v>
                </c:pt>
                <c:pt idx="320">
                  <c:v>451.19490100550854</c:v>
                </c:pt>
                <c:pt idx="321">
                  <c:v>449.99294031456827</c:v>
                </c:pt>
                <c:pt idx="322">
                  <c:v>448.71149079684648</c:v>
                </c:pt>
                <c:pt idx="323">
                  <c:v>447.54019463355343</c:v>
                </c:pt>
                <c:pt idx="324">
                  <c:v>446.22851677226078</c:v>
                </c:pt>
                <c:pt idx="325">
                  <c:v>445.02683252606244</c:v>
                </c:pt>
                <c:pt idx="326">
                  <c:v>443.74706835570714</c:v>
                </c:pt>
                <c:pt idx="327">
                  <c:v>442.3913775522642</c:v>
                </c:pt>
                <c:pt idx="328">
                  <c:v>441.14540001318051</c:v>
                </c:pt>
                <c:pt idx="329">
                  <c:v>439.77031967182722</c:v>
                </c:pt>
                <c:pt idx="330">
                  <c:v>438.4774820195039</c:v>
                </c:pt>
                <c:pt idx="331">
                  <c:v>437.13732624716283</c:v>
                </c:pt>
                <c:pt idx="332">
                  <c:v>435.72205769304549</c:v>
                </c:pt>
                <c:pt idx="333">
                  <c:v>434.38894430887206</c:v>
                </c:pt>
                <c:pt idx="334">
                  <c:v>433.00959125264399</c:v>
                </c:pt>
                <c:pt idx="335">
                  <c:v>431.55648379272355</c:v>
                </c:pt>
                <c:pt idx="336">
                  <c:v>430.18536699694397</c:v>
                </c:pt>
                <c:pt idx="337">
                  <c:v>428.71762253600133</c:v>
                </c:pt>
                <c:pt idx="338">
                  <c:v>427.33168776869394</c:v>
                </c:pt>
                <c:pt idx="339">
                  <c:v>425.87355032778333</c:v>
                </c:pt>
                <c:pt idx="340">
                  <c:v>424.37166744445517</c:v>
                </c:pt>
                <c:pt idx="341">
                  <c:v>422.9513887979486</c:v>
                </c:pt>
                <c:pt idx="342">
                  <c:v>421.4101046422158</c:v>
                </c:pt>
                <c:pt idx="343">
                  <c:v>419.97643910678448</c:v>
                </c:pt>
                <c:pt idx="344">
                  <c:v>418.474023863713</c:v>
                </c:pt>
                <c:pt idx="345">
                  <c:v>416.90247699373907</c:v>
                </c:pt>
                <c:pt idx="346">
                  <c:v>415.43801632551344</c:v>
                </c:pt>
                <c:pt idx="347">
                  <c:v>413.85689705275081</c:v>
                </c:pt>
                <c:pt idx="348">
                  <c:v>412.35558884572731</c:v>
                </c:pt>
                <c:pt idx="349">
                  <c:v>410.81339546240184</c:v>
                </c:pt>
                <c:pt idx="350">
                  <c:v>409.20550807590217</c:v>
                </c:pt>
                <c:pt idx="351">
                  <c:v>407.67713637200296</c:v>
                </c:pt>
                <c:pt idx="352">
                  <c:v>406.06060308042686</c:v>
                </c:pt>
                <c:pt idx="353">
                  <c:v>404.52450908592169</c:v>
                </c:pt>
                <c:pt idx="354">
                  <c:v>402.92299590015369</c:v>
                </c:pt>
                <c:pt idx="355">
                  <c:v>401.28306738570933</c:v>
                </c:pt>
                <c:pt idx="356">
                  <c:v>399.71455091452253</c:v>
                </c:pt>
                <c:pt idx="357">
                  <c:v>398.06015840743953</c:v>
                </c:pt>
                <c:pt idx="358">
                  <c:v>396.48558665791558</c:v>
                </c:pt>
                <c:pt idx="359">
                  <c:v>394.84783432598374</c:v>
                </c:pt>
                <c:pt idx="360">
                  <c:v>393.17340613514693</c:v>
                </c:pt>
                <c:pt idx="361">
                  <c:v>391.57837282601173</c:v>
                </c:pt>
                <c:pt idx="362">
                  <c:v>389.92150654103153</c:v>
                </c:pt>
                <c:pt idx="363">
                  <c:v>388.22897293550415</c:v>
                </c:pt>
                <c:pt idx="364">
                  <c:v>386.61539578383264</c:v>
                </c:pt>
                <c:pt idx="365">
                  <c:v>384.90348017299493</c:v>
                </c:pt>
                <c:pt idx="366">
                  <c:v>383.27027759154504</c:v>
                </c:pt>
                <c:pt idx="367">
                  <c:v>381.5940687410548</c:v>
                </c:pt>
                <c:pt idx="368">
                  <c:v>379.88378713792315</c:v>
                </c:pt>
                <c:pt idx="369">
                  <c:v>378.22699844024191</c:v>
                </c:pt>
                <c:pt idx="370">
                  <c:v>376.49172899486894</c:v>
                </c:pt>
                <c:pt idx="371">
                  <c:v>374.85759602842001</c:v>
                </c:pt>
                <c:pt idx="372">
                  <c:v>373.1427510241196</c:v>
                </c:pt>
                <c:pt idx="373">
                  <c:v>371.39560383963891</c:v>
                </c:pt>
                <c:pt idx="374">
                  <c:v>369.74874119671813</c:v>
                </c:pt>
                <c:pt idx="375">
                  <c:v>367.97899042743916</c:v>
                </c:pt>
                <c:pt idx="376">
                  <c:v>366.30909590169961</c:v>
                </c:pt>
                <c:pt idx="377">
                  <c:v>364.60762874677505</c:v>
                </c:pt>
                <c:pt idx="378">
                  <c:v>362.82905993077202</c:v>
                </c:pt>
                <c:pt idx="379">
                  <c:v>361.14945559212981</c:v>
                </c:pt>
                <c:pt idx="380">
                  <c:v>359.39645304973027</c:v>
                </c:pt>
                <c:pt idx="381">
                  <c:v>357.69606067977236</c:v>
                </c:pt>
                <c:pt idx="382">
                  <c:v>355.9658091361643</c:v>
                </c:pt>
                <c:pt idx="383">
                  <c:v>354.20626306821657</c:v>
                </c:pt>
                <c:pt idx="384">
                  <c:v>352.49904468724475</c:v>
                </c:pt>
                <c:pt idx="385">
                  <c:v>350.76287821271427</c:v>
                </c:pt>
                <c:pt idx="386">
                  <c:v>348.9983424903387</c:v>
                </c:pt>
                <c:pt idx="387">
                  <c:v>347.2858364153447</c:v>
                </c:pt>
                <c:pt idx="388">
                  <c:v>345.50381837376574</c:v>
                </c:pt>
                <c:pt idx="389">
                  <c:v>343.81850212510886</c:v>
                </c:pt>
                <c:pt idx="390">
                  <c:v>342.06092659133674</c:v>
                </c:pt>
                <c:pt idx="391">
                  <c:v>340.27659764327757</c:v>
                </c:pt>
                <c:pt idx="392">
                  <c:v>338.58796386325088</c:v>
                </c:pt>
                <c:pt idx="393">
                  <c:v>336.78854559066946</c:v>
                </c:pt>
                <c:pt idx="394">
                  <c:v>335.08327162297024</c:v>
                </c:pt>
                <c:pt idx="395">
                  <c:v>333.3528448610391</c:v>
                </c:pt>
                <c:pt idx="396">
                  <c:v>331.55367347560576</c:v>
                </c:pt>
                <c:pt idx="397">
                  <c:v>329.84762778098877</c:v>
                </c:pt>
                <c:pt idx="398">
                  <c:v>328.07819415520078</c:v>
                </c:pt>
                <c:pt idx="399">
                  <c:v>326.35844442647465</c:v>
                </c:pt>
                <c:pt idx="400">
                  <c:v>324.61407533259916</c:v>
                </c:pt>
                <c:pt idx="401">
                  <c:v>322.8326027864868</c:v>
                </c:pt>
                <c:pt idx="402">
                  <c:v>321.14236178294101</c:v>
                </c:pt>
                <c:pt idx="403">
                  <c:v>319.34845822804738</c:v>
                </c:pt>
                <c:pt idx="404">
                  <c:v>317.64618979226907</c:v>
                </c:pt>
                <c:pt idx="405">
                  <c:v>315.92049741455804</c:v>
                </c:pt>
                <c:pt idx="406">
                  <c:v>314.13103893889206</c:v>
                </c:pt>
                <c:pt idx="407">
                  <c:v>312.43212186690516</c:v>
                </c:pt>
                <c:pt idx="408">
                  <c:v>310.71055323747999</c:v>
                </c:pt>
                <c:pt idx="409">
                  <c:v>308.92667968191972</c:v>
                </c:pt>
                <c:pt idx="410">
                  <c:v>307.23225747021309</c:v>
                </c:pt>
                <c:pt idx="411">
                  <c:v>305.47929499053873</c:v>
                </c:pt>
                <c:pt idx="412">
                  <c:v>303.77521865506981</c:v>
                </c:pt>
                <c:pt idx="413">
                  <c:v>302.04990691122583</c:v>
                </c:pt>
                <c:pt idx="414">
                  <c:v>300.30388478416114</c:v>
                </c:pt>
                <c:pt idx="415">
                  <c:v>298.6063146151464</c:v>
                </c:pt>
                <c:pt idx="416">
                  <c:v>296.85291131728394</c:v>
                </c:pt>
                <c:pt idx="417">
                  <c:v>295.18529497697313</c:v>
                </c:pt>
                <c:pt idx="418">
                  <c:v>293.4600951630598</c:v>
                </c:pt>
                <c:pt idx="419">
                  <c:v>291.7155277027349</c:v>
                </c:pt>
                <c:pt idx="420">
                  <c:v>290.05561512085558</c:v>
                </c:pt>
                <c:pt idx="421">
                  <c:v>288.30516207163504</c:v>
                </c:pt>
                <c:pt idx="422">
                  <c:v>286.63878312693782</c:v>
                </c:pt>
                <c:pt idx="423">
                  <c:v>284.95340684690359</c:v>
                </c:pt>
                <c:pt idx="424">
                  <c:v>283.21353993825073</c:v>
                </c:pt>
                <c:pt idx="425">
                  <c:v>281.55631990201385</c:v>
                </c:pt>
                <c:pt idx="426">
                  <c:v>279.84831456559192</c:v>
                </c:pt>
                <c:pt idx="427">
                  <c:v>278.18600271429437</c:v>
                </c:pt>
                <c:pt idx="428">
                  <c:v>276.50597611130928</c:v>
                </c:pt>
                <c:pt idx="429">
                  <c:v>274.80952243115388</c:v>
                </c:pt>
                <c:pt idx="430">
                  <c:v>273.15827430817791</c:v>
                </c:pt>
                <c:pt idx="431">
                  <c:v>271.45764845460235</c:v>
                </c:pt>
                <c:pt idx="432">
                  <c:v>269.83794150204074</c:v>
                </c:pt>
                <c:pt idx="433">
                  <c:v>268.16642039864274</c:v>
                </c:pt>
                <c:pt idx="434">
                  <c:v>266.47885060365542</c:v>
                </c:pt>
                <c:pt idx="435">
                  <c:v>264.87102035667101</c:v>
                </c:pt>
                <c:pt idx="436">
                  <c:v>263.21264785485016</c:v>
                </c:pt>
                <c:pt idx="437">
                  <c:v>261.53883515118957</c:v>
                </c:pt>
                <c:pt idx="438">
                  <c:v>259.94360649294083</c:v>
                </c:pt>
                <c:pt idx="439">
                  <c:v>258.26807930189574</c:v>
                </c:pt>
                <c:pt idx="440">
                  <c:v>256.67049225474017</c:v>
                </c:pt>
                <c:pt idx="441">
                  <c:v>255.05772724131748</c:v>
                </c:pt>
                <c:pt idx="442">
                  <c:v>253.39726406697085</c:v>
                </c:pt>
                <c:pt idx="443">
                  <c:v>251.81357828225654</c:v>
                </c:pt>
                <c:pt idx="444">
                  <c:v>250.18550740112056</c:v>
                </c:pt>
                <c:pt idx="445">
                  <c:v>248.60006038275432</c:v>
                </c:pt>
                <c:pt idx="446">
                  <c:v>247.0012764761467</c:v>
                </c:pt>
                <c:pt idx="447">
                  <c:v>245.38882413323782</c:v>
                </c:pt>
                <c:pt idx="448">
                  <c:v>243.81846710279282</c:v>
                </c:pt>
                <c:pt idx="449">
                  <c:v>242.20648149902033</c:v>
                </c:pt>
                <c:pt idx="450">
                  <c:v>240.66765861535154</c:v>
                </c:pt>
                <c:pt idx="451">
                  <c:v>239.08428302450909</c:v>
                </c:pt>
                <c:pt idx="452">
                  <c:v>237.48898223570126</c:v>
                </c:pt>
                <c:pt idx="453">
                  <c:v>235.9656890317664</c:v>
                </c:pt>
                <c:pt idx="454">
                  <c:v>234.37109147505589</c:v>
                </c:pt>
                <c:pt idx="455">
                  <c:v>232.84856994244876</c:v>
                </c:pt>
                <c:pt idx="456">
                  <c:v>231.31358151266693</c:v>
                </c:pt>
                <c:pt idx="457">
                  <c:v>229.73665258762176</c:v>
                </c:pt>
                <c:pt idx="458">
                  <c:v>228.23062681459388</c:v>
                </c:pt>
                <c:pt idx="459">
                  <c:v>226.71264483894987</c:v>
                </c:pt>
                <c:pt idx="460">
                  <c:v>225.15381237705543</c:v>
                </c:pt>
                <c:pt idx="461">
                  <c:v>223.66471195723705</c:v>
                </c:pt>
                <c:pt idx="462">
                  <c:v>222.13747803956801</c:v>
                </c:pt>
                <c:pt idx="463">
                  <c:v>220.65024072727346</c:v>
                </c:pt>
                <c:pt idx="464">
                  <c:v>219.15195450011021</c:v>
                </c:pt>
                <c:pt idx="465">
                  <c:v>217.63358073180422</c:v>
                </c:pt>
                <c:pt idx="466">
                  <c:v>216.18289570358161</c:v>
                </c:pt>
                <c:pt idx="467">
                  <c:v>214.66789769867358</c:v>
                </c:pt>
                <c:pt idx="468">
                  <c:v>213.21927248223477</c:v>
                </c:pt>
                <c:pt idx="469">
                  <c:v>211.76087736110523</c:v>
                </c:pt>
                <c:pt idx="470">
                  <c:v>210.26509039547383</c:v>
                </c:pt>
                <c:pt idx="471">
                  <c:v>208.83455003317039</c:v>
                </c:pt>
                <c:pt idx="472">
                  <c:v>207.36997029663317</c:v>
                </c:pt>
                <c:pt idx="473">
                  <c:v>205.94285240512687</c:v>
                </c:pt>
                <c:pt idx="474">
                  <c:v>204.50616689940881</c:v>
                </c:pt>
                <c:pt idx="475">
                  <c:v>203.0608725584836</c:v>
                </c:pt>
                <c:pt idx="476">
                  <c:v>201.65246291106283</c:v>
                </c:pt>
                <c:pt idx="477">
                  <c:v>200.21105967618342</c:v>
                </c:pt>
                <c:pt idx="478">
                  <c:v>198.83275137655579</c:v>
                </c:pt>
                <c:pt idx="479">
                  <c:v>197.41961889729447</c:v>
                </c:pt>
                <c:pt idx="480">
                  <c:v>195.99805062428973</c:v>
                </c:pt>
                <c:pt idx="481">
                  <c:v>194.63844843762584</c:v>
                </c:pt>
                <c:pt idx="482">
                  <c:v>193.22176714865256</c:v>
                </c:pt>
                <c:pt idx="483">
                  <c:v>191.86642408116344</c:v>
                </c:pt>
                <c:pt idx="484">
                  <c:v>190.50269428923184</c:v>
                </c:pt>
                <c:pt idx="485">
                  <c:v>189.10631064666822</c:v>
                </c:pt>
                <c:pt idx="486">
                  <c:v>187.77014948899244</c:v>
                </c:pt>
                <c:pt idx="487">
                  <c:v>186.42597010164258</c:v>
                </c:pt>
                <c:pt idx="488">
                  <c:v>185.05002198998912</c:v>
                </c:pt>
                <c:pt idx="489">
                  <c:v>183.73319098834989</c:v>
                </c:pt>
                <c:pt idx="490">
                  <c:v>182.38680487463233</c:v>
                </c:pt>
                <c:pt idx="491">
                  <c:v>181.07502047299334</c:v>
                </c:pt>
                <c:pt idx="492">
                  <c:v>179.75591425279936</c:v>
                </c:pt>
                <c:pt idx="493">
                  <c:v>178.42979595523019</c:v>
                </c:pt>
                <c:pt idx="494">
                  <c:v>177.13770479457696</c:v>
                </c:pt>
                <c:pt idx="495">
                  <c:v>175.8176905755108</c:v>
                </c:pt>
                <c:pt idx="496">
                  <c:v>174.5536072104008</c:v>
                </c:pt>
                <c:pt idx="497">
                  <c:v>173.26051995391791</c:v>
                </c:pt>
                <c:pt idx="498">
                  <c:v>171.96105750401975</c:v>
                </c:pt>
                <c:pt idx="499">
                  <c:v>170.71646471280238</c:v>
                </c:pt>
                <c:pt idx="500">
                  <c:v>169.42350197760896</c:v>
                </c:pt>
                <c:pt idx="501">
                  <c:v>168.18480491185537</c:v>
                </c:pt>
                <c:pt idx="502">
                  <c:v>166.93973789337895</c:v>
                </c:pt>
                <c:pt idx="503">
                  <c:v>165.66753902273018</c:v>
                </c:pt>
                <c:pt idx="504">
                  <c:v>164.44856476099957</c:v>
                </c:pt>
                <c:pt idx="505">
                  <c:v>163.20409384258309</c:v>
                </c:pt>
                <c:pt idx="506">
                  <c:v>161.99136712041053</c:v>
                </c:pt>
                <c:pt idx="507">
                  <c:v>160.77285960575426</c:v>
                </c:pt>
                <c:pt idx="508">
                  <c:v>159.5488450776688</c:v>
                </c:pt>
                <c:pt idx="509">
                  <c:v>158.35601435707036</c:v>
                </c:pt>
                <c:pt idx="510">
                  <c:v>157.15767662307357</c:v>
                </c:pt>
                <c:pt idx="511">
                  <c:v>155.95409460189629</c:v>
                </c:pt>
                <c:pt idx="512">
                  <c:v>154.78113885905233</c:v>
                </c:pt>
                <c:pt idx="513">
                  <c:v>153.58451375726031</c:v>
                </c:pt>
                <c:pt idx="514">
                  <c:v>152.43806355992126</c:v>
                </c:pt>
                <c:pt idx="515">
                  <c:v>151.26667005777034</c:v>
                </c:pt>
                <c:pt idx="516">
                  <c:v>150.09056988040152</c:v>
                </c:pt>
                <c:pt idx="517">
                  <c:v>148.96363616402544</c:v>
                </c:pt>
                <c:pt idx="518">
                  <c:v>147.79486512339881</c:v>
                </c:pt>
                <c:pt idx="519">
                  <c:v>146.67425438948442</c:v>
                </c:pt>
                <c:pt idx="520">
                  <c:v>145.549329367886</c:v>
                </c:pt>
                <c:pt idx="521">
                  <c:v>144.40111321250299</c:v>
                </c:pt>
                <c:pt idx="522">
                  <c:v>143.3000792813105</c:v>
                </c:pt>
                <c:pt idx="523">
                  <c:v>142.1780303197695</c:v>
                </c:pt>
                <c:pt idx="524">
                  <c:v>141.08397811203187</c:v>
                </c:pt>
                <c:pt idx="525">
                  <c:v>139.98565003161494</c:v>
                </c:pt>
                <c:pt idx="526">
                  <c:v>138.87768205990747</c:v>
                </c:pt>
                <c:pt idx="527">
                  <c:v>137.81519837199025</c:v>
                </c:pt>
                <c:pt idx="528">
                  <c:v>136.71441416349799</c:v>
                </c:pt>
                <c:pt idx="529">
                  <c:v>135.6589871371759</c:v>
                </c:pt>
                <c:pt idx="530">
                  <c:v>134.59955072745825</c:v>
                </c:pt>
                <c:pt idx="531">
                  <c:v>133.51897159644224</c:v>
                </c:pt>
                <c:pt idx="532">
                  <c:v>132.48279840991944</c:v>
                </c:pt>
                <c:pt idx="533">
                  <c:v>131.44281755062613</c:v>
                </c:pt>
                <c:pt idx="534">
                  <c:v>130.38229919283643</c:v>
                </c:pt>
                <c:pt idx="535">
                  <c:v>129.36525857427785</c:v>
                </c:pt>
                <c:pt idx="536">
                  <c:v>128.32920687900605</c:v>
                </c:pt>
                <c:pt idx="537">
                  <c:v>127.3192832425803</c:v>
                </c:pt>
                <c:pt idx="538">
                  <c:v>126.30596347097044</c:v>
                </c:pt>
                <c:pt idx="539">
                  <c:v>125.28946133097378</c:v>
                </c:pt>
                <c:pt idx="540">
                  <c:v>124.29857631693604</c:v>
                </c:pt>
                <c:pt idx="541">
                  <c:v>123.28981072932795</c:v>
                </c:pt>
                <c:pt idx="542">
                  <c:v>122.32194077209496</c:v>
                </c:pt>
                <c:pt idx="543">
                  <c:v>121.33538919195676</c:v>
                </c:pt>
                <c:pt idx="544">
                  <c:v>120.34603386302612</c:v>
                </c:pt>
                <c:pt idx="545">
                  <c:v>119.39669188882544</c:v>
                </c:pt>
                <c:pt idx="546">
                  <c:v>118.41512264272642</c:v>
                </c:pt>
                <c:pt idx="547">
                  <c:v>117.4730750737955</c:v>
                </c:pt>
                <c:pt idx="548">
                  <c:v>116.52813121468478</c:v>
                </c:pt>
                <c:pt idx="549">
                  <c:v>115.56580661074825</c:v>
                </c:pt>
                <c:pt idx="550">
                  <c:v>114.64202522935945</c:v>
                </c:pt>
                <c:pt idx="551">
                  <c:v>113.70232124634707</c:v>
                </c:pt>
                <c:pt idx="552">
                  <c:v>112.7858849297569</c:v>
                </c:pt>
                <c:pt idx="553">
                  <c:v>111.86689329027668</c:v>
                </c:pt>
                <c:pt idx="554">
                  <c:v>110.94587120705172</c:v>
                </c:pt>
                <c:pt idx="555">
                  <c:v>110.04763833234088</c:v>
                </c:pt>
                <c:pt idx="556">
                  <c:v>109.13400934585492</c:v>
                </c:pt>
                <c:pt idx="557">
                  <c:v>108.25733609176072</c:v>
                </c:pt>
                <c:pt idx="558">
                  <c:v>107.36423313265961</c:v>
                </c:pt>
                <c:pt idx="559">
                  <c:v>106.46907612746145</c:v>
                </c:pt>
                <c:pt idx="560">
                  <c:v>105.61005310320262</c:v>
                </c:pt>
                <c:pt idx="561">
                  <c:v>104.73508234316243</c:v>
                </c:pt>
                <c:pt idx="562">
                  <c:v>103.85818553347075</c:v>
                </c:pt>
                <c:pt idx="563">
                  <c:v>103.01661947620457</c:v>
                </c:pt>
                <c:pt idx="564">
                  <c:v>102.14731471303224</c:v>
                </c:pt>
                <c:pt idx="565">
                  <c:v>101.31287874072886</c:v>
                </c:pt>
                <c:pt idx="566">
                  <c:v>100.47640968950461</c:v>
                </c:pt>
                <c:pt idx="567">
                  <c:v>99.625114961422909</c:v>
                </c:pt>
                <c:pt idx="568">
                  <c:v>98.807902969935</c:v>
                </c:pt>
                <c:pt idx="569">
                  <c:v>97.977122065784101</c:v>
                </c:pt>
                <c:pt idx="570">
                  <c:v>97.166836335250736</c:v>
                </c:pt>
                <c:pt idx="571">
                  <c:v>96.355077368684803</c:v>
                </c:pt>
                <c:pt idx="572">
                  <c:v>95.541715494087939</c:v>
                </c:pt>
                <c:pt idx="573">
                  <c:v>94.748408915380921</c:v>
                </c:pt>
                <c:pt idx="574">
                  <c:v>93.942554787398663</c:v>
                </c:pt>
                <c:pt idx="575">
                  <c:v>93.168650028116232</c:v>
                </c:pt>
                <c:pt idx="576">
                  <c:v>92.381015360570856</c:v>
                </c:pt>
                <c:pt idx="577">
                  <c:v>91.592301242079188</c:v>
                </c:pt>
                <c:pt idx="578">
                  <c:v>90.834801311253159</c:v>
                </c:pt>
                <c:pt idx="579">
                  <c:v>90.053261721314882</c:v>
                </c:pt>
                <c:pt idx="580">
                  <c:v>89.302794404166747</c:v>
                </c:pt>
                <c:pt idx="581">
                  <c:v>88.550849944695003</c:v>
                </c:pt>
                <c:pt idx="582">
                  <c:v>87.786162400683821</c:v>
                </c:pt>
                <c:pt idx="583">
                  <c:v>87.051823789186258</c:v>
                </c:pt>
                <c:pt idx="584">
                  <c:v>86.316106251119677</c:v>
                </c:pt>
                <c:pt idx="585">
                  <c:v>85.568025377054767</c:v>
                </c:pt>
                <c:pt idx="586">
                  <c:v>84.849583976251907</c:v>
                </c:pt>
                <c:pt idx="587">
                  <c:v>84.119762993965892</c:v>
                </c:pt>
                <c:pt idx="588">
                  <c:v>83.408147138356114</c:v>
                </c:pt>
                <c:pt idx="589">
                  <c:v>82.695366083570448</c:v>
                </c:pt>
                <c:pt idx="590">
                  <c:v>81.978004304828076</c:v>
                </c:pt>
                <c:pt idx="591">
                  <c:v>81.289074115906402</c:v>
                </c:pt>
                <c:pt idx="592">
                  <c:v>80.57887163001304</c:v>
                </c:pt>
                <c:pt idx="593">
                  <c:v>79.896469305841478</c:v>
                </c:pt>
                <c:pt idx="594">
                  <c:v>79.213222447518461</c:v>
                </c:pt>
                <c:pt idx="595">
                  <c:v>78.518803213586253</c:v>
                </c:pt>
                <c:pt idx="596">
                  <c:v>77.851525678608311</c:v>
                </c:pt>
                <c:pt idx="597">
                  <c:v>77.174292106154098</c:v>
                </c:pt>
                <c:pt idx="598">
                  <c:v>76.513700405175129</c:v>
                </c:pt>
                <c:pt idx="599">
                  <c:v>75.852210998762502</c:v>
                </c:pt>
                <c:pt idx="600">
                  <c:v>75.190172686839745</c:v>
                </c:pt>
                <c:pt idx="601">
                  <c:v>74.54439782244026</c:v>
                </c:pt>
                <c:pt idx="602">
                  <c:v>73.889003704629587</c:v>
                </c:pt>
                <c:pt idx="603">
                  <c:v>73.259427626742266</c:v>
                </c:pt>
                <c:pt idx="604">
                  <c:v>72.619511746579491</c:v>
                </c:pt>
                <c:pt idx="605">
                  <c:v>71.978986614962992</c:v>
                </c:pt>
                <c:pt idx="606">
                  <c:v>71.363661927181482</c:v>
                </c:pt>
                <c:pt idx="607">
                  <c:v>70.729822622060851</c:v>
                </c:pt>
                <c:pt idx="608">
                  <c:v>70.120822993915908</c:v>
                </c:pt>
                <c:pt idx="609">
                  <c:v>69.511095688655516</c:v>
                </c:pt>
                <c:pt idx="610">
                  <c:v>68.891792873965755</c:v>
                </c:pt>
                <c:pt idx="611">
                  <c:v>68.296731287620332</c:v>
                </c:pt>
                <c:pt idx="612">
                  <c:v>67.701003948044047</c:v>
                </c:pt>
                <c:pt idx="613">
                  <c:v>67.095990137261495</c:v>
                </c:pt>
                <c:pt idx="614">
                  <c:v>66.514624673373206</c:v>
                </c:pt>
                <c:pt idx="615">
                  <c:v>65.924740572431745</c:v>
                </c:pt>
                <c:pt idx="616">
                  <c:v>65.349518320956605</c:v>
                </c:pt>
                <c:pt idx="617">
                  <c:v>64.773771804189138</c:v>
                </c:pt>
                <c:pt idx="618">
                  <c:v>64.197610962209779</c:v>
                </c:pt>
                <c:pt idx="619">
                  <c:v>63.635766990671641</c:v>
                </c:pt>
                <c:pt idx="620">
                  <c:v>63.065945568105072</c:v>
                </c:pt>
                <c:pt idx="621">
                  <c:v>62.518205826876908</c:v>
                </c:pt>
                <c:pt idx="622">
                  <c:v>61.962060116740489</c:v>
                </c:pt>
                <c:pt idx="623">
                  <c:v>61.405622986583609</c:v>
                </c:pt>
                <c:pt idx="624">
                  <c:v>60.870722392843788</c:v>
                </c:pt>
                <c:pt idx="625">
                  <c:v>60.320494111820516</c:v>
                </c:pt>
                <c:pt idx="626">
                  <c:v>59.791489554999515</c:v>
                </c:pt>
                <c:pt idx="627">
                  <c:v>59.262082189444079</c:v>
                </c:pt>
                <c:pt idx="628">
                  <c:v>58.724904072411491</c:v>
                </c:pt>
                <c:pt idx="629">
                  <c:v>58.208421597848734</c:v>
                </c:pt>
                <c:pt idx="630">
                  <c:v>57.684711303392085</c:v>
                </c:pt>
                <c:pt idx="631">
                  <c:v>57.174001823511858</c:v>
                </c:pt>
                <c:pt idx="632">
                  <c:v>56.663001970592958</c:v>
                </c:pt>
                <c:pt idx="633">
                  <c:v>56.151800381477216</c:v>
                </c:pt>
                <c:pt idx="634">
                  <c:v>55.653284403751577</c:v>
                </c:pt>
                <c:pt idx="635">
                  <c:v>55.154518574895384</c:v>
                </c:pt>
                <c:pt idx="636">
                  <c:v>54.655591926032386</c:v>
                </c:pt>
                <c:pt idx="637">
                  <c:v>54.169044519846565</c:v>
                </c:pt>
                <c:pt idx="638">
                  <c:v>53.675838588683106</c:v>
                </c:pt>
                <c:pt idx="639">
                  <c:v>53.201770632657521</c:v>
                </c:pt>
                <c:pt idx="640">
                  <c:v>52.720573278420225</c:v>
                </c:pt>
                <c:pt idx="641">
                  <c:v>52.239310257739412</c:v>
                </c:pt>
                <c:pt idx="642">
                  <c:v>51.776700065347974</c:v>
                </c:pt>
                <c:pt idx="643">
                  <c:v>51.301072554891306</c:v>
                </c:pt>
                <c:pt idx="644">
                  <c:v>50.84367110101951</c:v>
                </c:pt>
                <c:pt idx="645">
                  <c:v>50.386244877914685</c:v>
                </c:pt>
                <c:pt idx="646">
                  <c:v>49.922227337644252</c:v>
                </c:pt>
                <c:pt idx="647">
                  <c:v>49.475973372020711</c:v>
                </c:pt>
                <c:pt idx="648">
                  <c:v>49.023887553011434</c:v>
                </c:pt>
                <c:pt idx="649">
                  <c:v>48.582863708285728</c:v>
                </c:pt>
                <c:pt idx="650">
                  <c:v>48.141753981121774</c:v>
                </c:pt>
                <c:pt idx="651">
                  <c:v>47.698707882503065</c:v>
                </c:pt>
                <c:pt idx="652">
                  <c:v>47.272635784903116</c:v>
                </c:pt>
                <c:pt idx="653">
                  <c:v>46.83476397230887</c:v>
                </c:pt>
                <c:pt idx="654">
                  <c:v>46.413752633505702</c:v>
                </c:pt>
                <c:pt idx="655">
                  <c:v>45.992660488829081</c:v>
                </c:pt>
                <c:pt idx="656">
                  <c:v>45.565634675427013</c:v>
                </c:pt>
                <c:pt idx="657">
                  <c:v>45.155037073824737</c:v>
                </c:pt>
                <c:pt idx="658">
                  <c:v>44.744383077813175</c:v>
                </c:pt>
                <c:pt idx="659">
                  <c:v>44.327978395942026</c:v>
                </c:pt>
                <c:pt idx="660">
                  <c:v>43.927578577475224</c:v>
                </c:pt>
                <c:pt idx="661">
                  <c:v>43.521924550489175</c:v>
                </c:pt>
                <c:pt idx="662">
                  <c:v>43.126318965399861</c:v>
                </c:pt>
                <c:pt idx="663">
                  <c:v>42.730729198771407</c:v>
                </c:pt>
                <c:pt idx="664">
                  <c:v>42.335223763963086</c:v>
                </c:pt>
                <c:pt idx="665">
                  <c:v>41.949515872345152</c:v>
                </c:pt>
                <c:pt idx="666">
                  <c:v>41.558899936233139</c:v>
                </c:pt>
                <c:pt idx="667">
                  <c:v>41.183178752684391</c:v>
                </c:pt>
                <c:pt idx="668">
                  <c:v>40.802258556884077</c:v>
                </c:pt>
                <c:pt idx="669">
                  <c:v>40.421484367304643</c:v>
                </c:pt>
                <c:pt idx="670">
                  <c:v>40.055217477584428</c:v>
                </c:pt>
                <c:pt idx="671">
                  <c:v>39.679192945590934</c:v>
                </c:pt>
                <c:pt idx="672">
                  <c:v>39.317452520575749</c:v>
                </c:pt>
                <c:pt idx="673">
                  <c:v>38.955760696946371</c:v>
                </c:pt>
                <c:pt idx="674">
                  <c:v>38.589275600863374</c:v>
                </c:pt>
                <c:pt idx="675">
                  <c:v>38.236661433016472</c:v>
                </c:pt>
                <c:pt idx="676">
                  <c:v>37.879719177006862</c:v>
                </c:pt>
                <c:pt idx="677">
                  <c:v>37.531501523054402</c:v>
                </c:pt>
                <c:pt idx="678">
                  <c:v>37.183389676636196</c:v>
                </c:pt>
                <c:pt idx="679">
                  <c:v>36.835551725870324</c:v>
                </c:pt>
                <c:pt idx="680">
                  <c:v>36.496214076059537</c:v>
                </c:pt>
                <c:pt idx="681">
                  <c:v>36.152695618725836</c:v>
                </c:pt>
                <c:pt idx="682">
                  <c:v>35.822327851832043</c:v>
                </c:pt>
                <c:pt idx="683">
                  <c:v>35.487413899027779</c:v>
                </c:pt>
                <c:pt idx="684">
                  <c:v>35.152711422714873</c:v>
                </c:pt>
                <c:pt idx="685">
                  <c:v>34.830812487835615</c:v>
                </c:pt>
                <c:pt idx="686">
                  <c:v>34.504510786932109</c:v>
                </c:pt>
                <c:pt idx="687">
                  <c:v>34.178430347901987</c:v>
                </c:pt>
                <c:pt idx="688">
                  <c:v>33.864813579827079</c:v>
                </c:pt>
                <c:pt idx="689">
                  <c:v>33.542905120899661</c:v>
                </c:pt>
                <c:pt idx="690">
                  <c:v>33.233266096137697</c:v>
                </c:pt>
                <c:pt idx="691">
                  <c:v>32.923758535256312</c:v>
                </c:pt>
                <c:pt idx="692">
                  <c:v>32.610191965023368</c:v>
                </c:pt>
                <c:pt idx="693">
                  <c:v>32.308567618984711</c:v>
                </c:pt>
                <c:pt idx="694">
                  <c:v>32.003277324665831</c:v>
                </c:pt>
                <c:pt idx="695">
                  <c:v>31.705444076981159</c:v>
                </c:pt>
                <c:pt idx="696">
                  <c:v>31.407880096669615</c:v>
                </c:pt>
                <c:pt idx="697">
                  <c:v>31.110538571841769</c:v>
                </c:pt>
                <c:pt idx="698">
                  <c:v>30.820458946670652</c:v>
                </c:pt>
                <c:pt idx="699">
                  <c:v>30.52702204602981</c:v>
                </c:pt>
                <c:pt idx="700">
                  <c:v>30.244679819522226</c:v>
                </c:pt>
                <c:pt idx="701">
                  <c:v>29.958578587727303</c:v>
                </c:pt>
                <c:pt idx="702">
                  <c:v>29.672825394272728</c:v>
                </c:pt>
                <c:pt idx="703">
                  <c:v>29.397868375260103</c:v>
                </c:pt>
                <c:pt idx="704">
                  <c:v>29.11580549072913</c:v>
                </c:pt>
                <c:pt idx="705">
                  <c:v>28.844454304571599</c:v>
                </c:pt>
                <c:pt idx="706">
                  <c:v>28.573278974980987</c:v>
                </c:pt>
                <c:pt idx="707">
                  <c:v>28.29864252190842</c:v>
                </c:pt>
                <c:pt idx="708">
                  <c:v>28.034428151384009</c:v>
                </c:pt>
                <c:pt idx="709">
                  <c:v>27.77039676655972</c:v>
                </c:pt>
                <c:pt idx="710">
                  <c:v>27.50301321364099</c:v>
                </c:pt>
                <c:pt idx="711">
                  <c:v>27.245769839481198</c:v>
                </c:pt>
                <c:pt idx="712">
                  <c:v>26.985474821320338</c:v>
                </c:pt>
                <c:pt idx="713">
                  <c:v>26.731617656439017</c:v>
                </c:pt>
                <c:pt idx="714">
                  <c:v>26.477973363842811</c:v>
                </c:pt>
                <c:pt idx="715">
                  <c:v>26.22344503265796</c:v>
                </c:pt>
                <c:pt idx="716">
                  <c:v>25.978582276190075</c:v>
                </c:pt>
                <c:pt idx="717">
                  <c:v>25.727486157114846</c:v>
                </c:pt>
                <c:pt idx="718">
                  <c:v>25.485824340151488</c:v>
                </c:pt>
                <c:pt idx="719">
                  <c:v>25.244437637448495</c:v>
                </c:pt>
                <c:pt idx="720">
                  <c:v>25.000035622815794</c:v>
                </c:pt>
                <c:pt idx="721">
                  <c:v>24.76481073530276</c:v>
                </c:pt>
                <c:pt idx="722">
                  <c:v>24.52694407639143</c:v>
                </c:pt>
                <c:pt idx="723">
                  <c:v>24.294885704539407</c:v>
                </c:pt>
                <c:pt idx="724">
                  <c:v>24.063053508908066</c:v>
                </c:pt>
                <c:pt idx="725">
                  <c:v>23.831554647377704</c:v>
                </c:pt>
                <c:pt idx="726">
                  <c:v>23.605708228041323</c:v>
                </c:pt>
                <c:pt idx="727">
                  <c:v>23.377307856684279</c:v>
                </c:pt>
                <c:pt idx="728">
                  <c:v>23.157559953803325</c:v>
                </c:pt>
                <c:pt idx="729">
                  <c:v>22.936013152290574</c:v>
                </c:pt>
                <c:pt idx="730">
                  <c:v>22.711776263511421</c:v>
                </c:pt>
                <c:pt idx="731">
                  <c:v>22.498918137821772</c:v>
                </c:pt>
                <c:pt idx="732">
                  <c:v>22.280663170122992</c:v>
                </c:pt>
                <c:pt idx="733">
                  <c:v>22.067797825269455</c:v>
                </c:pt>
                <c:pt idx="734">
                  <c:v>21.858025086802765</c:v>
                </c:pt>
                <c:pt idx="735">
                  <c:v>21.645665276103546</c:v>
                </c:pt>
                <c:pt idx="736">
                  <c:v>21.438549116562179</c:v>
                </c:pt>
                <c:pt idx="737">
                  <c:v>21.234445341724587</c:v>
                </c:pt>
                <c:pt idx="738">
                  <c:v>21.027835880486478</c:v>
                </c:pt>
                <c:pt idx="739">
                  <c:v>20.826329147980452</c:v>
                </c:pt>
                <c:pt idx="740">
                  <c:v>20.625280258481489</c:v>
                </c:pt>
                <c:pt idx="741">
                  <c:v>20.429205400226881</c:v>
                </c:pt>
                <c:pt idx="742">
                  <c:v>20.23071693401398</c:v>
                </c:pt>
                <c:pt idx="743">
                  <c:v>20.035132470544276</c:v>
                </c:pt>
                <c:pt idx="744">
                  <c:v>19.844387122055469</c:v>
                </c:pt>
                <c:pt idx="745">
                  <c:v>19.648964318363248</c:v>
                </c:pt>
                <c:pt idx="746">
                  <c:v>19.463361853994545</c:v>
                </c:pt>
                <c:pt idx="747">
                  <c:v>19.273826138662379</c:v>
                </c:pt>
                <c:pt idx="748">
                  <c:v>19.087066519277688</c:v>
                </c:pt>
                <c:pt idx="749">
                  <c:v>18.904871362998936</c:v>
                </c:pt>
                <c:pt idx="750">
                  <c:v>18.718288707791263</c:v>
                </c:pt>
                <c:pt idx="751">
                  <c:v>18.541071059195492</c:v>
                </c:pt>
                <c:pt idx="752">
                  <c:v>18.361653199886529</c:v>
                </c:pt>
                <c:pt idx="753">
                  <c:v>18.180185670800782</c:v>
                </c:pt>
                <c:pt idx="754">
                  <c:v>18.007819792849006</c:v>
                </c:pt>
                <c:pt idx="755">
                  <c:v>17.831201160466531</c:v>
                </c:pt>
                <c:pt idx="756">
                  <c:v>17.658944017609699</c:v>
                </c:pt>
                <c:pt idx="757">
                  <c:v>17.489207328053016</c:v>
                </c:pt>
                <c:pt idx="758">
                  <c:v>17.317446013825599</c:v>
                </c:pt>
                <c:pt idx="759">
                  <c:v>17.14992611137481</c:v>
                </c:pt>
                <c:pt idx="760">
                  <c:v>16.984860757887937</c:v>
                </c:pt>
                <c:pt idx="761">
                  <c:v>16.817835573742546</c:v>
                </c:pt>
                <c:pt idx="762">
                  <c:v>16.654933901780883</c:v>
                </c:pt>
                <c:pt idx="763">
                  <c:v>16.492441571891121</c:v>
                </c:pt>
                <c:pt idx="764">
                  <c:v>16.333969791961749</c:v>
                </c:pt>
                <c:pt idx="765">
                  <c:v>16.173608949645878</c:v>
                </c:pt>
                <c:pt idx="766">
                  <c:v>16.015610202679298</c:v>
                </c:pt>
                <c:pt idx="767">
                  <c:v>15.861520797379733</c:v>
                </c:pt>
                <c:pt idx="768">
                  <c:v>15.703733557181716</c:v>
                </c:pt>
                <c:pt idx="769">
                  <c:v>15.553832985031613</c:v>
                </c:pt>
                <c:pt idx="770">
                  <c:v>15.402162838737489</c:v>
                </c:pt>
                <c:pt idx="771">
                  <c:v>15.248757225752911</c:v>
                </c:pt>
                <c:pt idx="772">
                  <c:v>15.103014645155232</c:v>
                </c:pt>
                <c:pt idx="773">
                  <c:v>14.953778669313653</c:v>
                </c:pt>
                <c:pt idx="774">
                  <c:v>14.808183933291085</c:v>
                </c:pt>
                <c:pt idx="775">
                  <c:v>14.664731578536655</c:v>
                </c:pt>
                <c:pt idx="776">
                  <c:v>14.519652814888449</c:v>
                </c:pt>
                <c:pt idx="777">
                  <c:v>14.378113598664388</c:v>
                </c:pt>
                <c:pt idx="778">
                  <c:v>14.236963871933133</c:v>
                </c:pt>
                <c:pt idx="779">
                  <c:v>14.099306293419989</c:v>
                </c:pt>
                <c:pt idx="780">
                  <c:v>13.960040203642642</c:v>
                </c:pt>
                <c:pt idx="781">
                  <c:v>13.822833485167497</c:v>
                </c:pt>
                <c:pt idx="782">
                  <c:v>13.689021281460521</c:v>
                </c:pt>
                <c:pt idx="783">
                  <c:v>13.55365101403315</c:v>
                </c:pt>
                <c:pt idx="784">
                  <c:v>13.420285079847883</c:v>
                </c:pt>
                <c:pt idx="785">
                  <c:v>13.290218593251415</c:v>
                </c:pt>
                <c:pt idx="786">
                  <c:v>13.157063956543491</c:v>
                </c:pt>
                <c:pt idx="787">
                  <c:v>13.03058035341096</c:v>
                </c:pt>
                <c:pt idx="788">
                  <c:v>12.902597900264386</c:v>
                </c:pt>
                <c:pt idx="789">
                  <c:v>12.773184725048003</c:v>
                </c:pt>
                <c:pt idx="790">
                  <c:v>12.650251393909704</c:v>
                </c:pt>
                <c:pt idx="791">
                  <c:v>12.524375581005781</c:v>
                </c:pt>
                <c:pt idx="792">
                  <c:v>12.401570827368936</c:v>
                </c:pt>
                <c:pt idx="793">
                  <c:v>12.280618447649999</c:v>
                </c:pt>
                <c:pt idx="794">
                  <c:v>12.158288719784956</c:v>
                </c:pt>
                <c:pt idx="795">
                  <c:v>12.038943844176854</c:v>
                </c:pt>
                <c:pt idx="796">
                  <c:v>11.919981849392363</c:v>
                </c:pt>
                <c:pt idx="797">
                  <c:v>11.803927535452855</c:v>
                </c:pt>
                <c:pt idx="798">
                  <c:v>11.686546043956938</c:v>
                </c:pt>
                <c:pt idx="799">
                  <c:v>11.570944027359021</c:v>
                </c:pt>
                <c:pt idx="800">
                  <c:v>11.458156390746401</c:v>
                </c:pt>
                <c:pt idx="801">
                  <c:v>11.342767847199273</c:v>
                </c:pt>
                <c:pt idx="802">
                  <c:v>11.233111712160696</c:v>
                </c:pt>
                <c:pt idx="803">
                  <c:v>11.122178828920653</c:v>
                </c:pt>
                <c:pt idx="804">
                  <c:v>11.010060982250931</c:v>
                </c:pt>
                <c:pt idx="805">
                  <c:v>10.903510121546661</c:v>
                </c:pt>
                <c:pt idx="806">
                  <c:v>10.794437781142992</c:v>
                </c:pt>
                <c:pt idx="807">
                  <c:v>10.688059342216089</c:v>
                </c:pt>
                <c:pt idx="808">
                  <c:v>10.583259271923032</c:v>
                </c:pt>
                <c:pt idx="809">
                  <c:v>10.477286037439907</c:v>
                </c:pt>
                <c:pt idx="810">
                  <c:v>10.373930149283492</c:v>
                </c:pt>
                <c:pt idx="811">
                  <c:v>10.27210895478167</c:v>
                </c:pt>
                <c:pt idx="812">
                  <c:v>10.169151944135477</c:v>
                </c:pt>
                <c:pt idx="813">
                  <c:v>10.068737517594045</c:v>
                </c:pt>
                <c:pt idx="814">
                  <c:v>9.9686186546731008</c:v>
                </c:pt>
                <c:pt idx="815">
                  <c:v>9.8709770024279049</c:v>
                </c:pt>
                <c:pt idx="816">
                  <c:v>9.7722404810362509</c:v>
                </c:pt>
                <c:pt idx="817">
                  <c:v>9.6749776740028359</c:v>
                </c:pt>
                <c:pt idx="818">
                  <c:v>9.5801212416205406</c:v>
                </c:pt>
                <c:pt idx="819">
                  <c:v>9.4830759222125902</c:v>
                </c:pt>
                <c:pt idx="820">
                  <c:v>9.3908379377453315</c:v>
                </c:pt>
                <c:pt idx="821">
                  <c:v>9.2975744883062141</c:v>
                </c:pt>
                <c:pt idx="822">
                  <c:v>9.2033065373887304</c:v>
                </c:pt>
                <c:pt idx="823">
                  <c:v>9.1137058288565367</c:v>
                </c:pt>
                <c:pt idx="824">
                  <c:v>9.0220380959893198</c:v>
                </c:pt>
                <c:pt idx="825">
                  <c:v>8.9326079146278232</c:v>
                </c:pt>
                <c:pt idx="826">
                  <c:v>8.8445102140229235</c:v>
                </c:pt>
                <c:pt idx="827">
                  <c:v>8.7554714524307453</c:v>
                </c:pt>
                <c:pt idx="828">
                  <c:v>8.6686058958407948</c:v>
                </c:pt>
                <c:pt idx="829">
                  <c:v>8.5820144350864176</c:v>
                </c:pt>
                <c:pt idx="830">
                  <c:v>8.4975656679614957</c:v>
                </c:pt>
                <c:pt idx="831">
                  <c:v>8.4121840560264154</c:v>
                </c:pt>
                <c:pt idx="832">
                  <c:v>8.3280808691459463</c:v>
                </c:pt>
                <c:pt idx="833">
                  <c:v>8.246058803613284</c:v>
                </c:pt>
                <c:pt idx="834">
                  <c:v>8.1631339062124244</c:v>
                </c:pt>
                <c:pt idx="835">
                  <c:v>8.0814513926795346</c:v>
                </c:pt>
                <c:pt idx="836">
                  <c:v>8.0017903430555766</c:v>
                </c:pt>
                <c:pt idx="837">
                  <c:v>7.9203044710189499</c:v>
                </c:pt>
                <c:pt idx="838">
                  <c:v>7.8428674427827083</c:v>
                </c:pt>
                <c:pt idx="839">
                  <c:v>7.7645610016251387</c:v>
                </c:pt>
                <c:pt idx="840">
                  <c:v>7.685426885068714</c:v>
                </c:pt>
                <c:pt idx="841">
                  <c:v>7.610223653407715</c:v>
                </c:pt>
                <c:pt idx="842">
                  <c:v>7.5332813852309961</c:v>
                </c:pt>
                <c:pt idx="843">
                  <c:v>7.4582178790934188</c:v>
                </c:pt>
                <c:pt idx="844">
                  <c:v>7.3842990049763531</c:v>
                </c:pt>
                <c:pt idx="845">
                  <c:v>7.3104518086956389</c:v>
                </c:pt>
                <c:pt idx="846">
                  <c:v>7.2358281763405081</c:v>
                </c:pt>
                <c:pt idx="847">
                  <c:v>7.1640564648005682</c:v>
                </c:pt>
                <c:pt idx="848">
                  <c:v>7.0940439033486555</c:v>
                </c:pt>
                <c:pt idx="849">
                  <c:v>7.0207382326900243</c:v>
                </c:pt>
                <c:pt idx="850">
                  <c:v>6.9510453107818631</c:v>
                </c:pt>
                <c:pt idx="851">
                  <c:v>6.8814161728154497</c:v>
                </c:pt>
                <c:pt idx="852">
                  <c:v>6.8135111252865652</c:v>
                </c:pt>
                <c:pt idx="853">
                  <c:v>6.7442110450038886</c:v>
                </c:pt>
                <c:pt idx="854">
                  <c:v>6.6766021851754216</c:v>
                </c:pt>
                <c:pt idx="855">
                  <c:v>6.6106678771320979</c:v>
                </c:pt>
                <c:pt idx="856">
                  <c:v>6.5433816705376859</c:v>
                </c:pt>
                <c:pt idx="857">
                  <c:v>6.4777375541239337</c:v>
                </c:pt>
                <c:pt idx="858">
                  <c:v>6.4137191540232683</c:v>
                </c:pt>
                <c:pt idx="859">
                  <c:v>6.3483904012347017</c:v>
                </c:pt>
                <c:pt idx="860">
                  <c:v>6.2846562958602297</c:v>
                </c:pt>
                <c:pt idx="861">
                  <c:v>6.2210200422484903</c:v>
                </c:pt>
                <c:pt idx="862">
                  <c:v>6.1605406263368767</c:v>
                </c:pt>
                <c:pt idx="863">
                  <c:v>6.097196836781154</c:v>
                </c:pt>
                <c:pt idx="864">
                  <c:v>6.0354153411604603</c:v>
                </c:pt>
                <c:pt idx="865">
                  <c:v>5.9766977001147286</c:v>
                </c:pt>
                <c:pt idx="866">
                  <c:v>5.9152022142072633</c:v>
                </c:pt>
                <c:pt idx="867">
                  <c:v>5.8552232931446708</c:v>
                </c:pt>
                <c:pt idx="868">
                  <c:v>5.7982180539525716</c:v>
                </c:pt>
                <c:pt idx="869">
                  <c:v>5.7385190727434727</c:v>
                </c:pt>
                <c:pt idx="870">
                  <c:v>5.6802923607300952</c:v>
                </c:pt>
                <c:pt idx="871">
                  <c:v>5.6249517052938911</c:v>
                </c:pt>
                <c:pt idx="872">
                  <c:v>5.5665160514078185</c:v>
                </c:pt>
                <c:pt idx="873">
                  <c:v>5.5109525734934648</c:v>
                </c:pt>
                <c:pt idx="874">
                  <c:v>5.4554477320574062</c:v>
                </c:pt>
                <c:pt idx="875">
                  <c:v>5.4013177837007333</c:v>
                </c:pt>
                <c:pt idx="876">
                  <c:v>5.3460897998229475</c:v>
                </c:pt>
                <c:pt idx="877">
                  <c:v>5.2922104817855429</c:v>
                </c:pt>
                <c:pt idx="878">
                  <c:v>5.2396658392930346</c:v>
                </c:pt>
                <c:pt idx="879">
                  <c:v>5.1860567987628219</c:v>
                </c:pt>
                <c:pt idx="880">
                  <c:v>5.1337568922102443</c:v>
                </c:pt>
                <c:pt idx="881">
                  <c:v>5.0827527727054331</c:v>
                </c:pt>
                <c:pt idx="882">
                  <c:v>5.0307170545210393</c:v>
                </c:pt>
                <c:pt idx="883">
                  <c:v>4.9799518516257448</c:v>
                </c:pt>
                <c:pt idx="884">
                  <c:v>4.9292712019261433</c:v>
                </c:pt>
                <c:pt idx="885">
                  <c:v>4.8810989679215728</c:v>
                </c:pt>
                <c:pt idx="886">
                  <c:v>4.8306638557220518</c:v>
                </c:pt>
                <c:pt idx="887">
                  <c:v>4.7814728873958217</c:v>
                </c:pt>
                <c:pt idx="888">
                  <c:v>4.734715790100652</c:v>
                </c:pt>
                <c:pt idx="889">
                  <c:v>4.6857644073775377</c:v>
                </c:pt>
                <c:pt idx="890">
                  <c:v>4.6380208512929615</c:v>
                </c:pt>
                <c:pt idx="891">
                  <c:v>4.5926389961002627</c:v>
                </c:pt>
                <c:pt idx="892">
                  <c:v>4.545129219408679</c:v>
                </c:pt>
                <c:pt idx="893">
                  <c:v>4.4987916184450629</c:v>
                </c:pt>
                <c:pt idx="894">
                  <c:v>4.4536811655397432</c:v>
                </c:pt>
                <c:pt idx="895">
                  <c:v>4.4096903509084404</c:v>
                </c:pt>
                <c:pt idx="896">
                  <c:v>4.3636651216877267</c:v>
                </c:pt>
                <c:pt idx="897">
                  <c:v>4.3198845901640688</c:v>
                </c:pt>
                <c:pt idx="898">
                  <c:v>4.2771907856577558</c:v>
                </c:pt>
                <c:pt idx="899">
                  <c:v>4.2325242999443402</c:v>
                </c:pt>
                <c:pt idx="900">
                  <c:v>4.1900357430486963</c:v>
                </c:pt>
                <c:pt idx="901">
                  <c:v>4.1486017950694967</c:v>
                </c:pt>
                <c:pt idx="902">
                  <c:v>4.105255099262811</c:v>
                </c:pt>
                <c:pt idx="903">
                  <c:v>4.0640215629483691</c:v>
                </c:pt>
                <c:pt idx="904">
                  <c:v>4.023811493756515</c:v>
                </c:pt>
                <c:pt idx="905">
                  <c:v>3.981746873636737</c:v>
                </c:pt>
                <c:pt idx="906">
                  <c:v>3.9417323957571924</c:v>
                </c:pt>
                <c:pt idx="907">
                  <c:v>3.9017825135941644</c:v>
                </c:pt>
                <c:pt idx="908">
                  <c:v>3.8628111796568443</c:v>
                </c:pt>
                <c:pt idx="909">
                  <c:v>3.823061595435941</c:v>
                </c:pt>
                <c:pt idx="910">
                  <c:v>3.7842943304139802</c:v>
                </c:pt>
                <c:pt idx="911">
                  <c:v>3.746476707204796</c:v>
                </c:pt>
                <c:pt idx="912">
                  <c:v>3.7079049207623678</c:v>
                </c:pt>
                <c:pt idx="913">
                  <c:v>3.6702865986683988</c:v>
                </c:pt>
                <c:pt idx="914">
                  <c:v>3.6335897299306539</c:v>
                </c:pt>
                <c:pt idx="915">
                  <c:v>3.5961617390464076</c:v>
                </c:pt>
                <c:pt idx="916">
                  <c:v>3.5596588858498732</c:v>
                </c:pt>
                <c:pt idx="917">
                  <c:v>3.5232080931065566</c:v>
                </c:pt>
                <c:pt idx="918">
                  <c:v>3.4885666505111828</c:v>
                </c:pt>
                <c:pt idx="919">
                  <c:v>3.4523137665874097</c:v>
                </c:pt>
                <c:pt idx="920">
                  <c:v>3.416945575911603</c:v>
                </c:pt>
                <c:pt idx="921">
                  <c:v>3.383332430531667</c:v>
                </c:pt>
                <c:pt idx="922">
                  <c:v>3.3481568224655955</c:v>
                </c:pt>
                <c:pt idx="923">
                  <c:v>3.3138397850500132</c:v>
                </c:pt>
                <c:pt idx="924">
                  <c:v>3.281225286910443</c:v>
                </c:pt>
                <c:pt idx="925">
                  <c:v>3.2470925928414971</c:v>
                </c:pt>
                <c:pt idx="926">
                  <c:v>3.2138026310303087</c:v>
                </c:pt>
                <c:pt idx="927">
                  <c:v>3.1821546885754235</c:v>
                </c:pt>
                <c:pt idx="928">
                  <c:v>3.1490380631443919</c:v>
                </c:pt>
                <c:pt idx="929">
                  <c:v>3.11673899167132</c:v>
                </c:pt>
                <c:pt idx="930">
                  <c:v>3.0852983573728001</c:v>
                </c:pt>
                <c:pt idx="931">
                  <c:v>3.0546294649913754</c:v>
                </c:pt>
                <c:pt idx="932">
                  <c:v>3.0225657885406538</c:v>
                </c:pt>
                <c:pt idx="933">
                  <c:v>2.9920588830547632</c:v>
                </c:pt>
                <c:pt idx="934">
                  <c:v>2.962309632232373</c:v>
                </c:pt>
                <c:pt idx="935">
                  <c:v>2.9311991351181375</c:v>
                </c:pt>
                <c:pt idx="936">
                  <c:v>2.9016017206130544</c:v>
                </c:pt>
                <c:pt idx="937">
                  <c:v>2.8727394664160641</c:v>
                </c:pt>
                <c:pt idx="938">
                  <c:v>2.8425574497289792</c:v>
                </c:pt>
                <c:pt idx="939">
                  <c:v>2.8138430979548255</c:v>
                </c:pt>
                <c:pt idx="940">
                  <c:v>2.7851790976496482</c:v>
                </c:pt>
                <c:pt idx="941">
                  <c:v>2.7572175644475019</c:v>
                </c:pt>
                <c:pt idx="942">
                  <c:v>2.7287044333765924</c:v>
                </c:pt>
                <c:pt idx="943">
                  <c:v>2.7008965285126347</c:v>
                </c:pt>
                <c:pt idx="944">
                  <c:v>2.6737702325351642</c:v>
                </c:pt>
                <c:pt idx="945">
                  <c:v>2.64610935039601</c:v>
                </c:pt>
                <c:pt idx="946">
                  <c:v>2.6191326858917297</c:v>
                </c:pt>
                <c:pt idx="947">
                  <c:v>2.5928172473446418</c:v>
                </c:pt>
                <c:pt idx="948">
                  <c:v>2.5659836771467419</c:v>
                </c:pt>
                <c:pt idx="949">
                  <c:v>2.5398138994865009</c:v>
                </c:pt>
                <c:pt idx="950">
                  <c:v>2.5142856289101805</c:v>
                </c:pt>
                <c:pt idx="951">
                  <c:v>2.4882552471183725</c:v>
                </c:pt>
                <c:pt idx="952">
                  <c:v>2.46286870362955</c:v>
                </c:pt>
                <c:pt idx="953">
                  <c:v>2.4375218924301763</c:v>
                </c:pt>
                <c:pt idx="954">
                  <c:v>2.4134305118832828</c:v>
                </c:pt>
                <c:pt idx="955">
                  <c:v>2.3882277382165218</c:v>
                </c:pt>
                <c:pt idx="956">
                  <c:v>2.3636403482165864</c:v>
                </c:pt>
                <c:pt idx="957">
                  <c:v>2.3402705034178064</c:v>
                </c:pt>
                <c:pt idx="958">
                  <c:v>2.3158232463909627</c:v>
                </c:pt>
                <c:pt idx="959">
                  <c:v>2.2919730322887242</c:v>
                </c:pt>
                <c:pt idx="960">
                  <c:v>2.2693036892121765</c:v>
                </c:pt>
                <c:pt idx="961">
                  <c:v>2.2455897767469608</c:v>
                </c:pt>
                <c:pt idx="962">
                  <c:v>2.2224551005274953</c:v>
                </c:pt>
                <c:pt idx="963">
                  <c:v>2.1999420808688481</c:v>
                </c:pt>
                <c:pt idx="964">
                  <c:v>2.1779819557215525</c:v>
                </c:pt>
                <c:pt idx="965">
                  <c:v>2.1550235126128117</c:v>
                </c:pt>
                <c:pt idx="966">
                  <c:v>2.1331862559891168</c:v>
                </c:pt>
                <c:pt idx="967">
                  <c:v>2.1118853638386166</c:v>
                </c:pt>
                <c:pt idx="968">
                  <c:v>2.0896167313739462</c:v>
                </c:pt>
                <c:pt idx="969">
                  <c:v>2.0684354693231262</c:v>
                </c:pt>
                <c:pt idx="970">
                  <c:v>2.0477744367692008</c:v>
                </c:pt>
                <c:pt idx="971">
                  <c:v>2.026175224408084</c:v>
                </c:pt>
                <c:pt idx="972">
                  <c:v>2.0056305840709276</c:v>
                </c:pt>
                <c:pt idx="973">
                  <c:v>1.9855906251734314</c:v>
                </c:pt>
                <c:pt idx="974">
                  <c:v>1.9646411629102722</c:v>
                </c:pt>
                <c:pt idx="975">
                  <c:v>1.9447143679258545</c:v>
                </c:pt>
                <c:pt idx="976">
                  <c:v>1.9248170192054324</c:v>
                </c:pt>
                <c:pt idx="977">
                  <c:v>1.9054134397014422</c:v>
                </c:pt>
                <c:pt idx="978">
                  <c:v>1.8856309914751559</c:v>
                </c:pt>
                <c:pt idx="979">
                  <c:v>1.8663325867209886</c:v>
                </c:pt>
                <c:pt idx="980">
                  <c:v>1.8475130610664434</c:v>
                </c:pt>
                <c:pt idx="981">
                  <c:v>1.8283263297784609</c:v>
                </c:pt>
                <c:pt idx="982">
                  <c:v>1.8096091260999714</c:v>
                </c:pt>
                <c:pt idx="983">
                  <c:v>1.7913564794292249</c:v>
                </c:pt>
                <c:pt idx="984">
                  <c:v>1.7727478612474206</c:v>
                </c:pt>
                <c:pt idx="985">
                  <c:v>1.7545946170564772</c:v>
                </c:pt>
                <c:pt idx="986">
                  <c:v>1.736478655728211</c:v>
                </c:pt>
                <c:pt idx="987">
                  <c:v>1.7192534818172418</c:v>
                </c:pt>
                <c:pt idx="988">
                  <c:v>1.7012384425499334</c:v>
                </c:pt>
                <c:pt idx="989">
                  <c:v>1.6836688097495869</c:v>
                </c:pt>
                <c:pt idx="990">
                  <c:v>1.6669630551746366</c:v>
                </c:pt>
                <c:pt idx="991">
                  <c:v>1.6494915392053053</c:v>
                </c:pt>
                <c:pt idx="992">
                  <c:v>1.6324520112162781</c:v>
                </c:pt>
                <c:pt idx="993">
                  <c:v>1.6162502525607114</c:v>
                </c:pt>
                <c:pt idx="994">
                  <c:v>1.599306146364587</c:v>
                </c:pt>
                <c:pt idx="995">
                  <c:v>1.5827809547812357</c:v>
                </c:pt>
                <c:pt idx="996">
                  <c:v>1.5670682044262627</c:v>
                </c:pt>
                <c:pt idx="997">
                  <c:v>1.5505014282194423</c:v>
                </c:pt>
                <c:pt idx="998">
                  <c:v>1.5347427889980669</c:v>
                </c:pt>
                <c:pt idx="999">
                  <c:v>1.5190083752964991</c:v>
                </c:pt>
                <c:pt idx="1000">
                  <c:v>1.5036645960035973</c:v>
                </c:pt>
                <c:pt idx="1001">
                  <c:v>1.4880228126358321</c:v>
                </c:pt>
                <c:pt idx="1002">
                  <c:v>1.4727639452122883</c:v>
                </c:pt>
                <c:pt idx="1003">
                  <c:v>1.457883882692329</c:v>
                </c:pt>
                <c:pt idx="1004">
                  <c:v>1.4427149528927481</c:v>
                </c:pt>
                <c:pt idx="1005">
                  <c:v>1.427917397293635</c:v>
                </c:pt>
                <c:pt idx="1006">
                  <c:v>1.4134872300611436</c:v>
                </c:pt>
                <c:pt idx="1007">
                  <c:v>1.3987771625042278</c:v>
                </c:pt>
                <c:pt idx="1008">
                  <c:v>1.3844272357879612</c:v>
                </c:pt>
                <c:pt idx="1009">
                  <c:v>1.3701074777623181</c:v>
                </c:pt>
                <c:pt idx="1010">
                  <c:v>1.356491438478606</c:v>
                </c:pt>
                <c:pt idx="1011">
                  <c:v>1.3422529669972423</c:v>
                </c:pt>
                <c:pt idx="1012">
                  <c:v>1.3283666300220427</c:v>
                </c:pt>
                <c:pt idx="1013">
                  <c:v>1.3151626716868887</c:v>
                </c:pt>
                <c:pt idx="1014">
                  <c:v>1.3013553501858159</c:v>
                </c:pt>
                <c:pt idx="1015">
                  <c:v>1.287889496356539</c:v>
                </c:pt>
                <c:pt idx="1016">
                  <c:v>1.2750853468156016</c:v>
                </c:pt>
                <c:pt idx="1017">
                  <c:v>1.2616962973400878</c:v>
                </c:pt>
                <c:pt idx="1018">
                  <c:v>1.2486383927907445</c:v>
                </c:pt>
                <c:pt idx="1019">
                  <c:v>1.235926660622823</c:v>
                </c:pt>
                <c:pt idx="1020">
                  <c:v>1.2235311480612243</c:v>
                </c:pt>
                <c:pt idx="1021">
                  <c:v>1.2105766376977201</c:v>
                </c:pt>
                <c:pt idx="1022">
                  <c:v>1.1982501920132183</c:v>
                </c:pt>
                <c:pt idx="1023">
                  <c:v>1.1862303553205586</c:v>
                </c:pt>
                <c:pt idx="1024">
                  <c:v>1.1736686517372512</c:v>
                </c:pt>
                <c:pt idx="1025">
                  <c:v>1.1617159645870532</c:v>
                </c:pt>
                <c:pt idx="1026">
                  <c:v>1.1500605974988034</c:v>
                </c:pt>
                <c:pt idx="1027">
                  <c:v>1.1378799080311324</c:v>
                </c:pt>
                <c:pt idx="1028">
                  <c:v>1.1262897492482045</c:v>
                </c:pt>
                <c:pt idx="1029">
                  <c:v>1.1149879881621783</c:v>
                </c:pt>
                <c:pt idx="1030">
                  <c:v>1.1031769822558837</c:v>
                </c:pt>
                <c:pt idx="1031">
                  <c:v>1.0919385194760978</c:v>
                </c:pt>
                <c:pt idx="1032">
                  <c:v>1.0807224130288478</c:v>
                </c:pt>
                <c:pt idx="1033">
                  <c:v>1.0697817172818505</c:v>
                </c:pt>
                <c:pt idx="1034">
                  <c:v>1.0586298504498846</c:v>
                </c:pt>
                <c:pt idx="1035">
                  <c:v>1.0477542985169208</c:v>
                </c:pt>
                <c:pt idx="1036">
                  <c:v>1.0371458456730855</c:v>
                </c:pt>
                <c:pt idx="1037">
                  <c:v>1.0263326702705962</c:v>
                </c:pt>
                <c:pt idx="1038">
                  <c:v>1.0157874001471541</c:v>
                </c:pt>
                <c:pt idx="1039">
                  <c:v>1.0055011163992491</c:v>
                </c:pt>
                <c:pt idx="1040">
                  <c:v>0.9950164583665263</c:v>
                </c:pt>
                <c:pt idx="1041">
                  <c:v>0.98479159819438988</c:v>
                </c:pt>
                <c:pt idx="1042">
                  <c:v>0.97458491354441701</c:v>
                </c:pt>
                <c:pt idx="1043">
                  <c:v>0.96488241549709741</c:v>
                </c:pt>
                <c:pt idx="1044">
                  <c:v>0.95473772518647659</c:v>
                </c:pt>
                <c:pt idx="1045">
                  <c:v>0.94484126065803298</c:v>
                </c:pt>
                <c:pt idx="1046">
                  <c:v>0.93543365079828711</c:v>
                </c:pt>
                <c:pt idx="1047">
                  <c:v>0.92559746562187462</c:v>
                </c:pt>
                <c:pt idx="1048">
                  <c:v>0.91600197072768164</c:v>
                </c:pt>
                <c:pt idx="1049">
                  <c:v>0.90688037024475376</c:v>
                </c:pt>
                <c:pt idx="1050">
                  <c:v>0.89734240844650437</c:v>
                </c:pt>
                <c:pt idx="1051">
                  <c:v>0.88804057087398836</c:v>
                </c:pt>
                <c:pt idx="1052">
                  <c:v>0.87919555487669254</c:v>
                </c:pt>
                <c:pt idx="1053">
                  <c:v>0.8699478144273729</c:v>
                </c:pt>
                <c:pt idx="1054">
                  <c:v>0.86092899937227063</c:v>
                </c:pt>
                <c:pt idx="1055">
                  <c:v>0.85215026171236918</c:v>
                </c:pt>
                <c:pt idx="1056">
                  <c:v>0.84358751352275219</c:v>
                </c:pt>
                <c:pt idx="1057">
                  <c:v>0.83464241489692892</c:v>
                </c:pt>
                <c:pt idx="1058">
                  <c:v>0.82613004540074142</c:v>
                </c:pt>
                <c:pt idx="1059">
                  <c:v>0.81782957936423972</c:v>
                </c:pt>
                <c:pt idx="1060">
                  <c:v>0.80915601228924661</c:v>
                </c:pt>
                <c:pt idx="1061">
                  <c:v>0.80090281293266796</c:v>
                </c:pt>
                <c:pt idx="1062">
                  <c:v>0.79285510219047861</c:v>
                </c:pt>
                <c:pt idx="1063">
                  <c:v>0.7844457129285024</c:v>
                </c:pt>
                <c:pt idx="1064">
                  <c:v>0.77644385693602114</c:v>
                </c:pt>
                <c:pt idx="1065">
                  <c:v>0.76845833389363638</c:v>
                </c:pt>
                <c:pt idx="1066">
                  <c:v>0.76066902358789834</c:v>
                </c:pt>
                <c:pt idx="1067">
                  <c:v>0.75272989858349881</c:v>
                </c:pt>
                <c:pt idx="1068">
                  <c:v>0.74498766467620248</c:v>
                </c:pt>
                <c:pt idx="1069">
                  <c:v>0.73743569674661791</c:v>
                </c:pt>
                <c:pt idx="1070">
                  <c:v>0.72973851105162313</c:v>
                </c:pt>
                <c:pt idx="1071">
                  <c:v>0.72223219992625753</c:v>
                </c:pt>
                <c:pt idx="1072">
                  <c:v>0.71491036458815038</c:v>
                </c:pt>
                <c:pt idx="1073">
                  <c:v>0.70744781865790285</c:v>
                </c:pt>
                <c:pt idx="1074">
                  <c:v>0.70017033970961895</c:v>
                </c:pt>
                <c:pt idx="1075">
                  <c:v>0.6930717245833321</c:v>
                </c:pt>
                <c:pt idx="1076">
                  <c:v>0.68583667259965253</c:v>
                </c:pt>
                <c:pt idx="1077">
                  <c:v>0.67878106029695562</c:v>
                </c:pt>
                <c:pt idx="1078">
                  <c:v>0.67173834313432323</c:v>
                </c:pt>
                <c:pt idx="1079">
                  <c:v>0.66504341927143051</c:v>
                </c:pt>
                <c:pt idx="1080">
                  <c:v>0.65804406483104294</c:v>
                </c:pt>
                <c:pt idx="1081">
                  <c:v>0.65121614018361262</c:v>
                </c:pt>
                <c:pt idx="1082">
                  <c:v>0.64472541936240013</c:v>
                </c:pt>
                <c:pt idx="1083">
                  <c:v>0.63793958254449568</c:v>
                </c:pt>
                <c:pt idx="1084">
                  <c:v>0.63131995558496323</c:v>
                </c:pt>
                <c:pt idx="1085">
                  <c:v>0.625027250477873</c:v>
                </c:pt>
                <c:pt idx="1086">
                  <c:v>0.61844849420996217</c:v>
                </c:pt>
                <c:pt idx="1087">
                  <c:v>0.61203087229042852</c:v>
                </c:pt>
                <c:pt idx="1088">
                  <c:v>0.60578597726951555</c:v>
                </c:pt>
                <c:pt idx="1089">
                  <c:v>0.59969486038798414</c:v>
                </c:pt>
                <c:pt idx="1090">
                  <c:v>0.59333039914142383</c:v>
                </c:pt>
                <c:pt idx="1091">
                  <c:v>0.58727613382840238</c:v>
                </c:pt>
                <c:pt idx="1092">
                  <c:v>0.58137094677378975</c:v>
                </c:pt>
                <c:pt idx="1093">
                  <c:v>0.57520077154195504</c:v>
                </c:pt>
                <c:pt idx="1094">
                  <c:v>0.56933132246465568</c:v>
                </c:pt>
                <c:pt idx="1095">
                  <c:v>0.56360640995611355</c:v>
                </c:pt>
                <c:pt idx="1096">
                  <c:v>0.55762465092860369</c:v>
                </c:pt>
                <c:pt idx="1097">
                  <c:v>0.55193442858694419</c:v>
                </c:pt>
                <c:pt idx="1098">
                  <c:v>0.54638433178202739</c:v>
                </c:pt>
                <c:pt idx="1099">
                  <c:v>0.54058524991140278</c:v>
                </c:pt>
                <c:pt idx="1100">
                  <c:v>0.53506881373021453</c:v>
                </c:pt>
                <c:pt idx="1101">
                  <c:v>0.52956167077026306</c:v>
                </c:pt>
                <c:pt idx="1102">
                  <c:v>0.52419154327647965</c:v>
                </c:pt>
                <c:pt idx="1103">
                  <c:v>0.51871834049179288</c:v>
                </c:pt>
                <c:pt idx="1104">
                  <c:v>0.51337942786584112</c:v>
                </c:pt>
                <c:pt idx="1105">
                  <c:v>0.50817334609044784</c:v>
                </c:pt>
                <c:pt idx="1106">
                  <c:v>0.50286734771582131</c:v>
                </c:pt>
                <c:pt idx="1107">
                  <c:v>0.49769155307965679</c:v>
                </c:pt>
                <c:pt idx="1108">
                  <c:v>0.4926445548802309</c:v>
                </c:pt>
                <c:pt idx="1109">
                  <c:v>0.48750070036575482</c:v>
                </c:pt>
                <c:pt idx="1110">
                  <c:v>0.48248308682116747</c:v>
                </c:pt>
                <c:pt idx="1111">
                  <c:v>0.47747668547526229</c:v>
                </c:pt>
                <c:pt idx="1112">
                  <c:v>0.47271617719330283</c:v>
                </c:pt>
                <c:pt idx="1113">
                  <c:v>0.46773942031072646</c:v>
                </c:pt>
                <c:pt idx="1114">
                  <c:v>0.46288602025450498</c:v>
                </c:pt>
                <c:pt idx="1115">
                  <c:v>0.45827100704938545</c:v>
                </c:pt>
                <c:pt idx="1116">
                  <c:v>0.45344637077380368</c:v>
                </c:pt>
                <c:pt idx="1117">
                  <c:v>0.44874134818418698</c:v>
                </c:pt>
                <c:pt idx="1118">
                  <c:v>0.44426743829338161</c:v>
                </c:pt>
                <c:pt idx="1119">
                  <c:v>0.43959030662965909</c:v>
                </c:pt>
                <c:pt idx="1120">
                  <c:v>0.43502911407760048</c:v>
                </c:pt>
                <c:pt idx="1121">
                  <c:v>0.43069201159484699</c:v>
                </c:pt>
                <c:pt idx="1122">
                  <c:v>0.42612095235920516</c:v>
                </c:pt>
                <c:pt idx="1123">
                  <c:v>0.42177274072558651</c:v>
                </c:pt>
                <c:pt idx="1124">
                  <c:v>0.41743192019782194</c:v>
                </c:pt>
                <c:pt idx="1125">
                  <c:v>0.4131991471543805</c:v>
                </c:pt>
                <c:pt idx="1126">
                  <c:v>0.40888519072061463</c:v>
                </c:pt>
                <c:pt idx="1127">
                  <c:v>0.40467712754215934</c:v>
                </c:pt>
                <c:pt idx="1128">
                  <c:v>0.40057381066852071</c:v>
                </c:pt>
                <c:pt idx="1129">
                  <c:v>0.39639178999293734</c:v>
                </c:pt>
                <c:pt idx="1130">
                  <c:v>0.39231243687582051</c:v>
                </c:pt>
                <c:pt idx="1131">
                  <c:v>0.38833465082055557</c:v>
                </c:pt>
                <c:pt idx="1132">
                  <c:v>0.38428056083507739</c:v>
                </c:pt>
                <c:pt idx="1133">
                  <c:v>0.3803259958472725</c:v>
                </c:pt>
                <c:pt idx="1134">
                  <c:v>0.37638030358652969</c:v>
                </c:pt>
                <c:pt idx="1135">
                  <c:v>0.37262849709767365</c:v>
                </c:pt>
                <c:pt idx="1136">
                  <c:v>0.36870625272770829</c:v>
                </c:pt>
                <c:pt idx="1137">
                  <c:v>0.36488127275948479</c:v>
                </c:pt>
                <c:pt idx="1138">
                  <c:v>0.36124425945860134</c:v>
                </c:pt>
                <c:pt idx="1139">
                  <c:v>0.35744201914637691</c:v>
                </c:pt>
                <c:pt idx="1140">
                  <c:v>0.3537340879329598</c:v>
                </c:pt>
                <c:pt idx="1141">
                  <c:v>0.3502083728220825</c:v>
                </c:pt>
                <c:pt idx="1142">
                  <c:v>0.34652247008834458</c:v>
                </c:pt>
                <c:pt idx="1143">
                  <c:v>0.34292800015463681</c:v>
                </c:pt>
                <c:pt idx="1144">
                  <c:v>0.33942905560006892</c:v>
                </c:pt>
                <c:pt idx="1145">
                  <c:v>0.33601737599521792</c:v>
                </c:pt>
                <c:pt idx="1146">
                  <c:v>0.33245261128523307</c:v>
                </c:pt>
                <c:pt idx="1147">
                  <c:v>0.32906075617078334</c:v>
                </c:pt>
                <c:pt idx="1148">
                  <c:v>0.32575350855624291</c:v>
                </c:pt>
                <c:pt idx="1149">
                  <c:v>0.32229784886454121</c:v>
                </c:pt>
                <c:pt idx="1150">
                  <c:v>0.31900980303559401</c:v>
                </c:pt>
                <c:pt idx="1151">
                  <c:v>0.31580377988779151</c:v>
                </c:pt>
                <c:pt idx="1152">
                  <c:v>0.31245389102314997</c:v>
                </c:pt>
                <c:pt idx="1153">
                  <c:v>0.30926649878536766</c:v>
                </c:pt>
                <c:pt idx="1154">
                  <c:v>0.30615861556830154</c:v>
                </c:pt>
                <c:pt idx="1155">
                  <c:v>0.30291125417186038</c:v>
                </c:pt>
                <c:pt idx="1156">
                  <c:v>0.29982143412087375</c:v>
                </c:pt>
                <c:pt idx="1157">
                  <c:v>0.296738075614151</c:v>
                </c:pt>
                <c:pt idx="1158">
                  <c:v>0.2937306391089774</c:v>
                </c:pt>
                <c:pt idx="1159">
                  <c:v>0.29066551305203964</c:v>
                </c:pt>
                <c:pt idx="1160">
                  <c:v>0.2876765512623885</c:v>
                </c:pt>
                <c:pt idx="1161">
                  <c:v>0.2847611865031312</c:v>
                </c:pt>
                <c:pt idx="1162">
                  <c:v>0.28178990264034381</c:v>
                </c:pt>
                <c:pt idx="1163">
                  <c:v>0.27889245619559244</c:v>
                </c:pt>
                <c:pt idx="1164">
                  <c:v>0.27606636062192275</c:v>
                </c:pt>
                <c:pt idx="1165">
                  <c:v>0.27318603307002826</c:v>
                </c:pt>
                <c:pt idx="1166">
                  <c:v>0.27037728322063942</c:v>
                </c:pt>
                <c:pt idx="1167">
                  <c:v>0.26757377338473026</c:v>
                </c:pt>
                <c:pt idx="1168">
                  <c:v>0.26490890036471787</c:v>
                </c:pt>
                <c:pt idx="1169">
                  <c:v>0.26212285091171361</c:v>
                </c:pt>
                <c:pt idx="1170">
                  <c:v>0.25940517937544999</c:v>
                </c:pt>
                <c:pt idx="1171">
                  <c:v>0.25682191045235081</c:v>
                </c:pt>
                <c:pt idx="1172">
                  <c:v>0.25412116577765159</c:v>
                </c:pt>
                <c:pt idx="1173">
                  <c:v>0.25148670458829708</c:v>
                </c:pt>
                <c:pt idx="1174">
                  <c:v>0.24898255218335649</c:v>
                </c:pt>
                <c:pt idx="1175">
                  <c:v>0.24636426358283564</c:v>
                </c:pt>
                <c:pt idx="1176">
                  <c:v>0.24381096334719282</c:v>
                </c:pt>
                <c:pt idx="1177">
                  <c:v>0.24138324370701267</c:v>
                </c:pt>
                <c:pt idx="1178">
                  <c:v>0.2388451146922656</c:v>
                </c:pt>
                <c:pt idx="1179">
                  <c:v>0.23637000647420336</c:v>
                </c:pt>
                <c:pt idx="1180">
                  <c:v>0.23396095457480887</c:v>
                </c:pt>
                <c:pt idx="1181">
                  <c:v>0.23161135015823556</c:v>
                </c:pt>
                <c:pt idx="1182">
                  <c:v>0.2291569195068604</c:v>
                </c:pt>
                <c:pt idx="1183">
                  <c:v>0.22682141250540946</c:v>
                </c:pt>
                <c:pt idx="1184">
                  <c:v>0.22454421759004597</c:v>
                </c:pt>
                <c:pt idx="1185">
                  <c:v>0.22216471189987685</c:v>
                </c:pt>
                <c:pt idx="1186">
                  <c:v>0.21990073494931572</c:v>
                </c:pt>
                <c:pt idx="1187">
                  <c:v>0.21769328046643752</c:v>
                </c:pt>
                <c:pt idx="1188">
                  <c:v>0.21538663111604131</c:v>
                </c:pt>
                <c:pt idx="1189">
                  <c:v>0.21319199745826181</c:v>
                </c:pt>
                <c:pt idx="1190">
                  <c:v>0.21100193143785215</c:v>
                </c:pt>
                <c:pt idx="1191">
                  <c:v>0.20886583312714466</c:v>
                </c:pt>
                <c:pt idx="1192">
                  <c:v>0.20668869749665017</c:v>
                </c:pt>
                <c:pt idx="1193">
                  <c:v>0.204565698883209</c:v>
                </c:pt>
                <c:pt idx="1194">
                  <c:v>0.20249502786276802</c:v>
                </c:pt>
                <c:pt idx="1195">
                  <c:v>0.20038456432387949</c:v>
                </c:pt>
                <c:pt idx="1196">
                  <c:v>0.1983265848185512</c:v>
                </c:pt>
                <c:pt idx="1197">
                  <c:v>0.19631932838970689</c:v>
                </c:pt>
                <c:pt idx="1198">
                  <c:v>0.19427348377492973</c:v>
                </c:pt>
                <c:pt idx="1199">
                  <c:v>0.19227852522512051</c:v>
                </c:pt>
                <c:pt idx="1200">
                  <c:v>0.1903327449382306</c:v>
                </c:pt>
                <c:pt idx="1201">
                  <c:v>0.18834954846757176</c:v>
                </c:pt>
                <c:pt idx="1202">
                  <c:v>0.18641568157058797</c:v>
                </c:pt>
                <c:pt idx="1203">
                  <c:v>0.18448539302294858</c:v>
                </c:pt>
                <c:pt idx="1204">
                  <c:v>0.18265066638825919</c:v>
                </c:pt>
                <c:pt idx="1205">
                  <c:v>0.18073237198716119</c:v>
                </c:pt>
                <c:pt idx="1206">
                  <c:v>0.17886119353073918</c:v>
                </c:pt>
                <c:pt idx="1207">
                  <c:v>0.17708266414339224</c:v>
                </c:pt>
                <c:pt idx="1208">
                  <c:v>0.17522310250713247</c:v>
                </c:pt>
                <c:pt idx="1209">
                  <c:v>0.17340921485671523</c:v>
                </c:pt>
                <c:pt idx="1210">
                  <c:v>0.17168515302619211</c:v>
                </c:pt>
                <c:pt idx="1211">
                  <c:v>0.16988253578372933</c:v>
                </c:pt>
                <c:pt idx="1212">
                  <c:v>0.16812419530532441</c:v>
                </c:pt>
                <c:pt idx="1213">
                  <c:v>0.1664133230250821</c:v>
                </c:pt>
                <c:pt idx="1214">
                  <c:v>0.16474470007787279</c:v>
                </c:pt>
                <c:pt idx="1215">
                  <c:v>0.16300099217955138</c:v>
                </c:pt>
                <c:pt idx="1216">
                  <c:v>0.16134251157097498</c:v>
                </c:pt>
                <c:pt idx="1217">
                  <c:v>0.15972499010635197</c:v>
                </c:pt>
                <c:pt idx="1218">
                  <c:v>0.15803466321377516</c:v>
                </c:pt>
                <c:pt idx="1219">
                  <c:v>0.15642695927475597</c:v>
                </c:pt>
                <c:pt idx="1220">
                  <c:v>0.15492874809101417</c:v>
                </c:pt>
              </c:numCache>
            </c:numRef>
          </c:yVal>
          <c:smooth val="0"/>
        </c:ser>
        <c:ser>
          <c:idx val="3"/>
          <c:order val="3"/>
          <c:tx>
            <c:v>EOH</c:v>
          </c:tx>
          <c:spPr>
            <a:ln w="28575">
              <a:solidFill>
                <a:schemeClr val="accent2"/>
              </a:solidFill>
            </a:ln>
          </c:spPr>
          <c:marker>
            <c:symbol val="none"/>
          </c:marker>
          <c:xVal>
            <c:numRef>
              <c:f>Simulation!$I$7:$I$1227</c:f>
              <c:numCache>
                <c:formatCode>General</c:formatCode>
                <c:ptCount val="1221"/>
                <c:pt idx="0">
                  <c:v>0</c:v>
                </c:pt>
                <c:pt idx="1">
                  <c:v>9.7631614442003606E-2</c:v>
                </c:pt>
                <c:pt idx="2">
                  <c:v>0.14836087435489259</c:v>
                </c:pt>
                <c:pt idx="3">
                  <c:v>0.25010487030018758</c:v>
                </c:pt>
                <c:pt idx="4">
                  <c:v>0.38848071155038549</c:v>
                </c:pt>
                <c:pt idx="5">
                  <c:v>0.52685655280058341</c:v>
                </c:pt>
                <c:pt idx="6">
                  <c:v>0.66523239405074996</c:v>
                </c:pt>
                <c:pt idx="7">
                  <c:v>0.80360823530100456</c:v>
                </c:pt>
                <c:pt idx="8">
                  <c:v>0.94198407655119609</c:v>
                </c:pt>
                <c:pt idx="9">
                  <c:v>1.0803599178013876</c:v>
                </c:pt>
                <c:pt idx="10">
                  <c:v>1.2187357590515795</c:v>
                </c:pt>
                <c:pt idx="11">
                  <c:v>1.3571116003017709</c:v>
                </c:pt>
                <c:pt idx="12">
                  <c:v>1.4954874415519628</c:v>
                </c:pt>
                <c:pt idx="13">
                  <c:v>1.6338633765276342</c:v>
                </c:pt>
                <c:pt idx="14">
                  <c:v>1.7722391240523458</c:v>
                </c:pt>
                <c:pt idx="15">
                  <c:v>1.9106150590280178</c:v>
                </c:pt>
                <c:pt idx="16">
                  <c:v>2.0489908065527294</c:v>
                </c:pt>
                <c:pt idx="17">
                  <c:v>2.1873667415284008</c:v>
                </c:pt>
                <c:pt idx="18">
                  <c:v>2.3257424890531126</c:v>
                </c:pt>
                <c:pt idx="19">
                  <c:v>2.4641184240287841</c:v>
                </c:pt>
                <c:pt idx="20">
                  <c:v>2.6024941715534955</c:v>
                </c:pt>
                <c:pt idx="21">
                  <c:v>2.7408701065292305</c:v>
                </c:pt>
                <c:pt idx="22">
                  <c:v>2.8792458540539418</c:v>
                </c:pt>
                <c:pt idx="23">
                  <c:v>3.0176217890296138</c:v>
                </c:pt>
                <c:pt idx="24">
                  <c:v>3.1559977240052857</c:v>
                </c:pt>
                <c:pt idx="25">
                  <c:v>3.294373284079037</c:v>
                </c:pt>
                <c:pt idx="26">
                  <c:v>3.432749219054708</c:v>
                </c:pt>
                <c:pt idx="27">
                  <c:v>3.5711251540303799</c:v>
                </c:pt>
                <c:pt idx="28">
                  <c:v>3.7095010890060518</c:v>
                </c:pt>
                <c:pt idx="29">
                  <c:v>3.8478766490798031</c:v>
                </c:pt>
                <c:pt idx="30">
                  <c:v>3.986252584055475</c:v>
                </c:pt>
                <c:pt idx="31">
                  <c:v>4.1246285190311474</c:v>
                </c:pt>
                <c:pt idx="32">
                  <c:v>4.2630044540068814</c:v>
                </c:pt>
                <c:pt idx="33">
                  <c:v>4.4013800140805692</c:v>
                </c:pt>
                <c:pt idx="34">
                  <c:v>4.5397559490562411</c:v>
                </c:pt>
                <c:pt idx="35">
                  <c:v>4.6781318840319761</c:v>
                </c:pt>
                <c:pt idx="36">
                  <c:v>4.816507819007648</c:v>
                </c:pt>
                <c:pt idx="37">
                  <c:v>4.9548833790813998</c:v>
                </c:pt>
                <c:pt idx="38">
                  <c:v>5.0932593140570708</c:v>
                </c:pt>
                <c:pt idx="39">
                  <c:v>5.2316352490327427</c:v>
                </c:pt>
                <c:pt idx="40">
                  <c:v>5.3700111840084146</c:v>
                </c:pt>
                <c:pt idx="41">
                  <c:v>5.5083867440821654</c:v>
                </c:pt>
                <c:pt idx="42">
                  <c:v>5.6467626790578374</c:v>
                </c:pt>
                <c:pt idx="43">
                  <c:v>5.7851386140335093</c:v>
                </c:pt>
                <c:pt idx="44">
                  <c:v>5.9235145490091812</c:v>
                </c:pt>
                <c:pt idx="45">
                  <c:v>6.0618901090829329</c:v>
                </c:pt>
                <c:pt idx="46">
                  <c:v>6.2002660440586039</c:v>
                </c:pt>
                <c:pt idx="47">
                  <c:v>6.338641979034338</c:v>
                </c:pt>
                <c:pt idx="48">
                  <c:v>6.4770175391080267</c:v>
                </c:pt>
                <c:pt idx="49">
                  <c:v>6.6153938489856818</c:v>
                </c:pt>
                <c:pt idx="50">
                  <c:v>6.7537694090593705</c:v>
                </c:pt>
                <c:pt idx="51">
                  <c:v>6.8921449691330592</c:v>
                </c:pt>
                <c:pt idx="52">
                  <c:v>7.0305212790107143</c:v>
                </c:pt>
                <c:pt idx="53">
                  <c:v>7.168896839084403</c:v>
                </c:pt>
                <c:pt idx="54">
                  <c:v>7.3072731489620582</c:v>
                </c:pt>
                <c:pt idx="55">
                  <c:v>7.4456487090357468</c:v>
                </c:pt>
                <c:pt idx="56">
                  <c:v>7.5840242691094337</c:v>
                </c:pt>
                <c:pt idx="57">
                  <c:v>7.7224005789870889</c:v>
                </c:pt>
                <c:pt idx="58">
                  <c:v>7.8607761390607775</c:v>
                </c:pt>
                <c:pt idx="59">
                  <c:v>7.9991516991344662</c:v>
                </c:pt>
                <c:pt idx="60">
                  <c:v>8.1375280090121205</c:v>
                </c:pt>
                <c:pt idx="61">
                  <c:v>8.2759035690858092</c:v>
                </c:pt>
                <c:pt idx="62">
                  <c:v>8.4142798789634643</c:v>
                </c:pt>
                <c:pt idx="63">
                  <c:v>8.552655439037153</c:v>
                </c:pt>
                <c:pt idx="64">
                  <c:v>8.6910309991114705</c:v>
                </c:pt>
                <c:pt idx="65">
                  <c:v>8.8294073089884968</c:v>
                </c:pt>
                <c:pt idx="66">
                  <c:v>8.9677828690628143</c:v>
                </c:pt>
                <c:pt idx="67">
                  <c:v>9.106158429136503</c:v>
                </c:pt>
                <c:pt idx="68">
                  <c:v>9.2445347390141581</c:v>
                </c:pt>
                <c:pt idx="69">
                  <c:v>9.3829102990878468</c:v>
                </c:pt>
                <c:pt idx="70">
                  <c:v>9.5212866089655019</c:v>
                </c:pt>
                <c:pt idx="71">
                  <c:v>9.6596621690391906</c:v>
                </c:pt>
                <c:pt idx="72">
                  <c:v>9.7980377291128775</c:v>
                </c:pt>
                <c:pt idx="73">
                  <c:v>9.9364140389905327</c:v>
                </c:pt>
                <c:pt idx="74">
                  <c:v>10.074789599064221</c:v>
                </c:pt>
                <c:pt idx="75">
                  <c:v>10.21316515913791</c:v>
                </c:pt>
                <c:pt idx="76">
                  <c:v>10.351541469015565</c:v>
                </c:pt>
                <c:pt idx="77">
                  <c:v>10.489917029089254</c:v>
                </c:pt>
                <c:pt idx="78">
                  <c:v>10.628293338966909</c:v>
                </c:pt>
                <c:pt idx="79">
                  <c:v>10.766668899040598</c:v>
                </c:pt>
                <c:pt idx="80">
                  <c:v>10.905044459114286</c:v>
                </c:pt>
                <c:pt idx="81">
                  <c:v>11.043420768991941</c:v>
                </c:pt>
                <c:pt idx="82">
                  <c:v>11.18179632906563</c:v>
                </c:pt>
                <c:pt idx="83">
                  <c:v>11.320171889139319</c:v>
                </c:pt>
                <c:pt idx="84">
                  <c:v>11.458548199016972</c:v>
                </c:pt>
                <c:pt idx="85">
                  <c:v>11.596923759090661</c:v>
                </c:pt>
                <c:pt idx="86">
                  <c:v>11.735300068968316</c:v>
                </c:pt>
                <c:pt idx="87">
                  <c:v>11.873675629042005</c:v>
                </c:pt>
                <c:pt idx="88">
                  <c:v>12.012051189115693</c:v>
                </c:pt>
                <c:pt idx="89">
                  <c:v>12.150427498993347</c:v>
                </c:pt>
                <c:pt idx="90">
                  <c:v>12.288803059067035</c:v>
                </c:pt>
                <c:pt idx="91">
                  <c:v>12.427178619140724</c:v>
                </c:pt>
                <c:pt idx="92">
                  <c:v>12.565554929018379</c:v>
                </c:pt>
                <c:pt idx="93">
                  <c:v>12.703930489092068</c:v>
                </c:pt>
                <c:pt idx="94">
                  <c:v>12.842306798969721</c:v>
                </c:pt>
                <c:pt idx="95">
                  <c:v>12.980681609240074</c:v>
                </c:pt>
                <c:pt idx="96">
                  <c:v>13.119057919117727</c:v>
                </c:pt>
                <c:pt idx="97">
                  <c:v>13.257434228995384</c:v>
                </c:pt>
                <c:pt idx="98">
                  <c:v>13.395810538872409</c:v>
                </c:pt>
                <c:pt idx="99">
                  <c:v>13.534185349142762</c:v>
                </c:pt>
                <c:pt idx="100">
                  <c:v>13.672561659020415</c:v>
                </c:pt>
                <c:pt idx="101">
                  <c:v>13.810937968898072</c:v>
                </c:pt>
                <c:pt idx="102">
                  <c:v>13.949312779167792</c:v>
                </c:pt>
                <c:pt idx="103">
                  <c:v>14.087689089045449</c:v>
                </c:pt>
                <c:pt idx="104">
                  <c:v>14.226065398923103</c:v>
                </c:pt>
                <c:pt idx="105">
                  <c:v>14.364440209192827</c:v>
                </c:pt>
                <c:pt idx="106">
                  <c:v>14.50281651907048</c:v>
                </c:pt>
                <c:pt idx="107">
                  <c:v>14.641192828948133</c:v>
                </c:pt>
                <c:pt idx="108">
                  <c:v>14.779567639217857</c:v>
                </c:pt>
                <c:pt idx="109">
                  <c:v>14.917943949095511</c:v>
                </c:pt>
                <c:pt idx="110">
                  <c:v>15.056320258973168</c:v>
                </c:pt>
                <c:pt idx="111">
                  <c:v>15.194695069242888</c:v>
                </c:pt>
                <c:pt idx="112">
                  <c:v>15.333071379120545</c:v>
                </c:pt>
                <c:pt idx="113">
                  <c:v>15.471447688998198</c:v>
                </c:pt>
                <c:pt idx="114">
                  <c:v>15.609823998875854</c:v>
                </c:pt>
                <c:pt idx="115">
                  <c:v>15.748198809145576</c:v>
                </c:pt>
                <c:pt idx="116">
                  <c:v>15.886575119023231</c:v>
                </c:pt>
                <c:pt idx="117">
                  <c:v>16.024951428900884</c:v>
                </c:pt>
                <c:pt idx="118">
                  <c:v>16.163326239170605</c:v>
                </c:pt>
                <c:pt idx="119">
                  <c:v>16.301702549048262</c:v>
                </c:pt>
                <c:pt idx="120">
                  <c:v>16.440078858925915</c:v>
                </c:pt>
                <c:pt idx="121">
                  <c:v>16.578453669195639</c:v>
                </c:pt>
                <c:pt idx="122">
                  <c:v>16.716829979073292</c:v>
                </c:pt>
                <c:pt idx="123">
                  <c:v>16.855206288950949</c:v>
                </c:pt>
                <c:pt idx="124">
                  <c:v>16.993581099221299</c:v>
                </c:pt>
                <c:pt idx="125">
                  <c:v>17.131957409098327</c:v>
                </c:pt>
                <c:pt idx="126">
                  <c:v>17.27033371897598</c:v>
                </c:pt>
                <c:pt idx="127">
                  <c:v>17.408710028853637</c:v>
                </c:pt>
                <c:pt idx="128">
                  <c:v>17.547084839123986</c:v>
                </c:pt>
                <c:pt idx="129">
                  <c:v>17.685461149001643</c:v>
                </c:pt>
                <c:pt idx="130">
                  <c:v>17.823837458879296</c:v>
                </c:pt>
                <c:pt idx="131">
                  <c:v>17.96221226914902</c:v>
                </c:pt>
                <c:pt idx="132">
                  <c:v>18.100588579026674</c:v>
                </c:pt>
                <c:pt idx="133">
                  <c:v>18.238964888904331</c:v>
                </c:pt>
                <c:pt idx="134">
                  <c:v>18.377339699174051</c:v>
                </c:pt>
                <c:pt idx="135">
                  <c:v>18.515716009051705</c:v>
                </c:pt>
                <c:pt idx="136">
                  <c:v>18.654092318929361</c:v>
                </c:pt>
                <c:pt idx="137">
                  <c:v>18.792467129199082</c:v>
                </c:pt>
                <c:pt idx="138">
                  <c:v>18.930843439076739</c:v>
                </c:pt>
                <c:pt idx="139">
                  <c:v>19.069219748954392</c:v>
                </c:pt>
                <c:pt idx="140">
                  <c:v>19.207594559224116</c:v>
                </c:pt>
                <c:pt idx="141">
                  <c:v>19.34597086910177</c:v>
                </c:pt>
                <c:pt idx="142">
                  <c:v>19.484347178979426</c:v>
                </c:pt>
                <c:pt idx="143">
                  <c:v>19.62272348885708</c:v>
                </c:pt>
                <c:pt idx="144">
                  <c:v>19.761098299126804</c:v>
                </c:pt>
                <c:pt idx="145">
                  <c:v>19.899474609004457</c:v>
                </c:pt>
                <c:pt idx="146">
                  <c:v>20.037850918882114</c:v>
                </c:pt>
                <c:pt idx="147">
                  <c:v>20.176225729151835</c:v>
                </c:pt>
                <c:pt idx="148">
                  <c:v>20.314602039029488</c:v>
                </c:pt>
                <c:pt idx="149">
                  <c:v>20.452978348907145</c:v>
                </c:pt>
                <c:pt idx="150">
                  <c:v>20.591353159176865</c:v>
                </c:pt>
                <c:pt idx="151">
                  <c:v>20.729729469054522</c:v>
                </c:pt>
                <c:pt idx="152">
                  <c:v>20.868105778932176</c:v>
                </c:pt>
                <c:pt idx="153">
                  <c:v>21.0064805892019</c:v>
                </c:pt>
                <c:pt idx="154">
                  <c:v>21.144856899079553</c:v>
                </c:pt>
                <c:pt idx="155">
                  <c:v>21.28323320895721</c:v>
                </c:pt>
                <c:pt idx="156">
                  <c:v>21.421608019227559</c:v>
                </c:pt>
                <c:pt idx="157">
                  <c:v>21.559984329105212</c:v>
                </c:pt>
                <c:pt idx="158">
                  <c:v>21.698360638982241</c:v>
                </c:pt>
                <c:pt idx="159">
                  <c:v>21.836736948859894</c:v>
                </c:pt>
                <c:pt idx="160">
                  <c:v>21.975111759130247</c:v>
                </c:pt>
                <c:pt idx="161">
                  <c:v>22.1134880690079</c:v>
                </c:pt>
                <c:pt idx="162">
                  <c:v>22.251864378885553</c:v>
                </c:pt>
                <c:pt idx="163">
                  <c:v>22.390239189155277</c:v>
                </c:pt>
                <c:pt idx="164">
                  <c:v>22.528615499032931</c:v>
                </c:pt>
                <c:pt idx="165">
                  <c:v>22.666991808910584</c:v>
                </c:pt>
                <c:pt idx="166">
                  <c:v>22.805366619180308</c:v>
                </c:pt>
                <c:pt idx="167">
                  <c:v>22.943742929057962</c:v>
                </c:pt>
                <c:pt idx="168">
                  <c:v>23.082119238935618</c:v>
                </c:pt>
                <c:pt idx="169">
                  <c:v>23.220494049205339</c:v>
                </c:pt>
                <c:pt idx="170">
                  <c:v>23.358870359082996</c:v>
                </c:pt>
                <c:pt idx="171">
                  <c:v>23.497246668960649</c:v>
                </c:pt>
                <c:pt idx="172">
                  <c:v>23.635621479230373</c:v>
                </c:pt>
                <c:pt idx="173">
                  <c:v>23.773997789108027</c:v>
                </c:pt>
                <c:pt idx="174">
                  <c:v>23.912374098985683</c:v>
                </c:pt>
                <c:pt idx="175">
                  <c:v>24.050750408863337</c:v>
                </c:pt>
                <c:pt idx="176">
                  <c:v>24.189125219133057</c:v>
                </c:pt>
                <c:pt idx="177">
                  <c:v>24.327501529010714</c:v>
                </c:pt>
                <c:pt idx="178">
                  <c:v>24.465877838888368</c:v>
                </c:pt>
                <c:pt idx="179">
                  <c:v>24.604252649158092</c:v>
                </c:pt>
                <c:pt idx="180">
                  <c:v>24.742628959035745</c:v>
                </c:pt>
                <c:pt idx="181">
                  <c:v>24.881005268913402</c:v>
                </c:pt>
                <c:pt idx="182">
                  <c:v>25.019380079183122</c:v>
                </c:pt>
                <c:pt idx="183">
                  <c:v>25.157756389060779</c:v>
                </c:pt>
                <c:pt idx="184">
                  <c:v>25.2961311993305</c:v>
                </c:pt>
                <c:pt idx="185">
                  <c:v>25.434509008816086</c:v>
                </c:pt>
                <c:pt idx="186">
                  <c:v>25.572883819085813</c:v>
                </c:pt>
                <c:pt idx="187">
                  <c:v>25.711258629356159</c:v>
                </c:pt>
                <c:pt idx="188">
                  <c:v>25.84963643884112</c:v>
                </c:pt>
                <c:pt idx="189">
                  <c:v>25.988011249111473</c:v>
                </c:pt>
                <c:pt idx="190">
                  <c:v>26.126386059381193</c:v>
                </c:pt>
                <c:pt idx="191">
                  <c:v>26.264763868866154</c:v>
                </c:pt>
                <c:pt idx="192">
                  <c:v>26.4031386791365</c:v>
                </c:pt>
                <c:pt idx="193">
                  <c:v>26.541513489406228</c:v>
                </c:pt>
                <c:pt idx="194">
                  <c:v>26.679891298891814</c:v>
                </c:pt>
                <c:pt idx="195">
                  <c:v>26.818266109161534</c:v>
                </c:pt>
                <c:pt idx="196">
                  <c:v>26.956640919431255</c:v>
                </c:pt>
                <c:pt idx="197">
                  <c:v>27.095018728916848</c:v>
                </c:pt>
                <c:pt idx="198">
                  <c:v>27.233393539186569</c:v>
                </c:pt>
                <c:pt idx="199">
                  <c:v>27.371771348672155</c:v>
                </c:pt>
                <c:pt idx="200">
                  <c:v>27.510146158941875</c:v>
                </c:pt>
                <c:pt idx="201">
                  <c:v>27.648520969211603</c:v>
                </c:pt>
                <c:pt idx="202">
                  <c:v>27.786898778697189</c:v>
                </c:pt>
                <c:pt idx="203">
                  <c:v>27.92527358896691</c:v>
                </c:pt>
                <c:pt idx="204">
                  <c:v>28.06364839923663</c:v>
                </c:pt>
                <c:pt idx="205">
                  <c:v>28.202026208722216</c:v>
                </c:pt>
                <c:pt idx="206">
                  <c:v>28.340401018991944</c:v>
                </c:pt>
                <c:pt idx="207">
                  <c:v>28.478775829261664</c:v>
                </c:pt>
                <c:pt idx="208">
                  <c:v>28.617153638747251</c:v>
                </c:pt>
                <c:pt idx="209">
                  <c:v>28.755528449016971</c:v>
                </c:pt>
                <c:pt idx="210">
                  <c:v>28.893903259286699</c:v>
                </c:pt>
                <c:pt idx="211">
                  <c:v>29.032281068772285</c:v>
                </c:pt>
                <c:pt idx="212">
                  <c:v>29.170655879042005</c:v>
                </c:pt>
                <c:pt idx="213">
                  <c:v>29.309030689311726</c:v>
                </c:pt>
                <c:pt idx="214">
                  <c:v>29.447408498797316</c:v>
                </c:pt>
                <c:pt idx="215">
                  <c:v>29.58578330906704</c:v>
                </c:pt>
                <c:pt idx="216">
                  <c:v>29.724158119337389</c:v>
                </c:pt>
                <c:pt idx="217">
                  <c:v>29.862535928822346</c:v>
                </c:pt>
                <c:pt idx="218">
                  <c:v>30.000910739092067</c:v>
                </c:pt>
                <c:pt idx="219">
                  <c:v>30.13928554936242</c:v>
                </c:pt>
                <c:pt idx="220">
                  <c:v>30.277663358847381</c:v>
                </c:pt>
                <c:pt idx="221">
                  <c:v>30.41603816911773</c:v>
                </c:pt>
                <c:pt idx="222">
                  <c:v>30.554412979387454</c:v>
                </c:pt>
                <c:pt idx="223">
                  <c:v>30.692790788872411</c:v>
                </c:pt>
                <c:pt idx="224">
                  <c:v>30.831165599142761</c:v>
                </c:pt>
                <c:pt idx="225">
                  <c:v>30.969540409412485</c:v>
                </c:pt>
                <c:pt idx="226">
                  <c:v>31.107918218898071</c:v>
                </c:pt>
                <c:pt idx="227">
                  <c:v>31.246293029167791</c:v>
                </c:pt>
                <c:pt idx="228">
                  <c:v>31.384667839437515</c:v>
                </c:pt>
                <c:pt idx="229">
                  <c:v>31.523045648923105</c:v>
                </c:pt>
                <c:pt idx="230">
                  <c:v>31.661420459192826</c:v>
                </c:pt>
                <c:pt idx="231">
                  <c:v>31.799798268678412</c:v>
                </c:pt>
                <c:pt idx="232">
                  <c:v>31.938173078948132</c:v>
                </c:pt>
                <c:pt idx="233">
                  <c:v>32.076547889217856</c:v>
                </c:pt>
                <c:pt idx="234">
                  <c:v>32.214925698703446</c:v>
                </c:pt>
                <c:pt idx="235">
                  <c:v>32.35330050897317</c:v>
                </c:pt>
                <c:pt idx="236">
                  <c:v>32.491675319242887</c:v>
                </c:pt>
                <c:pt idx="237">
                  <c:v>32.630053128728477</c:v>
                </c:pt>
                <c:pt idx="238">
                  <c:v>32.768427938998201</c:v>
                </c:pt>
                <c:pt idx="239">
                  <c:v>32.906802749267925</c:v>
                </c:pt>
                <c:pt idx="240">
                  <c:v>33.045180558753508</c:v>
                </c:pt>
                <c:pt idx="241">
                  <c:v>33.183555369023232</c:v>
                </c:pt>
                <c:pt idx="242">
                  <c:v>33.321930179292949</c:v>
                </c:pt>
                <c:pt idx="243">
                  <c:v>33.460307988778546</c:v>
                </c:pt>
                <c:pt idx="244">
                  <c:v>33.598682799048262</c:v>
                </c:pt>
                <c:pt idx="245">
                  <c:v>33.737057609317986</c:v>
                </c:pt>
                <c:pt idx="246">
                  <c:v>33.875435418803569</c:v>
                </c:pt>
                <c:pt idx="247">
                  <c:v>34.0138102290733</c:v>
                </c:pt>
                <c:pt idx="248">
                  <c:v>34.152185039343642</c:v>
                </c:pt>
                <c:pt idx="249">
                  <c:v>34.290562848828607</c:v>
                </c:pt>
                <c:pt idx="250">
                  <c:v>34.428937659098324</c:v>
                </c:pt>
                <c:pt idx="251">
                  <c:v>34.56731246936868</c:v>
                </c:pt>
                <c:pt idx="252">
                  <c:v>34.705690278853638</c:v>
                </c:pt>
                <c:pt idx="253">
                  <c:v>34.844065089123987</c:v>
                </c:pt>
                <c:pt idx="254">
                  <c:v>34.982439899393711</c:v>
                </c:pt>
                <c:pt idx="255">
                  <c:v>35.120817708879294</c:v>
                </c:pt>
                <c:pt idx="256">
                  <c:v>35.259192519149018</c:v>
                </c:pt>
                <c:pt idx="257">
                  <c:v>35.397567329418742</c:v>
                </c:pt>
                <c:pt idx="258">
                  <c:v>35.535945138904331</c:v>
                </c:pt>
                <c:pt idx="259">
                  <c:v>35.674319949174048</c:v>
                </c:pt>
                <c:pt idx="260">
                  <c:v>35.812697758659638</c:v>
                </c:pt>
                <c:pt idx="261">
                  <c:v>35.951072568929362</c:v>
                </c:pt>
                <c:pt idx="262">
                  <c:v>36.089447379199086</c:v>
                </c:pt>
                <c:pt idx="263">
                  <c:v>36.227825188684669</c:v>
                </c:pt>
                <c:pt idx="264">
                  <c:v>36.366199998954393</c:v>
                </c:pt>
                <c:pt idx="265">
                  <c:v>36.504574809224117</c:v>
                </c:pt>
                <c:pt idx="266">
                  <c:v>36.642952618709707</c:v>
                </c:pt>
                <c:pt idx="267">
                  <c:v>36.781327428979424</c:v>
                </c:pt>
                <c:pt idx="268">
                  <c:v>36.919702239249148</c:v>
                </c:pt>
                <c:pt idx="269">
                  <c:v>37.05808004873473</c:v>
                </c:pt>
                <c:pt idx="270">
                  <c:v>37.196454859004461</c:v>
                </c:pt>
                <c:pt idx="271">
                  <c:v>37.334829669274178</c:v>
                </c:pt>
                <c:pt idx="272">
                  <c:v>37.473207478759768</c:v>
                </c:pt>
                <c:pt idx="273">
                  <c:v>37.611582289029485</c:v>
                </c:pt>
                <c:pt idx="274">
                  <c:v>37.749957099299209</c:v>
                </c:pt>
                <c:pt idx="275">
                  <c:v>37.888334908784799</c:v>
                </c:pt>
                <c:pt idx="276">
                  <c:v>38.026709719054523</c:v>
                </c:pt>
                <c:pt idx="277">
                  <c:v>38.16508452932424</c:v>
                </c:pt>
                <c:pt idx="278">
                  <c:v>38.30346233880983</c:v>
                </c:pt>
                <c:pt idx="279">
                  <c:v>38.441837149079554</c:v>
                </c:pt>
                <c:pt idx="280">
                  <c:v>38.580211959349903</c:v>
                </c:pt>
                <c:pt idx="281">
                  <c:v>38.71858976883486</c:v>
                </c:pt>
                <c:pt idx="282">
                  <c:v>38.856964579105217</c:v>
                </c:pt>
                <c:pt idx="283">
                  <c:v>38.995339389374934</c:v>
                </c:pt>
                <c:pt idx="284">
                  <c:v>39.133717198859898</c:v>
                </c:pt>
                <c:pt idx="285">
                  <c:v>39.272092009130247</c:v>
                </c:pt>
                <c:pt idx="286">
                  <c:v>39.410466819399971</c:v>
                </c:pt>
                <c:pt idx="287">
                  <c:v>39.548844628885554</c:v>
                </c:pt>
                <c:pt idx="288">
                  <c:v>39.687219439155278</c:v>
                </c:pt>
                <c:pt idx="289">
                  <c:v>39.825594249424995</c:v>
                </c:pt>
                <c:pt idx="290">
                  <c:v>39.963972058910592</c:v>
                </c:pt>
                <c:pt idx="291">
                  <c:v>40.102346869180309</c:v>
                </c:pt>
                <c:pt idx="292">
                  <c:v>40.240724678665899</c:v>
                </c:pt>
                <c:pt idx="293">
                  <c:v>40.379099488935616</c:v>
                </c:pt>
                <c:pt idx="294">
                  <c:v>40.517474299205347</c:v>
                </c:pt>
                <c:pt idx="295">
                  <c:v>40.655852108690929</c:v>
                </c:pt>
                <c:pt idx="296">
                  <c:v>40.794226918960653</c:v>
                </c:pt>
                <c:pt idx="297">
                  <c:v>40.93260172923037</c:v>
                </c:pt>
                <c:pt idx="298">
                  <c:v>41.070979538715967</c:v>
                </c:pt>
                <c:pt idx="299">
                  <c:v>41.209354348985684</c:v>
                </c:pt>
                <c:pt idx="300">
                  <c:v>41.347729159255408</c:v>
                </c:pt>
                <c:pt idx="301">
                  <c:v>41.486106968740991</c:v>
                </c:pt>
                <c:pt idx="302">
                  <c:v>41.624481779010715</c:v>
                </c:pt>
                <c:pt idx="303">
                  <c:v>41.762856589280439</c:v>
                </c:pt>
                <c:pt idx="304">
                  <c:v>41.901234398766029</c:v>
                </c:pt>
                <c:pt idx="305">
                  <c:v>42.039609209035746</c:v>
                </c:pt>
                <c:pt idx="306">
                  <c:v>42.17798401930547</c:v>
                </c:pt>
                <c:pt idx="307">
                  <c:v>42.316361828791059</c:v>
                </c:pt>
                <c:pt idx="308">
                  <c:v>42.454736639060783</c:v>
                </c:pt>
                <c:pt idx="309">
                  <c:v>42.5931114493305</c:v>
                </c:pt>
                <c:pt idx="310">
                  <c:v>42.73148925881609</c:v>
                </c:pt>
                <c:pt idx="311">
                  <c:v>42.869864069085814</c:v>
                </c:pt>
                <c:pt idx="312">
                  <c:v>43.008238879356163</c:v>
                </c:pt>
                <c:pt idx="313">
                  <c:v>43.146616688841121</c:v>
                </c:pt>
                <c:pt idx="314">
                  <c:v>43.28499149911147</c:v>
                </c:pt>
                <c:pt idx="315">
                  <c:v>43.423366309381194</c:v>
                </c:pt>
                <c:pt idx="316">
                  <c:v>43.561744118866152</c:v>
                </c:pt>
                <c:pt idx="317">
                  <c:v>43.700118929136501</c:v>
                </c:pt>
                <c:pt idx="318">
                  <c:v>43.838493739406225</c:v>
                </c:pt>
                <c:pt idx="319">
                  <c:v>43.976871548891815</c:v>
                </c:pt>
                <c:pt idx="320">
                  <c:v>44.115246359161539</c:v>
                </c:pt>
                <c:pt idx="321">
                  <c:v>44.253621169431256</c:v>
                </c:pt>
                <c:pt idx="322">
                  <c:v>44.391998978916845</c:v>
                </c:pt>
                <c:pt idx="323">
                  <c:v>44.530373789186569</c:v>
                </c:pt>
                <c:pt idx="324">
                  <c:v>44.668751598672152</c:v>
                </c:pt>
                <c:pt idx="325">
                  <c:v>44.807126408941876</c:v>
                </c:pt>
                <c:pt idx="326">
                  <c:v>44.9455012192116</c:v>
                </c:pt>
                <c:pt idx="327">
                  <c:v>45.08387902869719</c:v>
                </c:pt>
                <c:pt idx="328">
                  <c:v>45.222253838966907</c:v>
                </c:pt>
                <c:pt idx="329">
                  <c:v>45.360628649236631</c:v>
                </c:pt>
                <c:pt idx="330">
                  <c:v>45.499006458722214</c:v>
                </c:pt>
                <c:pt idx="331">
                  <c:v>45.637381268991945</c:v>
                </c:pt>
                <c:pt idx="332">
                  <c:v>45.775756079261662</c:v>
                </c:pt>
                <c:pt idx="333">
                  <c:v>45.914133888747251</c:v>
                </c:pt>
                <c:pt idx="334">
                  <c:v>46.052508699016968</c:v>
                </c:pt>
                <c:pt idx="335">
                  <c:v>46.190883509286699</c:v>
                </c:pt>
                <c:pt idx="336">
                  <c:v>46.329261318772282</c:v>
                </c:pt>
                <c:pt idx="337">
                  <c:v>46.467636129042006</c:v>
                </c:pt>
                <c:pt idx="338">
                  <c:v>46.606010939311723</c:v>
                </c:pt>
                <c:pt idx="339">
                  <c:v>46.74438874879732</c:v>
                </c:pt>
                <c:pt idx="340">
                  <c:v>46.882763559067037</c:v>
                </c:pt>
                <c:pt idx="341">
                  <c:v>47.021138369337393</c:v>
                </c:pt>
                <c:pt idx="342">
                  <c:v>47.159516178822344</c:v>
                </c:pt>
                <c:pt idx="343">
                  <c:v>47.297890989092068</c:v>
                </c:pt>
                <c:pt idx="344">
                  <c:v>47.436265799362417</c:v>
                </c:pt>
                <c:pt idx="345">
                  <c:v>47.574643608847381</c:v>
                </c:pt>
                <c:pt idx="346">
                  <c:v>47.713018419117731</c:v>
                </c:pt>
                <c:pt idx="347">
                  <c:v>47.851393229387455</c:v>
                </c:pt>
                <c:pt idx="348">
                  <c:v>47.989771038872412</c:v>
                </c:pt>
                <c:pt idx="349">
                  <c:v>48.128145849142761</c:v>
                </c:pt>
                <c:pt idx="350">
                  <c:v>48.266520659412485</c:v>
                </c:pt>
                <c:pt idx="351">
                  <c:v>48.404898468898075</c:v>
                </c:pt>
                <c:pt idx="352">
                  <c:v>48.543273279167792</c:v>
                </c:pt>
                <c:pt idx="353">
                  <c:v>48.681648089437516</c:v>
                </c:pt>
                <c:pt idx="354">
                  <c:v>48.820025898923106</c:v>
                </c:pt>
                <c:pt idx="355">
                  <c:v>48.95840070919283</c:v>
                </c:pt>
                <c:pt idx="356">
                  <c:v>49.096778518678413</c:v>
                </c:pt>
                <c:pt idx="357">
                  <c:v>49.235153328948137</c:v>
                </c:pt>
                <c:pt idx="358">
                  <c:v>49.373528139217854</c:v>
                </c:pt>
                <c:pt idx="359">
                  <c:v>49.511905948703451</c:v>
                </c:pt>
                <c:pt idx="360">
                  <c:v>49.650280758973167</c:v>
                </c:pt>
                <c:pt idx="361">
                  <c:v>49.788655569242891</c:v>
                </c:pt>
                <c:pt idx="362">
                  <c:v>49.927033378728474</c:v>
                </c:pt>
                <c:pt idx="363">
                  <c:v>50.065408188998205</c:v>
                </c:pt>
                <c:pt idx="364">
                  <c:v>50.203782999267922</c:v>
                </c:pt>
                <c:pt idx="365">
                  <c:v>50.342157809537646</c:v>
                </c:pt>
                <c:pt idx="366">
                  <c:v>50.480535619023236</c:v>
                </c:pt>
                <c:pt idx="367">
                  <c:v>50.618913428508819</c:v>
                </c:pt>
                <c:pt idx="368">
                  <c:v>50.757285239563302</c:v>
                </c:pt>
                <c:pt idx="369">
                  <c:v>50.89566304904826</c:v>
                </c:pt>
                <c:pt idx="370">
                  <c:v>51.034040858533849</c:v>
                </c:pt>
                <c:pt idx="371">
                  <c:v>51.17241266958834</c:v>
                </c:pt>
                <c:pt idx="372">
                  <c:v>51.31079047907329</c:v>
                </c:pt>
                <c:pt idx="373">
                  <c:v>51.449168288558887</c:v>
                </c:pt>
                <c:pt idx="374">
                  <c:v>51.587540099613371</c:v>
                </c:pt>
                <c:pt idx="375">
                  <c:v>51.725917909098328</c:v>
                </c:pt>
                <c:pt idx="376">
                  <c:v>51.864295718583918</c:v>
                </c:pt>
                <c:pt idx="377">
                  <c:v>52.002667529638401</c:v>
                </c:pt>
                <c:pt idx="378">
                  <c:v>52.141045339123984</c:v>
                </c:pt>
                <c:pt idx="379">
                  <c:v>52.279423148608949</c:v>
                </c:pt>
                <c:pt idx="380">
                  <c:v>52.417794959663439</c:v>
                </c:pt>
                <c:pt idx="381">
                  <c:v>52.556172769149022</c:v>
                </c:pt>
                <c:pt idx="382">
                  <c:v>52.694550578633972</c:v>
                </c:pt>
                <c:pt idx="383">
                  <c:v>52.832922389688463</c:v>
                </c:pt>
                <c:pt idx="384">
                  <c:v>52.971300199174053</c:v>
                </c:pt>
                <c:pt idx="385">
                  <c:v>53.109678008659643</c:v>
                </c:pt>
                <c:pt idx="386">
                  <c:v>53.248049819713493</c:v>
                </c:pt>
                <c:pt idx="387">
                  <c:v>53.386427629199083</c:v>
                </c:pt>
                <c:pt idx="388">
                  <c:v>53.524805438684666</c:v>
                </c:pt>
                <c:pt idx="389">
                  <c:v>53.663177249738531</c:v>
                </c:pt>
                <c:pt idx="390">
                  <c:v>53.801555059224121</c:v>
                </c:pt>
                <c:pt idx="391">
                  <c:v>53.939932868709704</c:v>
                </c:pt>
                <c:pt idx="392">
                  <c:v>54.078304679763562</c:v>
                </c:pt>
                <c:pt idx="393">
                  <c:v>54.216682489249152</c:v>
                </c:pt>
                <c:pt idx="394">
                  <c:v>54.355060298734735</c:v>
                </c:pt>
                <c:pt idx="395">
                  <c:v>54.493432109788593</c:v>
                </c:pt>
                <c:pt idx="396">
                  <c:v>54.631809919274176</c:v>
                </c:pt>
                <c:pt idx="397">
                  <c:v>54.770187728759765</c:v>
                </c:pt>
                <c:pt idx="398">
                  <c:v>54.908559539814256</c:v>
                </c:pt>
                <c:pt idx="399">
                  <c:v>55.046937349299206</c:v>
                </c:pt>
                <c:pt idx="400">
                  <c:v>55.185315158784803</c:v>
                </c:pt>
                <c:pt idx="401">
                  <c:v>55.323692968270379</c:v>
                </c:pt>
                <c:pt idx="402">
                  <c:v>55.462064779324244</c:v>
                </c:pt>
                <c:pt idx="403">
                  <c:v>55.600442588809834</c:v>
                </c:pt>
                <c:pt idx="404">
                  <c:v>55.738820398295417</c:v>
                </c:pt>
                <c:pt idx="405">
                  <c:v>55.8771922093499</c:v>
                </c:pt>
                <c:pt idx="406">
                  <c:v>56.015570018834872</c:v>
                </c:pt>
                <c:pt idx="407">
                  <c:v>56.153947828320447</c:v>
                </c:pt>
                <c:pt idx="408">
                  <c:v>56.292319639374938</c:v>
                </c:pt>
                <c:pt idx="409">
                  <c:v>56.430697448859888</c:v>
                </c:pt>
                <c:pt idx="410">
                  <c:v>56.569075258345485</c:v>
                </c:pt>
                <c:pt idx="411">
                  <c:v>56.707447069399969</c:v>
                </c:pt>
                <c:pt idx="412">
                  <c:v>56.845824878885566</c:v>
                </c:pt>
                <c:pt idx="413">
                  <c:v>56.984202688370516</c:v>
                </c:pt>
                <c:pt idx="414">
                  <c:v>57.122574499425006</c:v>
                </c:pt>
                <c:pt idx="415">
                  <c:v>57.260952308910582</c:v>
                </c:pt>
                <c:pt idx="416">
                  <c:v>57.399330118395554</c:v>
                </c:pt>
                <c:pt idx="417">
                  <c:v>57.537701929450037</c:v>
                </c:pt>
                <c:pt idx="418">
                  <c:v>57.67607973893562</c:v>
                </c:pt>
                <c:pt idx="419">
                  <c:v>57.81445754842121</c:v>
                </c:pt>
                <c:pt idx="420">
                  <c:v>57.952829359475061</c:v>
                </c:pt>
                <c:pt idx="421">
                  <c:v>58.091207168960651</c:v>
                </c:pt>
                <c:pt idx="422">
                  <c:v>58.22958497844624</c:v>
                </c:pt>
                <c:pt idx="423">
                  <c:v>58.367956789500091</c:v>
                </c:pt>
                <c:pt idx="424">
                  <c:v>58.506334598985688</c:v>
                </c:pt>
                <c:pt idx="425">
                  <c:v>58.644712408471278</c:v>
                </c:pt>
                <c:pt idx="426">
                  <c:v>58.783084219525129</c:v>
                </c:pt>
                <c:pt idx="427">
                  <c:v>58.921462029010719</c:v>
                </c:pt>
                <c:pt idx="428">
                  <c:v>59.059839838496302</c:v>
                </c:pt>
                <c:pt idx="429">
                  <c:v>59.19821164955016</c:v>
                </c:pt>
                <c:pt idx="430">
                  <c:v>59.33658945903575</c:v>
                </c:pt>
                <c:pt idx="431">
                  <c:v>59.474967268521333</c:v>
                </c:pt>
                <c:pt idx="432">
                  <c:v>59.613339079575823</c:v>
                </c:pt>
                <c:pt idx="433">
                  <c:v>59.751716889060773</c:v>
                </c:pt>
                <c:pt idx="434">
                  <c:v>59.89009469854637</c:v>
                </c:pt>
                <c:pt idx="435">
                  <c:v>60.028466509600854</c:v>
                </c:pt>
                <c:pt idx="436">
                  <c:v>60.166844319085811</c:v>
                </c:pt>
                <c:pt idx="437">
                  <c:v>60.305222128571401</c:v>
                </c:pt>
                <c:pt idx="438">
                  <c:v>60.443593939625885</c:v>
                </c:pt>
                <c:pt idx="439">
                  <c:v>60.581971749111467</c:v>
                </c:pt>
                <c:pt idx="440">
                  <c:v>60.720349558596432</c:v>
                </c:pt>
                <c:pt idx="441">
                  <c:v>60.858721369650922</c:v>
                </c:pt>
                <c:pt idx="442">
                  <c:v>60.997099179136505</c:v>
                </c:pt>
                <c:pt idx="443">
                  <c:v>61.13547698862147</c:v>
                </c:pt>
                <c:pt idx="444">
                  <c:v>61.273848799675946</c:v>
                </c:pt>
                <c:pt idx="445">
                  <c:v>61.412226609161536</c:v>
                </c:pt>
                <c:pt idx="446">
                  <c:v>61.550604418647126</c:v>
                </c:pt>
                <c:pt idx="447">
                  <c:v>61.688976229700977</c:v>
                </c:pt>
                <c:pt idx="448">
                  <c:v>61.827354039186567</c:v>
                </c:pt>
                <c:pt idx="449">
                  <c:v>61.965731848672164</c:v>
                </c:pt>
                <c:pt idx="450">
                  <c:v>62.104103659726015</c:v>
                </c:pt>
                <c:pt idx="451">
                  <c:v>62.242481469211604</c:v>
                </c:pt>
                <c:pt idx="452">
                  <c:v>62.380859278697187</c:v>
                </c:pt>
                <c:pt idx="453">
                  <c:v>62.519231089751045</c:v>
                </c:pt>
                <c:pt idx="454">
                  <c:v>62.657608899236635</c:v>
                </c:pt>
                <c:pt idx="455">
                  <c:v>62.795986708722218</c:v>
                </c:pt>
                <c:pt idx="456">
                  <c:v>62.934358519776076</c:v>
                </c:pt>
                <c:pt idx="457">
                  <c:v>63.072736329260408</c:v>
                </c:pt>
                <c:pt idx="458">
                  <c:v>63.21111413874474</c:v>
                </c:pt>
                <c:pt idx="459">
                  <c:v>63.349485949799849</c:v>
                </c:pt>
                <c:pt idx="460">
                  <c:v>63.487863759284181</c:v>
                </c:pt>
                <c:pt idx="461">
                  <c:v>63.626241568774802</c:v>
                </c:pt>
                <c:pt idx="462">
                  <c:v>63.764613379823622</c:v>
                </c:pt>
                <c:pt idx="463">
                  <c:v>63.902991189314243</c:v>
                </c:pt>
                <c:pt idx="464">
                  <c:v>64.041368998798575</c:v>
                </c:pt>
                <c:pt idx="465">
                  <c:v>64.1797468082829</c:v>
                </c:pt>
                <c:pt idx="466">
                  <c:v>64.318118619338023</c:v>
                </c:pt>
                <c:pt idx="467">
                  <c:v>64.456496428822348</c:v>
                </c:pt>
                <c:pt idx="468">
                  <c:v>64.594874238306687</c:v>
                </c:pt>
                <c:pt idx="469">
                  <c:v>64.733246049361796</c:v>
                </c:pt>
                <c:pt idx="470">
                  <c:v>64.871623858846121</c:v>
                </c:pt>
                <c:pt idx="471">
                  <c:v>65.010001668330446</c:v>
                </c:pt>
                <c:pt idx="472">
                  <c:v>65.148373479385569</c:v>
                </c:pt>
                <c:pt idx="473">
                  <c:v>65.286751288869894</c:v>
                </c:pt>
                <c:pt idx="474">
                  <c:v>65.425129098360514</c:v>
                </c:pt>
                <c:pt idx="475">
                  <c:v>65.563500909409342</c:v>
                </c:pt>
                <c:pt idx="476">
                  <c:v>65.701878718899962</c:v>
                </c:pt>
                <c:pt idx="477">
                  <c:v>65.840256528384288</c:v>
                </c:pt>
                <c:pt idx="478">
                  <c:v>65.97862833943941</c:v>
                </c:pt>
                <c:pt idx="479">
                  <c:v>66.117006148923736</c:v>
                </c:pt>
                <c:pt idx="480">
                  <c:v>66.255383958408075</c:v>
                </c:pt>
                <c:pt idx="481">
                  <c:v>66.393755769463183</c:v>
                </c:pt>
                <c:pt idx="482">
                  <c:v>66.532133578947509</c:v>
                </c:pt>
                <c:pt idx="483">
                  <c:v>66.670511388431834</c:v>
                </c:pt>
                <c:pt idx="484">
                  <c:v>66.808883199486957</c:v>
                </c:pt>
                <c:pt idx="485">
                  <c:v>66.947261008971282</c:v>
                </c:pt>
                <c:pt idx="486">
                  <c:v>67.085638818455607</c:v>
                </c:pt>
                <c:pt idx="487">
                  <c:v>67.22401062951073</c:v>
                </c:pt>
                <c:pt idx="488">
                  <c:v>67.362388439001336</c:v>
                </c:pt>
                <c:pt idx="489">
                  <c:v>67.500766248485675</c:v>
                </c:pt>
                <c:pt idx="490">
                  <c:v>67.639138059540784</c:v>
                </c:pt>
                <c:pt idx="491">
                  <c:v>67.777515869025123</c:v>
                </c:pt>
                <c:pt idx="492">
                  <c:v>67.915893678509448</c:v>
                </c:pt>
                <c:pt idx="493">
                  <c:v>68.054265489564571</c:v>
                </c:pt>
                <c:pt idx="494">
                  <c:v>68.192643299048896</c:v>
                </c:pt>
                <c:pt idx="495">
                  <c:v>68.331021108533221</c:v>
                </c:pt>
                <c:pt idx="496">
                  <c:v>68.469392919588344</c:v>
                </c:pt>
                <c:pt idx="497">
                  <c:v>68.607770729072669</c:v>
                </c:pt>
                <c:pt idx="498">
                  <c:v>68.746148538556994</c:v>
                </c:pt>
                <c:pt idx="499">
                  <c:v>68.884520349612103</c:v>
                </c:pt>
                <c:pt idx="500">
                  <c:v>69.022898159096442</c:v>
                </c:pt>
                <c:pt idx="501">
                  <c:v>69.161275968587063</c:v>
                </c:pt>
                <c:pt idx="502">
                  <c:v>69.299647779635876</c:v>
                </c:pt>
                <c:pt idx="503">
                  <c:v>69.438025589126497</c:v>
                </c:pt>
                <c:pt idx="504">
                  <c:v>69.576403398610836</c:v>
                </c:pt>
                <c:pt idx="505">
                  <c:v>69.714775209665959</c:v>
                </c:pt>
                <c:pt idx="506">
                  <c:v>69.853153019150284</c:v>
                </c:pt>
                <c:pt idx="507">
                  <c:v>69.991530828634609</c:v>
                </c:pt>
                <c:pt idx="508">
                  <c:v>70.129902639689718</c:v>
                </c:pt>
                <c:pt idx="509">
                  <c:v>70.268280449174057</c:v>
                </c:pt>
                <c:pt idx="510">
                  <c:v>70.406658258658382</c:v>
                </c:pt>
                <c:pt idx="511">
                  <c:v>70.545030069713491</c:v>
                </c:pt>
                <c:pt idx="512">
                  <c:v>70.68340787919783</c:v>
                </c:pt>
                <c:pt idx="513">
                  <c:v>70.821785688682155</c:v>
                </c:pt>
                <c:pt idx="514">
                  <c:v>70.960157499737264</c:v>
                </c:pt>
                <c:pt idx="515">
                  <c:v>71.098535309221603</c:v>
                </c:pt>
                <c:pt idx="516">
                  <c:v>71.236913118712209</c:v>
                </c:pt>
                <c:pt idx="517">
                  <c:v>71.375284929761051</c:v>
                </c:pt>
                <c:pt idx="518">
                  <c:v>71.513662739251671</c:v>
                </c:pt>
                <c:pt idx="519">
                  <c:v>71.652040548735997</c:v>
                </c:pt>
                <c:pt idx="520">
                  <c:v>71.790412359791105</c:v>
                </c:pt>
                <c:pt idx="521">
                  <c:v>71.928790169275445</c:v>
                </c:pt>
                <c:pt idx="522">
                  <c:v>72.06716797875977</c:v>
                </c:pt>
                <c:pt idx="523">
                  <c:v>72.205539789814878</c:v>
                </c:pt>
                <c:pt idx="524">
                  <c:v>72.343917599299203</c:v>
                </c:pt>
                <c:pt idx="525">
                  <c:v>72.482295408783543</c:v>
                </c:pt>
                <c:pt idx="526">
                  <c:v>72.620673218267868</c:v>
                </c:pt>
                <c:pt idx="527">
                  <c:v>72.759045029322976</c:v>
                </c:pt>
                <c:pt idx="528">
                  <c:v>72.897422838807316</c:v>
                </c:pt>
                <c:pt idx="529">
                  <c:v>73.035800648297936</c:v>
                </c:pt>
                <c:pt idx="530">
                  <c:v>73.174172459346764</c:v>
                </c:pt>
                <c:pt idx="531">
                  <c:v>73.312550268837384</c:v>
                </c:pt>
                <c:pt idx="532">
                  <c:v>73.450928078321709</c:v>
                </c:pt>
                <c:pt idx="533">
                  <c:v>73.589299889376832</c:v>
                </c:pt>
                <c:pt idx="534">
                  <c:v>73.727677698861157</c:v>
                </c:pt>
                <c:pt idx="535">
                  <c:v>73.866055508345482</c:v>
                </c:pt>
                <c:pt idx="536">
                  <c:v>74.004427319400591</c:v>
                </c:pt>
                <c:pt idx="537">
                  <c:v>74.14280512888493</c:v>
                </c:pt>
                <c:pt idx="538">
                  <c:v>74.281182938369255</c:v>
                </c:pt>
                <c:pt idx="539">
                  <c:v>74.419554749424364</c:v>
                </c:pt>
                <c:pt idx="540">
                  <c:v>74.557932558908703</c:v>
                </c:pt>
                <c:pt idx="541">
                  <c:v>74.696310368393043</c:v>
                </c:pt>
                <c:pt idx="542">
                  <c:v>74.834682179448151</c:v>
                </c:pt>
                <c:pt idx="543">
                  <c:v>74.973059988932476</c:v>
                </c:pt>
                <c:pt idx="544">
                  <c:v>75.111437798423097</c:v>
                </c:pt>
                <c:pt idx="545">
                  <c:v>75.249809609478206</c:v>
                </c:pt>
                <c:pt idx="546">
                  <c:v>75.388187418962545</c:v>
                </c:pt>
                <c:pt idx="547">
                  <c:v>75.52656522844687</c:v>
                </c:pt>
                <c:pt idx="548">
                  <c:v>75.664937039501979</c:v>
                </c:pt>
                <c:pt idx="549">
                  <c:v>75.803314848986318</c:v>
                </c:pt>
                <c:pt idx="550">
                  <c:v>75.941692658470643</c:v>
                </c:pt>
                <c:pt idx="551">
                  <c:v>76.080064469525752</c:v>
                </c:pt>
                <c:pt idx="552">
                  <c:v>76.218442279010077</c:v>
                </c:pt>
                <c:pt idx="553">
                  <c:v>76.356820088494416</c:v>
                </c:pt>
                <c:pt idx="554">
                  <c:v>76.495191899549539</c:v>
                </c:pt>
                <c:pt idx="555">
                  <c:v>76.633569709033864</c:v>
                </c:pt>
                <c:pt idx="556">
                  <c:v>76.771947518518189</c:v>
                </c:pt>
                <c:pt idx="557">
                  <c:v>76.910319329573312</c:v>
                </c:pt>
                <c:pt idx="558">
                  <c:v>77.048697139063933</c:v>
                </c:pt>
                <c:pt idx="559">
                  <c:v>77.187074948548258</c:v>
                </c:pt>
                <c:pt idx="560">
                  <c:v>77.325446759603366</c:v>
                </c:pt>
                <c:pt idx="561">
                  <c:v>77.463824569087691</c:v>
                </c:pt>
                <c:pt idx="562">
                  <c:v>77.602202378572031</c:v>
                </c:pt>
                <c:pt idx="563">
                  <c:v>77.740574189627139</c:v>
                </c:pt>
                <c:pt idx="564">
                  <c:v>77.878951999111464</c:v>
                </c:pt>
                <c:pt idx="565">
                  <c:v>78.017329808595804</c:v>
                </c:pt>
                <c:pt idx="566">
                  <c:v>78.155701619650927</c:v>
                </c:pt>
                <c:pt idx="567">
                  <c:v>78.294079429135252</c:v>
                </c:pt>
                <c:pt idx="568">
                  <c:v>78.432457238619577</c:v>
                </c:pt>
                <c:pt idx="569">
                  <c:v>78.5708290496747</c:v>
                </c:pt>
                <c:pt idx="570">
                  <c:v>78.709206859159025</c:v>
                </c:pt>
                <c:pt idx="571">
                  <c:v>78.847584668649645</c:v>
                </c:pt>
                <c:pt idx="572">
                  <c:v>78.985956479698459</c:v>
                </c:pt>
                <c:pt idx="573">
                  <c:v>79.124334289189079</c:v>
                </c:pt>
                <c:pt idx="574">
                  <c:v>79.262712098673418</c:v>
                </c:pt>
                <c:pt idx="575">
                  <c:v>79.401083909728527</c:v>
                </c:pt>
                <c:pt idx="576">
                  <c:v>79.539461719212852</c:v>
                </c:pt>
                <c:pt idx="577">
                  <c:v>79.677839528697191</c:v>
                </c:pt>
                <c:pt idx="578">
                  <c:v>79.816211339752314</c:v>
                </c:pt>
                <c:pt idx="579">
                  <c:v>79.954589149236639</c:v>
                </c:pt>
                <c:pt idx="580">
                  <c:v>80.092966958720964</c:v>
                </c:pt>
                <c:pt idx="581">
                  <c:v>80.231338769776073</c:v>
                </c:pt>
                <c:pt idx="582">
                  <c:v>80.369716579260412</c:v>
                </c:pt>
                <c:pt idx="583">
                  <c:v>80.508094388744738</c:v>
                </c:pt>
                <c:pt idx="584">
                  <c:v>80.646466199799846</c:v>
                </c:pt>
                <c:pt idx="585">
                  <c:v>80.784844009284186</c:v>
                </c:pt>
                <c:pt idx="586">
                  <c:v>80.923221818774806</c:v>
                </c:pt>
                <c:pt idx="587">
                  <c:v>81.061593629823619</c:v>
                </c:pt>
                <c:pt idx="588">
                  <c:v>81.19997143931424</c:v>
                </c:pt>
                <c:pt idx="589">
                  <c:v>81.338349248798565</c:v>
                </c:pt>
                <c:pt idx="590">
                  <c:v>81.476727058282904</c:v>
                </c:pt>
                <c:pt idx="591">
                  <c:v>81.615098869338027</c:v>
                </c:pt>
                <c:pt idx="592">
                  <c:v>81.753476678822352</c:v>
                </c:pt>
                <c:pt idx="593">
                  <c:v>81.891854488306677</c:v>
                </c:pt>
                <c:pt idx="594">
                  <c:v>82.0302262993618</c:v>
                </c:pt>
                <c:pt idx="595">
                  <c:v>82.168604108846125</c:v>
                </c:pt>
                <c:pt idx="596">
                  <c:v>82.30698191833045</c:v>
                </c:pt>
                <c:pt idx="597">
                  <c:v>82.445353729385573</c:v>
                </c:pt>
                <c:pt idx="598">
                  <c:v>82.583731538869898</c:v>
                </c:pt>
                <c:pt idx="599">
                  <c:v>82.722109348360519</c:v>
                </c:pt>
                <c:pt idx="600">
                  <c:v>82.860481159409332</c:v>
                </c:pt>
                <c:pt idx="601">
                  <c:v>82.998858968899953</c:v>
                </c:pt>
                <c:pt idx="602">
                  <c:v>83.137236778384292</c:v>
                </c:pt>
                <c:pt idx="603">
                  <c:v>83.275608589439415</c:v>
                </c:pt>
                <c:pt idx="604">
                  <c:v>83.41398639892374</c:v>
                </c:pt>
                <c:pt idx="605">
                  <c:v>83.552364208408065</c:v>
                </c:pt>
                <c:pt idx="606">
                  <c:v>83.690736019463188</c:v>
                </c:pt>
                <c:pt idx="607">
                  <c:v>83.829113828947513</c:v>
                </c:pt>
                <c:pt idx="608">
                  <c:v>83.967491638431838</c:v>
                </c:pt>
                <c:pt idx="609">
                  <c:v>84.105863449486947</c:v>
                </c:pt>
                <c:pt idx="610">
                  <c:v>84.244241258971286</c:v>
                </c:pt>
                <c:pt idx="611">
                  <c:v>84.382619068455611</c:v>
                </c:pt>
                <c:pt idx="612">
                  <c:v>84.52099087951072</c:v>
                </c:pt>
                <c:pt idx="613">
                  <c:v>84.65936868900134</c:v>
                </c:pt>
                <c:pt idx="614">
                  <c:v>84.797746498485679</c:v>
                </c:pt>
                <c:pt idx="615">
                  <c:v>84.936118309540788</c:v>
                </c:pt>
                <c:pt idx="616">
                  <c:v>85.074496119025127</c:v>
                </c:pt>
                <c:pt idx="617">
                  <c:v>85.212873928509453</c:v>
                </c:pt>
                <c:pt idx="618">
                  <c:v>85.351245739564561</c:v>
                </c:pt>
                <c:pt idx="619">
                  <c:v>85.4896235490489</c:v>
                </c:pt>
                <c:pt idx="620">
                  <c:v>85.628001358533226</c:v>
                </c:pt>
                <c:pt idx="621">
                  <c:v>85.766373169588334</c:v>
                </c:pt>
                <c:pt idx="622">
                  <c:v>85.904750979072674</c:v>
                </c:pt>
                <c:pt idx="623">
                  <c:v>86.043128788556999</c:v>
                </c:pt>
                <c:pt idx="624">
                  <c:v>86.181500599612107</c:v>
                </c:pt>
                <c:pt idx="625">
                  <c:v>86.319878409096432</c:v>
                </c:pt>
                <c:pt idx="626">
                  <c:v>86.458256218587053</c:v>
                </c:pt>
                <c:pt idx="627">
                  <c:v>86.59662802963588</c:v>
                </c:pt>
                <c:pt idx="628">
                  <c:v>86.735005839126501</c:v>
                </c:pt>
                <c:pt idx="629">
                  <c:v>86.87338364861084</c:v>
                </c:pt>
                <c:pt idx="630">
                  <c:v>87.011755459665949</c:v>
                </c:pt>
                <c:pt idx="631">
                  <c:v>87.150133269150288</c:v>
                </c:pt>
                <c:pt idx="632">
                  <c:v>87.288511078634613</c:v>
                </c:pt>
                <c:pt idx="633">
                  <c:v>87.426882889689722</c:v>
                </c:pt>
                <c:pt idx="634">
                  <c:v>87.565260699174047</c:v>
                </c:pt>
                <c:pt idx="635">
                  <c:v>87.703638508658386</c:v>
                </c:pt>
                <c:pt idx="636">
                  <c:v>87.842010319713495</c:v>
                </c:pt>
                <c:pt idx="637">
                  <c:v>87.98038812919782</c:v>
                </c:pt>
                <c:pt idx="638">
                  <c:v>88.118765938682159</c:v>
                </c:pt>
                <c:pt idx="639">
                  <c:v>88.257137749737268</c:v>
                </c:pt>
                <c:pt idx="640">
                  <c:v>88.395515559221607</c:v>
                </c:pt>
                <c:pt idx="641">
                  <c:v>88.533893368712214</c:v>
                </c:pt>
                <c:pt idx="642">
                  <c:v>88.672265179761055</c:v>
                </c:pt>
                <c:pt idx="643">
                  <c:v>88.810642989251676</c:v>
                </c:pt>
                <c:pt idx="644">
                  <c:v>88.949020798736001</c:v>
                </c:pt>
                <c:pt idx="645">
                  <c:v>89.08739260979111</c:v>
                </c:pt>
                <c:pt idx="646">
                  <c:v>89.225770419275435</c:v>
                </c:pt>
                <c:pt idx="647">
                  <c:v>89.364148228759774</c:v>
                </c:pt>
                <c:pt idx="648">
                  <c:v>89.502520039814883</c:v>
                </c:pt>
                <c:pt idx="649">
                  <c:v>89.640897849299208</c:v>
                </c:pt>
                <c:pt idx="650">
                  <c:v>89.779275658783547</c:v>
                </c:pt>
                <c:pt idx="651">
                  <c:v>89.917653468267872</c:v>
                </c:pt>
                <c:pt idx="652">
                  <c:v>90.056025279322981</c:v>
                </c:pt>
                <c:pt idx="653">
                  <c:v>90.19440308880732</c:v>
                </c:pt>
                <c:pt idx="654">
                  <c:v>90.332780898297926</c:v>
                </c:pt>
                <c:pt idx="655">
                  <c:v>90.471152709346768</c:v>
                </c:pt>
                <c:pt idx="656">
                  <c:v>90.609530518837389</c:v>
                </c:pt>
                <c:pt idx="657">
                  <c:v>90.747908328321714</c:v>
                </c:pt>
                <c:pt idx="658">
                  <c:v>90.886280139376822</c:v>
                </c:pt>
                <c:pt idx="659">
                  <c:v>91.024657948861162</c:v>
                </c:pt>
                <c:pt idx="660">
                  <c:v>91.163035758345487</c:v>
                </c:pt>
                <c:pt idx="661">
                  <c:v>91.301407569400595</c:v>
                </c:pt>
                <c:pt idx="662">
                  <c:v>91.43978537888492</c:v>
                </c:pt>
                <c:pt idx="663">
                  <c:v>91.57816318836926</c:v>
                </c:pt>
                <c:pt idx="664">
                  <c:v>91.716534999424368</c:v>
                </c:pt>
                <c:pt idx="665">
                  <c:v>91.854912808908693</c:v>
                </c:pt>
                <c:pt idx="666">
                  <c:v>91.993290618393033</c:v>
                </c:pt>
                <c:pt idx="667">
                  <c:v>92.131662429448156</c:v>
                </c:pt>
                <c:pt idx="668">
                  <c:v>92.270040238932481</c:v>
                </c:pt>
                <c:pt idx="669">
                  <c:v>92.408418048423101</c:v>
                </c:pt>
                <c:pt idx="670">
                  <c:v>92.54678985947821</c:v>
                </c:pt>
                <c:pt idx="671">
                  <c:v>92.685167668962535</c:v>
                </c:pt>
                <c:pt idx="672">
                  <c:v>92.823545478446874</c:v>
                </c:pt>
                <c:pt idx="673">
                  <c:v>92.961917289501983</c:v>
                </c:pt>
                <c:pt idx="674">
                  <c:v>93.100295098986308</c:v>
                </c:pt>
                <c:pt idx="675">
                  <c:v>93.238672908470647</c:v>
                </c:pt>
                <c:pt idx="676">
                  <c:v>93.377044719525756</c:v>
                </c:pt>
                <c:pt idx="677">
                  <c:v>93.515422529010081</c:v>
                </c:pt>
                <c:pt idx="678">
                  <c:v>93.653800338494406</c:v>
                </c:pt>
                <c:pt idx="679">
                  <c:v>93.792172149549543</c:v>
                </c:pt>
                <c:pt idx="680">
                  <c:v>93.930549959033868</c:v>
                </c:pt>
                <c:pt idx="681">
                  <c:v>94.068927768518193</c:v>
                </c:pt>
                <c:pt idx="682">
                  <c:v>94.207299579573302</c:v>
                </c:pt>
                <c:pt idx="683">
                  <c:v>94.345677389063923</c:v>
                </c:pt>
                <c:pt idx="684">
                  <c:v>94.484055198548262</c:v>
                </c:pt>
                <c:pt idx="685">
                  <c:v>94.622427009603371</c:v>
                </c:pt>
                <c:pt idx="686">
                  <c:v>94.760804819087696</c:v>
                </c:pt>
                <c:pt idx="687">
                  <c:v>94.899182628572035</c:v>
                </c:pt>
                <c:pt idx="688">
                  <c:v>95.037554439627144</c:v>
                </c:pt>
                <c:pt idx="689">
                  <c:v>95.175932249111469</c:v>
                </c:pt>
                <c:pt idx="690">
                  <c:v>95.314310058595794</c:v>
                </c:pt>
                <c:pt idx="691">
                  <c:v>95.452681869650917</c:v>
                </c:pt>
                <c:pt idx="692">
                  <c:v>95.591059679135256</c:v>
                </c:pt>
                <c:pt idx="693">
                  <c:v>95.729437488619581</c:v>
                </c:pt>
                <c:pt idx="694">
                  <c:v>95.86780929967469</c:v>
                </c:pt>
                <c:pt idx="695">
                  <c:v>96.006187109159029</c:v>
                </c:pt>
                <c:pt idx="696">
                  <c:v>96.14456491864965</c:v>
                </c:pt>
                <c:pt idx="697">
                  <c:v>96.282936729698463</c:v>
                </c:pt>
                <c:pt idx="698">
                  <c:v>96.421314539189083</c:v>
                </c:pt>
                <c:pt idx="699">
                  <c:v>96.559692348673408</c:v>
                </c:pt>
                <c:pt idx="700">
                  <c:v>96.698064159728531</c:v>
                </c:pt>
                <c:pt idx="701">
                  <c:v>96.836441969212856</c:v>
                </c:pt>
                <c:pt idx="702">
                  <c:v>96.974819778697182</c:v>
                </c:pt>
                <c:pt idx="703">
                  <c:v>97.113191589752304</c:v>
                </c:pt>
                <c:pt idx="704">
                  <c:v>97.251569399236644</c:v>
                </c:pt>
                <c:pt idx="705">
                  <c:v>97.389947208720969</c:v>
                </c:pt>
                <c:pt idx="706">
                  <c:v>97.528319019776077</c:v>
                </c:pt>
                <c:pt idx="707">
                  <c:v>97.666696829260403</c:v>
                </c:pt>
                <c:pt idx="708">
                  <c:v>97.805074638744742</c:v>
                </c:pt>
                <c:pt idx="709">
                  <c:v>97.94344644979985</c:v>
                </c:pt>
                <c:pt idx="710">
                  <c:v>98.081824259284176</c:v>
                </c:pt>
                <c:pt idx="711">
                  <c:v>98.220202068774796</c:v>
                </c:pt>
                <c:pt idx="712">
                  <c:v>98.358573879823624</c:v>
                </c:pt>
                <c:pt idx="713">
                  <c:v>98.496951689314244</c:v>
                </c:pt>
                <c:pt idx="714">
                  <c:v>98.635329498798569</c:v>
                </c:pt>
                <c:pt idx="715">
                  <c:v>98.773707308282894</c:v>
                </c:pt>
                <c:pt idx="716">
                  <c:v>98.912079119338031</c:v>
                </c:pt>
                <c:pt idx="717">
                  <c:v>99.050456928822356</c:v>
                </c:pt>
                <c:pt idx="718">
                  <c:v>99.188834738306682</c:v>
                </c:pt>
                <c:pt idx="719">
                  <c:v>99.32720654936179</c:v>
                </c:pt>
                <c:pt idx="720">
                  <c:v>99.465584358846129</c:v>
                </c:pt>
                <c:pt idx="721">
                  <c:v>99.603962168330455</c:v>
                </c:pt>
                <c:pt idx="722">
                  <c:v>99.742333979385563</c:v>
                </c:pt>
                <c:pt idx="723">
                  <c:v>99.880711788869903</c:v>
                </c:pt>
                <c:pt idx="724">
                  <c:v>100.01908959836052</c:v>
                </c:pt>
                <c:pt idx="725">
                  <c:v>100.15746140940934</c:v>
                </c:pt>
                <c:pt idx="726">
                  <c:v>100.29583921889996</c:v>
                </c:pt>
                <c:pt idx="727">
                  <c:v>100.43421702838428</c:v>
                </c:pt>
                <c:pt idx="728">
                  <c:v>100.5725888394394</c:v>
                </c:pt>
                <c:pt idx="729">
                  <c:v>100.71096065049451</c:v>
                </c:pt>
                <c:pt idx="730">
                  <c:v>100.84934445840807</c:v>
                </c:pt>
                <c:pt idx="731">
                  <c:v>100.98771626946316</c:v>
                </c:pt>
                <c:pt idx="732">
                  <c:v>101.1260880805183</c:v>
                </c:pt>
                <c:pt idx="733">
                  <c:v>101.26447188843183</c:v>
                </c:pt>
                <c:pt idx="734">
                  <c:v>101.40284369948695</c:v>
                </c:pt>
                <c:pt idx="735">
                  <c:v>101.54121551054207</c:v>
                </c:pt>
                <c:pt idx="736">
                  <c:v>101.67959931845562</c:v>
                </c:pt>
                <c:pt idx="737">
                  <c:v>101.81797112951074</c:v>
                </c:pt>
                <c:pt idx="738">
                  <c:v>101.95634294056583</c:v>
                </c:pt>
                <c:pt idx="739">
                  <c:v>102.09472674848567</c:v>
                </c:pt>
                <c:pt idx="740">
                  <c:v>102.23309855954079</c:v>
                </c:pt>
                <c:pt idx="741">
                  <c:v>102.37147037058962</c:v>
                </c:pt>
                <c:pt idx="742">
                  <c:v>102.50985417850946</c:v>
                </c:pt>
                <c:pt idx="743">
                  <c:v>102.64822598956455</c:v>
                </c:pt>
                <c:pt idx="744">
                  <c:v>102.78659780061967</c:v>
                </c:pt>
                <c:pt idx="745">
                  <c:v>102.92498160853322</c:v>
                </c:pt>
                <c:pt idx="746">
                  <c:v>103.06335341958834</c:v>
                </c:pt>
                <c:pt idx="747">
                  <c:v>103.20173722750188</c:v>
                </c:pt>
                <c:pt idx="748">
                  <c:v>103.340109038557</c:v>
                </c:pt>
                <c:pt idx="749">
                  <c:v>103.47848084961213</c:v>
                </c:pt>
                <c:pt idx="750">
                  <c:v>103.61686465753196</c:v>
                </c:pt>
                <c:pt idx="751">
                  <c:v>103.75523646858706</c:v>
                </c:pt>
                <c:pt idx="752">
                  <c:v>103.89360827963588</c:v>
                </c:pt>
                <c:pt idx="753">
                  <c:v>104.03199208755572</c:v>
                </c:pt>
                <c:pt idx="754">
                  <c:v>104.17036389861084</c:v>
                </c:pt>
                <c:pt idx="755">
                  <c:v>104.30873570966594</c:v>
                </c:pt>
                <c:pt idx="756">
                  <c:v>104.44711951757949</c:v>
                </c:pt>
                <c:pt idx="757">
                  <c:v>104.5854913286346</c:v>
                </c:pt>
                <c:pt idx="758">
                  <c:v>104.72386313968973</c:v>
                </c:pt>
                <c:pt idx="759">
                  <c:v>104.86224694760325</c:v>
                </c:pt>
                <c:pt idx="760">
                  <c:v>105.00061875865839</c:v>
                </c:pt>
                <c:pt idx="761">
                  <c:v>105.13899056971351</c:v>
                </c:pt>
                <c:pt idx="762">
                  <c:v>105.27737437763335</c:v>
                </c:pt>
                <c:pt idx="763">
                  <c:v>105.41574618868216</c:v>
                </c:pt>
                <c:pt idx="764">
                  <c:v>105.55411799973727</c:v>
                </c:pt>
                <c:pt idx="765">
                  <c:v>105.69250180765711</c:v>
                </c:pt>
                <c:pt idx="766">
                  <c:v>105.83087361871223</c:v>
                </c:pt>
                <c:pt idx="767">
                  <c:v>105.96924542976105</c:v>
                </c:pt>
                <c:pt idx="768">
                  <c:v>106.10762923768088</c:v>
                </c:pt>
                <c:pt idx="769">
                  <c:v>106.24600104873599</c:v>
                </c:pt>
                <c:pt idx="770">
                  <c:v>106.38437285979111</c:v>
                </c:pt>
                <c:pt idx="771">
                  <c:v>106.52275666770464</c:v>
                </c:pt>
                <c:pt idx="772">
                  <c:v>106.66112847875976</c:v>
                </c:pt>
                <c:pt idx="773">
                  <c:v>106.79950028981489</c:v>
                </c:pt>
                <c:pt idx="774">
                  <c:v>106.93788409772843</c:v>
                </c:pt>
                <c:pt idx="775">
                  <c:v>107.07625590878355</c:v>
                </c:pt>
                <c:pt idx="776">
                  <c:v>107.21462771983866</c:v>
                </c:pt>
                <c:pt idx="777">
                  <c:v>107.3530115277585</c:v>
                </c:pt>
                <c:pt idx="778">
                  <c:v>107.49138333880731</c:v>
                </c:pt>
                <c:pt idx="779">
                  <c:v>107.62975514986243</c:v>
                </c:pt>
                <c:pt idx="780">
                  <c:v>107.76813895778227</c:v>
                </c:pt>
                <c:pt idx="781">
                  <c:v>107.90651076883738</c:v>
                </c:pt>
                <c:pt idx="782">
                  <c:v>108.04488257988619</c:v>
                </c:pt>
                <c:pt idx="783">
                  <c:v>108.18326638780603</c:v>
                </c:pt>
                <c:pt idx="784">
                  <c:v>108.32163819886115</c:v>
                </c:pt>
                <c:pt idx="785">
                  <c:v>108.46001000991627</c:v>
                </c:pt>
                <c:pt idx="786">
                  <c:v>108.59839381782982</c:v>
                </c:pt>
                <c:pt idx="787">
                  <c:v>108.73676562888494</c:v>
                </c:pt>
                <c:pt idx="788">
                  <c:v>108.87513743994003</c:v>
                </c:pt>
                <c:pt idx="789">
                  <c:v>109.0135212478536</c:v>
                </c:pt>
                <c:pt idx="790">
                  <c:v>109.1518930589087</c:v>
                </c:pt>
                <c:pt idx="791">
                  <c:v>109.29026486996382</c:v>
                </c:pt>
                <c:pt idx="792">
                  <c:v>109.42864867788366</c:v>
                </c:pt>
                <c:pt idx="793">
                  <c:v>109.56702048893249</c:v>
                </c:pt>
                <c:pt idx="794">
                  <c:v>109.70539229998758</c:v>
                </c:pt>
                <c:pt idx="795">
                  <c:v>109.84377610790742</c:v>
                </c:pt>
                <c:pt idx="796">
                  <c:v>109.98214791896254</c:v>
                </c:pt>
                <c:pt idx="797">
                  <c:v>110.12051973001766</c:v>
                </c:pt>
                <c:pt idx="798">
                  <c:v>110.2589035379312</c:v>
                </c:pt>
                <c:pt idx="799">
                  <c:v>110.39727534898633</c:v>
                </c:pt>
                <c:pt idx="800">
                  <c:v>110.53564716004142</c:v>
                </c:pt>
                <c:pt idx="801">
                  <c:v>110.67403096795498</c:v>
                </c:pt>
                <c:pt idx="802">
                  <c:v>110.81240277901009</c:v>
                </c:pt>
                <c:pt idx="803">
                  <c:v>110.95077459006521</c:v>
                </c:pt>
                <c:pt idx="804">
                  <c:v>111.08915839797875</c:v>
                </c:pt>
                <c:pt idx="805">
                  <c:v>111.22753020903387</c:v>
                </c:pt>
                <c:pt idx="806">
                  <c:v>111.36590202008897</c:v>
                </c:pt>
                <c:pt idx="807">
                  <c:v>111.5042858280088</c:v>
                </c:pt>
                <c:pt idx="808">
                  <c:v>111.64265763906393</c:v>
                </c:pt>
                <c:pt idx="809">
                  <c:v>111.78102945011275</c:v>
                </c:pt>
                <c:pt idx="810">
                  <c:v>111.91941325803259</c:v>
                </c:pt>
                <c:pt idx="811">
                  <c:v>112.05778506908771</c:v>
                </c:pt>
                <c:pt idx="812">
                  <c:v>112.19615688014281</c:v>
                </c:pt>
                <c:pt idx="813">
                  <c:v>112.33454068805636</c:v>
                </c:pt>
                <c:pt idx="814">
                  <c:v>112.47291249911147</c:v>
                </c:pt>
                <c:pt idx="815">
                  <c:v>112.6112843101666</c:v>
                </c:pt>
                <c:pt idx="816">
                  <c:v>112.74966811808012</c:v>
                </c:pt>
                <c:pt idx="817">
                  <c:v>112.88803992913525</c:v>
                </c:pt>
                <c:pt idx="818">
                  <c:v>113.02641174019035</c:v>
                </c:pt>
                <c:pt idx="819">
                  <c:v>113.16479554811019</c:v>
                </c:pt>
                <c:pt idx="820">
                  <c:v>113.30316735915902</c:v>
                </c:pt>
                <c:pt idx="821">
                  <c:v>113.44153917021414</c:v>
                </c:pt>
                <c:pt idx="822">
                  <c:v>113.57992297813398</c:v>
                </c:pt>
                <c:pt idx="823">
                  <c:v>113.7182947891891</c:v>
                </c:pt>
                <c:pt idx="824">
                  <c:v>113.85666660023792</c:v>
                </c:pt>
                <c:pt idx="825">
                  <c:v>113.99505040815775</c:v>
                </c:pt>
                <c:pt idx="826">
                  <c:v>114.13342221921286</c:v>
                </c:pt>
                <c:pt idx="827">
                  <c:v>114.27179403026798</c:v>
                </c:pt>
                <c:pt idx="828">
                  <c:v>114.41017783818151</c:v>
                </c:pt>
                <c:pt idx="829">
                  <c:v>114.54854964923663</c:v>
                </c:pt>
                <c:pt idx="830">
                  <c:v>114.68692146029174</c:v>
                </c:pt>
                <c:pt idx="831">
                  <c:v>114.8253052682053</c:v>
                </c:pt>
                <c:pt idx="832">
                  <c:v>114.96367707926039</c:v>
                </c:pt>
                <c:pt idx="833">
                  <c:v>115.10204889031553</c:v>
                </c:pt>
                <c:pt idx="834">
                  <c:v>115.24043269823535</c:v>
                </c:pt>
                <c:pt idx="835">
                  <c:v>115.37880450928418</c:v>
                </c:pt>
                <c:pt idx="836">
                  <c:v>115.5171763203393</c:v>
                </c:pt>
                <c:pt idx="837">
                  <c:v>115.65556012825914</c:v>
                </c:pt>
                <c:pt idx="838">
                  <c:v>115.79393193931425</c:v>
                </c:pt>
                <c:pt idx="839">
                  <c:v>115.93230375036937</c:v>
                </c:pt>
                <c:pt idx="840">
                  <c:v>116.0706875582829</c:v>
                </c:pt>
                <c:pt idx="841">
                  <c:v>116.20905936933802</c:v>
                </c:pt>
                <c:pt idx="842">
                  <c:v>116.34743118039313</c:v>
                </c:pt>
                <c:pt idx="843">
                  <c:v>116.48581498830669</c:v>
                </c:pt>
                <c:pt idx="844">
                  <c:v>116.62418679936178</c:v>
                </c:pt>
                <c:pt idx="845">
                  <c:v>116.7625586104169</c:v>
                </c:pt>
                <c:pt idx="846">
                  <c:v>116.90094241833044</c:v>
                </c:pt>
                <c:pt idx="847">
                  <c:v>117.03931422938557</c:v>
                </c:pt>
                <c:pt idx="848">
                  <c:v>117.17768604044069</c:v>
                </c:pt>
                <c:pt idx="849">
                  <c:v>117.31606984836053</c:v>
                </c:pt>
                <c:pt idx="850">
                  <c:v>117.45444165940935</c:v>
                </c:pt>
                <c:pt idx="851">
                  <c:v>117.59281347046445</c:v>
                </c:pt>
                <c:pt idx="852">
                  <c:v>117.73119727838429</c:v>
                </c:pt>
                <c:pt idx="853">
                  <c:v>117.86956908943941</c:v>
                </c:pt>
                <c:pt idx="854">
                  <c:v>118.00794090049452</c:v>
                </c:pt>
                <c:pt idx="855">
                  <c:v>118.14632470840807</c:v>
                </c:pt>
                <c:pt idx="856">
                  <c:v>118.28469651946317</c:v>
                </c:pt>
                <c:pt idx="857">
                  <c:v>118.42306833051829</c:v>
                </c:pt>
                <c:pt idx="858">
                  <c:v>118.56145213843183</c:v>
                </c:pt>
                <c:pt idx="859">
                  <c:v>118.69982394948696</c:v>
                </c:pt>
                <c:pt idx="860">
                  <c:v>118.83819576054208</c:v>
                </c:pt>
                <c:pt idx="861">
                  <c:v>118.97657956845561</c:v>
                </c:pt>
                <c:pt idx="862">
                  <c:v>119.11495137951074</c:v>
                </c:pt>
                <c:pt idx="863">
                  <c:v>119.25332319056584</c:v>
                </c:pt>
                <c:pt idx="864">
                  <c:v>119.39170699848567</c:v>
                </c:pt>
                <c:pt idx="865">
                  <c:v>119.5300788095408</c:v>
                </c:pt>
                <c:pt idx="866">
                  <c:v>119.66845062058962</c:v>
                </c:pt>
                <c:pt idx="867">
                  <c:v>119.80683442850946</c:v>
                </c:pt>
                <c:pt idx="868">
                  <c:v>119.94520623956456</c:v>
                </c:pt>
                <c:pt idx="869">
                  <c:v>120.08357805061968</c:v>
                </c:pt>
                <c:pt idx="870">
                  <c:v>120.22196185853322</c:v>
                </c:pt>
                <c:pt idx="871">
                  <c:v>120.36033366958834</c:v>
                </c:pt>
                <c:pt idx="872">
                  <c:v>120.49871747750187</c:v>
                </c:pt>
                <c:pt idx="873">
                  <c:v>120.63708928855699</c:v>
                </c:pt>
                <c:pt idx="874">
                  <c:v>120.77546109961212</c:v>
                </c:pt>
                <c:pt idx="875">
                  <c:v>120.91384490753195</c:v>
                </c:pt>
                <c:pt idx="876">
                  <c:v>121.05221671858706</c:v>
                </c:pt>
                <c:pt idx="877">
                  <c:v>121.19058852963589</c:v>
                </c:pt>
                <c:pt idx="878">
                  <c:v>121.32897233755573</c:v>
                </c:pt>
                <c:pt idx="879">
                  <c:v>121.46734414861085</c:v>
                </c:pt>
                <c:pt idx="880">
                  <c:v>121.60571595966594</c:v>
                </c:pt>
                <c:pt idx="881">
                  <c:v>121.7440997675795</c:v>
                </c:pt>
                <c:pt idx="882">
                  <c:v>121.88247157863461</c:v>
                </c:pt>
                <c:pt idx="883">
                  <c:v>122.02084338968973</c:v>
                </c:pt>
                <c:pt idx="884">
                  <c:v>122.15922719760326</c:v>
                </c:pt>
                <c:pt idx="885">
                  <c:v>122.29759900865838</c:v>
                </c:pt>
                <c:pt idx="886">
                  <c:v>122.4359708197135</c:v>
                </c:pt>
                <c:pt idx="887">
                  <c:v>122.57435462763334</c:v>
                </c:pt>
                <c:pt idx="888">
                  <c:v>122.71272643868217</c:v>
                </c:pt>
                <c:pt idx="889">
                  <c:v>122.85109824973726</c:v>
                </c:pt>
                <c:pt idx="890">
                  <c:v>122.9894820576571</c:v>
                </c:pt>
                <c:pt idx="891">
                  <c:v>123.12785386871222</c:v>
                </c:pt>
                <c:pt idx="892">
                  <c:v>123.26622567976105</c:v>
                </c:pt>
                <c:pt idx="893">
                  <c:v>123.40460948768089</c:v>
                </c:pt>
                <c:pt idx="894">
                  <c:v>123.542981298736</c:v>
                </c:pt>
                <c:pt idx="895">
                  <c:v>123.68135310979112</c:v>
                </c:pt>
                <c:pt idx="896">
                  <c:v>123.81973691770465</c:v>
                </c:pt>
                <c:pt idx="897">
                  <c:v>123.95810872875977</c:v>
                </c:pt>
                <c:pt idx="898">
                  <c:v>124.09648053981489</c:v>
                </c:pt>
                <c:pt idx="899">
                  <c:v>124.23486434772843</c:v>
                </c:pt>
                <c:pt idx="900">
                  <c:v>124.37323615878356</c:v>
                </c:pt>
                <c:pt idx="901">
                  <c:v>124.51160796983865</c:v>
                </c:pt>
                <c:pt idx="902">
                  <c:v>124.64999177775849</c:v>
                </c:pt>
                <c:pt idx="903">
                  <c:v>124.78836358880731</c:v>
                </c:pt>
                <c:pt idx="904">
                  <c:v>124.92673539986244</c:v>
                </c:pt>
                <c:pt idx="905">
                  <c:v>125.06511920778227</c:v>
                </c:pt>
                <c:pt idx="906">
                  <c:v>125.20349101883737</c:v>
                </c:pt>
                <c:pt idx="907">
                  <c:v>125.3418628298862</c:v>
                </c:pt>
                <c:pt idx="908">
                  <c:v>125.48024663780603</c:v>
                </c:pt>
                <c:pt idx="909">
                  <c:v>125.61861844886116</c:v>
                </c:pt>
                <c:pt idx="910">
                  <c:v>125.75699025991628</c:v>
                </c:pt>
                <c:pt idx="911">
                  <c:v>125.89537406782982</c:v>
                </c:pt>
                <c:pt idx="912">
                  <c:v>126.03374587888494</c:v>
                </c:pt>
                <c:pt idx="913">
                  <c:v>126.17211768994004</c:v>
                </c:pt>
                <c:pt idx="914">
                  <c:v>126.31050149785359</c:v>
                </c:pt>
                <c:pt idx="915">
                  <c:v>126.4488733089087</c:v>
                </c:pt>
                <c:pt idx="916">
                  <c:v>126.58724511996382</c:v>
                </c:pt>
                <c:pt idx="917">
                  <c:v>126.72562892788366</c:v>
                </c:pt>
                <c:pt idx="918">
                  <c:v>126.86400073893248</c:v>
                </c:pt>
                <c:pt idx="919">
                  <c:v>127.00237254998758</c:v>
                </c:pt>
                <c:pt idx="920">
                  <c:v>127.14075635790742</c:v>
                </c:pt>
                <c:pt idx="921">
                  <c:v>127.27912816896254</c:v>
                </c:pt>
                <c:pt idx="922">
                  <c:v>127.41749998001767</c:v>
                </c:pt>
                <c:pt idx="923">
                  <c:v>127.55588378793121</c:v>
                </c:pt>
                <c:pt idx="924">
                  <c:v>127.69425559898633</c:v>
                </c:pt>
                <c:pt idx="925">
                  <c:v>127.83262741004143</c:v>
                </c:pt>
                <c:pt idx="926">
                  <c:v>127.97101121795498</c:v>
                </c:pt>
                <c:pt idx="927">
                  <c:v>128.10938302901008</c:v>
                </c:pt>
                <c:pt idx="928">
                  <c:v>128.2477548400652</c:v>
                </c:pt>
                <c:pt idx="929">
                  <c:v>128.38613864797875</c:v>
                </c:pt>
                <c:pt idx="930">
                  <c:v>128.52451045903388</c:v>
                </c:pt>
                <c:pt idx="931">
                  <c:v>128.66288227008897</c:v>
                </c:pt>
                <c:pt idx="932">
                  <c:v>128.80126607800881</c:v>
                </c:pt>
                <c:pt idx="933">
                  <c:v>128.93963788906393</c:v>
                </c:pt>
                <c:pt idx="934">
                  <c:v>129.07800970011274</c:v>
                </c:pt>
                <c:pt idx="935">
                  <c:v>129.21639350803258</c:v>
                </c:pt>
                <c:pt idx="936">
                  <c:v>129.3547653190877</c:v>
                </c:pt>
                <c:pt idx="937">
                  <c:v>129.4931371301428</c:v>
                </c:pt>
                <c:pt idx="938">
                  <c:v>129.63152093805638</c:v>
                </c:pt>
                <c:pt idx="939">
                  <c:v>129.76989274911148</c:v>
                </c:pt>
                <c:pt idx="940">
                  <c:v>129.9082645601666</c:v>
                </c:pt>
                <c:pt idx="941">
                  <c:v>130.04664836808013</c:v>
                </c:pt>
                <c:pt idx="942">
                  <c:v>130.18502017913525</c:v>
                </c:pt>
                <c:pt idx="943">
                  <c:v>130.32339199019034</c:v>
                </c:pt>
                <c:pt idx="944">
                  <c:v>130.46177579811018</c:v>
                </c:pt>
                <c:pt idx="945">
                  <c:v>130.60014760915902</c:v>
                </c:pt>
                <c:pt idx="946">
                  <c:v>130.73851942021415</c:v>
                </c:pt>
                <c:pt idx="947">
                  <c:v>130.87690322813398</c:v>
                </c:pt>
                <c:pt idx="948">
                  <c:v>131.01527503918911</c:v>
                </c:pt>
                <c:pt idx="949">
                  <c:v>131.15364685023792</c:v>
                </c:pt>
                <c:pt idx="950">
                  <c:v>131.29203065815776</c:v>
                </c:pt>
                <c:pt idx="951">
                  <c:v>131.43040246921285</c:v>
                </c:pt>
                <c:pt idx="952">
                  <c:v>131.56877428026797</c:v>
                </c:pt>
                <c:pt idx="953">
                  <c:v>131.70715808818153</c:v>
                </c:pt>
                <c:pt idx="954">
                  <c:v>131.84552989923665</c:v>
                </c:pt>
                <c:pt idx="955">
                  <c:v>131.98390171029175</c:v>
                </c:pt>
                <c:pt idx="956">
                  <c:v>132.1222855182053</c:v>
                </c:pt>
                <c:pt idx="957">
                  <c:v>132.2606573292604</c:v>
                </c:pt>
                <c:pt idx="958">
                  <c:v>132.39902914031552</c:v>
                </c:pt>
                <c:pt idx="959">
                  <c:v>132.53741294823536</c:v>
                </c:pt>
                <c:pt idx="960">
                  <c:v>132.67578475928417</c:v>
                </c:pt>
                <c:pt idx="961">
                  <c:v>132.81415657033929</c:v>
                </c:pt>
                <c:pt idx="962">
                  <c:v>132.95254037825913</c:v>
                </c:pt>
                <c:pt idx="963">
                  <c:v>133.09091218931425</c:v>
                </c:pt>
                <c:pt idx="964">
                  <c:v>133.22928400036938</c:v>
                </c:pt>
                <c:pt idx="965">
                  <c:v>133.3676678082829</c:v>
                </c:pt>
                <c:pt idx="966">
                  <c:v>133.50603961933803</c:v>
                </c:pt>
                <c:pt idx="967">
                  <c:v>133.64441143039312</c:v>
                </c:pt>
                <c:pt idx="968">
                  <c:v>133.78279523830668</c:v>
                </c:pt>
                <c:pt idx="969">
                  <c:v>133.9211670493618</c:v>
                </c:pt>
                <c:pt idx="970">
                  <c:v>134.05953886041692</c:v>
                </c:pt>
                <c:pt idx="971">
                  <c:v>134.19792266833045</c:v>
                </c:pt>
                <c:pt idx="972">
                  <c:v>134.33629447938557</c:v>
                </c:pt>
                <c:pt idx="973">
                  <c:v>134.47466629044069</c:v>
                </c:pt>
                <c:pt idx="974">
                  <c:v>134.61305009836053</c:v>
                </c:pt>
                <c:pt idx="975">
                  <c:v>134.75142190940934</c:v>
                </c:pt>
                <c:pt idx="976">
                  <c:v>134.88979372046444</c:v>
                </c:pt>
                <c:pt idx="977">
                  <c:v>135.02817752838428</c:v>
                </c:pt>
                <c:pt idx="978">
                  <c:v>135.1665493394394</c:v>
                </c:pt>
                <c:pt idx="979">
                  <c:v>135.30492115049452</c:v>
                </c:pt>
                <c:pt idx="980">
                  <c:v>135.44330495840808</c:v>
                </c:pt>
                <c:pt idx="981">
                  <c:v>135.58167676946317</c:v>
                </c:pt>
                <c:pt idx="982">
                  <c:v>135.7200485805183</c:v>
                </c:pt>
                <c:pt idx="983">
                  <c:v>135.85843238843182</c:v>
                </c:pt>
                <c:pt idx="984">
                  <c:v>135.99680419948695</c:v>
                </c:pt>
                <c:pt idx="985">
                  <c:v>136.13517601054207</c:v>
                </c:pt>
                <c:pt idx="986">
                  <c:v>136.27355981845562</c:v>
                </c:pt>
                <c:pt idx="987">
                  <c:v>136.41193162951075</c:v>
                </c:pt>
                <c:pt idx="988">
                  <c:v>136.55030344056584</c:v>
                </c:pt>
                <c:pt idx="989">
                  <c:v>136.68868724848568</c:v>
                </c:pt>
                <c:pt idx="990">
                  <c:v>136.8270590595408</c:v>
                </c:pt>
                <c:pt idx="991">
                  <c:v>136.96543087058961</c:v>
                </c:pt>
                <c:pt idx="992">
                  <c:v>137.10381467850945</c:v>
                </c:pt>
                <c:pt idx="993">
                  <c:v>137.24218648956455</c:v>
                </c:pt>
                <c:pt idx="994">
                  <c:v>137.38055830061967</c:v>
                </c:pt>
                <c:pt idx="995">
                  <c:v>137.51894210853322</c:v>
                </c:pt>
                <c:pt idx="996">
                  <c:v>137.65731391958835</c:v>
                </c:pt>
                <c:pt idx="997">
                  <c:v>137.79569772750187</c:v>
                </c:pt>
                <c:pt idx="998">
                  <c:v>137.934069538557</c:v>
                </c:pt>
                <c:pt idx="999">
                  <c:v>138.07244134961212</c:v>
                </c:pt>
                <c:pt idx="1000">
                  <c:v>138.21082515753196</c:v>
                </c:pt>
                <c:pt idx="1001">
                  <c:v>138.34919696858705</c:v>
                </c:pt>
                <c:pt idx="1002">
                  <c:v>138.48756877963589</c:v>
                </c:pt>
                <c:pt idx="1003">
                  <c:v>138.62595258755573</c:v>
                </c:pt>
                <c:pt idx="1004">
                  <c:v>138.76432439861085</c:v>
                </c:pt>
                <c:pt idx="1005">
                  <c:v>138.90269620966595</c:v>
                </c:pt>
                <c:pt idx="1006">
                  <c:v>139.0410800175795</c:v>
                </c:pt>
                <c:pt idx="1007">
                  <c:v>139.1794518286346</c:v>
                </c:pt>
                <c:pt idx="1008">
                  <c:v>139.31782363968972</c:v>
                </c:pt>
                <c:pt idx="1009">
                  <c:v>139.45620744760325</c:v>
                </c:pt>
                <c:pt idx="1010">
                  <c:v>139.5945792586584</c:v>
                </c:pt>
                <c:pt idx="1011">
                  <c:v>139.73295106971352</c:v>
                </c:pt>
                <c:pt idx="1012">
                  <c:v>139.87133487763336</c:v>
                </c:pt>
                <c:pt idx="1013">
                  <c:v>140.00970668868217</c:v>
                </c:pt>
                <c:pt idx="1014">
                  <c:v>140.14807849973727</c:v>
                </c:pt>
                <c:pt idx="1015">
                  <c:v>140.2864623076571</c:v>
                </c:pt>
                <c:pt idx="1016">
                  <c:v>140.42483411871223</c:v>
                </c:pt>
                <c:pt idx="1017">
                  <c:v>140.56320592976104</c:v>
                </c:pt>
                <c:pt idx="1018">
                  <c:v>140.70158973768088</c:v>
                </c:pt>
                <c:pt idx="1019">
                  <c:v>140.839961548736</c:v>
                </c:pt>
                <c:pt idx="1020">
                  <c:v>140.97833335979112</c:v>
                </c:pt>
                <c:pt idx="1021">
                  <c:v>141.11671716770465</c:v>
                </c:pt>
                <c:pt idx="1022">
                  <c:v>141.25508897875977</c:v>
                </c:pt>
                <c:pt idx="1023">
                  <c:v>141.3934607898149</c:v>
                </c:pt>
                <c:pt idx="1024">
                  <c:v>141.53184459772842</c:v>
                </c:pt>
                <c:pt idx="1025">
                  <c:v>141.67021640878355</c:v>
                </c:pt>
                <c:pt idx="1026">
                  <c:v>141.80858821983867</c:v>
                </c:pt>
                <c:pt idx="1027">
                  <c:v>141.94697202775851</c:v>
                </c:pt>
                <c:pt idx="1028">
                  <c:v>142.08534383880732</c:v>
                </c:pt>
                <c:pt idx="1029">
                  <c:v>142.22371564986244</c:v>
                </c:pt>
                <c:pt idx="1030">
                  <c:v>142.36209945778228</c:v>
                </c:pt>
                <c:pt idx="1031">
                  <c:v>142.50047126883737</c:v>
                </c:pt>
                <c:pt idx="1032">
                  <c:v>142.63884307988619</c:v>
                </c:pt>
                <c:pt idx="1033">
                  <c:v>142.77722688780602</c:v>
                </c:pt>
                <c:pt idx="1034">
                  <c:v>142.91559869886115</c:v>
                </c:pt>
                <c:pt idx="1035">
                  <c:v>143.05397050991627</c:v>
                </c:pt>
                <c:pt idx="1036">
                  <c:v>143.19235431782982</c:v>
                </c:pt>
                <c:pt idx="1037">
                  <c:v>143.33072612888495</c:v>
                </c:pt>
                <c:pt idx="1038">
                  <c:v>143.46909793994004</c:v>
                </c:pt>
                <c:pt idx="1039">
                  <c:v>143.6074817478536</c:v>
                </c:pt>
                <c:pt idx="1040">
                  <c:v>143.74585355890869</c:v>
                </c:pt>
                <c:pt idx="1041">
                  <c:v>143.88422536996381</c:v>
                </c:pt>
                <c:pt idx="1042">
                  <c:v>144.02260917788365</c:v>
                </c:pt>
                <c:pt idx="1043">
                  <c:v>144.16098098893249</c:v>
                </c:pt>
                <c:pt idx="1044">
                  <c:v>144.29935279998759</c:v>
                </c:pt>
                <c:pt idx="1045">
                  <c:v>144.43773660790742</c:v>
                </c:pt>
                <c:pt idx="1046">
                  <c:v>144.57610841896255</c:v>
                </c:pt>
                <c:pt idx="1047">
                  <c:v>144.71448023001767</c:v>
                </c:pt>
                <c:pt idx="1048">
                  <c:v>144.8528640379312</c:v>
                </c:pt>
                <c:pt idx="1049">
                  <c:v>144.99123584898632</c:v>
                </c:pt>
                <c:pt idx="1050">
                  <c:v>145.12960766004142</c:v>
                </c:pt>
                <c:pt idx="1051">
                  <c:v>145.26799146795497</c:v>
                </c:pt>
                <c:pt idx="1052">
                  <c:v>145.40636327901009</c:v>
                </c:pt>
                <c:pt idx="1053">
                  <c:v>145.54473509006522</c:v>
                </c:pt>
                <c:pt idx="1054">
                  <c:v>145.68311889797874</c:v>
                </c:pt>
                <c:pt idx="1055">
                  <c:v>145.82149070903387</c:v>
                </c:pt>
                <c:pt idx="1056">
                  <c:v>145.95986252008896</c:v>
                </c:pt>
                <c:pt idx="1057">
                  <c:v>146.0982463280088</c:v>
                </c:pt>
                <c:pt idx="1058">
                  <c:v>146.23661813906392</c:v>
                </c:pt>
                <c:pt idx="1059">
                  <c:v>146.37498995011276</c:v>
                </c:pt>
                <c:pt idx="1060">
                  <c:v>146.5133737580326</c:v>
                </c:pt>
                <c:pt idx="1061">
                  <c:v>146.65174556908772</c:v>
                </c:pt>
                <c:pt idx="1062">
                  <c:v>146.79011738014282</c:v>
                </c:pt>
                <c:pt idx="1063">
                  <c:v>146.92850118805637</c:v>
                </c:pt>
                <c:pt idx="1064">
                  <c:v>147.06687299911147</c:v>
                </c:pt>
                <c:pt idx="1065">
                  <c:v>147.20524481016659</c:v>
                </c:pt>
                <c:pt idx="1066">
                  <c:v>147.34362861808012</c:v>
                </c:pt>
                <c:pt idx="1067">
                  <c:v>147.48200042913524</c:v>
                </c:pt>
                <c:pt idx="1068">
                  <c:v>147.62037224019036</c:v>
                </c:pt>
                <c:pt idx="1069">
                  <c:v>147.7587560481102</c:v>
                </c:pt>
                <c:pt idx="1070">
                  <c:v>147.89712785915901</c:v>
                </c:pt>
                <c:pt idx="1071">
                  <c:v>148.03549967021414</c:v>
                </c:pt>
                <c:pt idx="1072">
                  <c:v>148.17388347813397</c:v>
                </c:pt>
                <c:pt idx="1073">
                  <c:v>148.3122552891891</c:v>
                </c:pt>
                <c:pt idx="1074">
                  <c:v>148.45062710023791</c:v>
                </c:pt>
                <c:pt idx="1075">
                  <c:v>148.58901090815775</c:v>
                </c:pt>
                <c:pt idx="1076">
                  <c:v>148.72738271921287</c:v>
                </c:pt>
                <c:pt idx="1077">
                  <c:v>148.86575453026799</c:v>
                </c:pt>
                <c:pt idx="1078">
                  <c:v>149.00413833818152</c:v>
                </c:pt>
                <c:pt idx="1079">
                  <c:v>149.14251014923664</c:v>
                </c:pt>
                <c:pt idx="1080">
                  <c:v>149.28088196029174</c:v>
                </c:pt>
                <c:pt idx="1081">
                  <c:v>149.41926576820529</c:v>
                </c:pt>
                <c:pt idx="1082">
                  <c:v>149.55763757926039</c:v>
                </c:pt>
                <c:pt idx="1083">
                  <c:v>149.69600939031554</c:v>
                </c:pt>
                <c:pt idx="1084">
                  <c:v>149.83439319823535</c:v>
                </c:pt>
                <c:pt idx="1085">
                  <c:v>149.97276500928419</c:v>
                </c:pt>
                <c:pt idx="1086">
                  <c:v>150.11113682033931</c:v>
                </c:pt>
                <c:pt idx="1087">
                  <c:v>150.24952062825915</c:v>
                </c:pt>
                <c:pt idx="1088">
                  <c:v>150.38789243931424</c:v>
                </c:pt>
                <c:pt idx="1089">
                  <c:v>150.52626425036937</c:v>
                </c:pt>
                <c:pt idx="1090">
                  <c:v>150.66464805828289</c:v>
                </c:pt>
                <c:pt idx="1091">
                  <c:v>150.80301986933802</c:v>
                </c:pt>
                <c:pt idx="1092">
                  <c:v>150.94139168039314</c:v>
                </c:pt>
                <c:pt idx="1093">
                  <c:v>151.07977548830669</c:v>
                </c:pt>
                <c:pt idx="1094">
                  <c:v>151.21814729936179</c:v>
                </c:pt>
                <c:pt idx="1095">
                  <c:v>151.35651911041691</c:v>
                </c:pt>
                <c:pt idx="1096">
                  <c:v>151.49490291833044</c:v>
                </c:pt>
                <c:pt idx="1097">
                  <c:v>151.63327472938556</c:v>
                </c:pt>
                <c:pt idx="1098">
                  <c:v>151.77164654044068</c:v>
                </c:pt>
                <c:pt idx="1099">
                  <c:v>151.91003034836052</c:v>
                </c:pt>
                <c:pt idx="1100">
                  <c:v>152.04840215940936</c:v>
                </c:pt>
                <c:pt idx="1101">
                  <c:v>152.18677397046446</c:v>
                </c:pt>
                <c:pt idx="1102">
                  <c:v>152.32515777838429</c:v>
                </c:pt>
                <c:pt idx="1103">
                  <c:v>152.46352958943942</c:v>
                </c:pt>
                <c:pt idx="1104">
                  <c:v>152.60190140049451</c:v>
                </c:pt>
                <c:pt idx="1105">
                  <c:v>152.74028520840807</c:v>
                </c:pt>
                <c:pt idx="1106">
                  <c:v>152.87865701946316</c:v>
                </c:pt>
                <c:pt idx="1107">
                  <c:v>153.01702883051829</c:v>
                </c:pt>
                <c:pt idx="1108">
                  <c:v>153.15541263843184</c:v>
                </c:pt>
                <c:pt idx="1109">
                  <c:v>153.29378444948696</c:v>
                </c:pt>
                <c:pt idx="1110">
                  <c:v>153.43215626054209</c:v>
                </c:pt>
                <c:pt idx="1111">
                  <c:v>153.57054006845561</c:v>
                </c:pt>
                <c:pt idx="1112">
                  <c:v>153.70891187951074</c:v>
                </c:pt>
                <c:pt idx="1113">
                  <c:v>153.84728369056583</c:v>
                </c:pt>
                <c:pt idx="1114">
                  <c:v>153.98566749848567</c:v>
                </c:pt>
                <c:pt idx="1115">
                  <c:v>154.12403930954079</c:v>
                </c:pt>
                <c:pt idx="1116">
                  <c:v>154.26241112058963</c:v>
                </c:pt>
                <c:pt idx="1117">
                  <c:v>154.40079492850947</c:v>
                </c:pt>
                <c:pt idx="1118">
                  <c:v>154.53916673956456</c:v>
                </c:pt>
                <c:pt idx="1119">
                  <c:v>154.67753855061969</c:v>
                </c:pt>
                <c:pt idx="1120">
                  <c:v>154.81592235853321</c:v>
                </c:pt>
                <c:pt idx="1121">
                  <c:v>154.95429416958834</c:v>
                </c:pt>
                <c:pt idx="1122">
                  <c:v>155.09267797750186</c:v>
                </c:pt>
                <c:pt idx="1123">
                  <c:v>155.23104978855699</c:v>
                </c:pt>
                <c:pt idx="1124">
                  <c:v>155.36942159961211</c:v>
                </c:pt>
                <c:pt idx="1125">
                  <c:v>155.50780540753195</c:v>
                </c:pt>
                <c:pt idx="1126">
                  <c:v>155.64617721858707</c:v>
                </c:pt>
                <c:pt idx="1127">
                  <c:v>155.78454902963588</c:v>
                </c:pt>
                <c:pt idx="1128">
                  <c:v>155.92293283755572</c:v>
                </c:pt>
                <c:pt idx="1129">
                  <c:v>156.06130464861084</c:v>
                </c:pt>
                <c:pt idx="1130">
                  <c:v>156.19967645966594</c:v>
                </c:pt>
                <c:pt idx="1131">
                  <c:v>156.33806026757949</c:v>
                </c:pt>
                <c:pt idx="1132">
                  <c:v>156.47643207863462</c:v>
                </c:pt>
                <c:pt idx="1133">
                  <c:v>156.61480388968974</c:v>
                </c:pt>
                <c:pt idx="1134">
                  <c:v>156.75318769760327</c:v>
                </c:pt>
                <c:pt idx="1135">
                  <c:v>156.89155950865839</c:v>
                </c:pt>
                <c:pt idx="1136">
                  <c:v>157.02993131971351</c:v>
                </c:pt>
                <c:pt idx="1137">
                  <c:v>157.16831512763335</c:v>
                </c:pt>
                <c:pt idx="1138">
                  <c:v>157.30668693868216</c:v>
                </c:pt>
                <c:pt idx="1139">
                  <c:v>157.44505874973726</c:v>
                </c:pt>
                <c:pt idx="1140">
                  <c:v>157.58344255765709</c:v>
                </c:pt>
                <c:pt idx="1141">
                  <c:v>157.72181436871222</c:v>
                </c:pt>
                <c:pt idx="1142">
                  <c:v>157.86018617976106</c:v>
                </c:pt>
                <c:pt idx="1143">
                  <c:v>157.9985699876809</c:v>
                </c:pt>
                <c:pt idx="1144">
                  <c:v>158.13694179873599</c:v>
                </c:pt>
                <c:pt idx="1145">
                  <c:v>158.27531360979111</c:v>
                </c:pt>
                <c:pt idx="1146">
                  <c:v>158.41369741770464</c:v>
                </c:pt>
                <c:pt idx="1147">
                  <c:v>158.55206922875976</c:v>
                </c:pt>
                <c:pt idx="1148">
                  <c:v>158.69044103981489</c:v>
                </c:pt>
                <c:pt idx="1149">
                  <c:v>158.82882484772844</c:v>
                </c:pt>
                <c:pt idx="1150">
                  <c:v>158.96719665878356</c:v>
                </c:pt>
                <c:pt idx="1151">
                  <c:v>159.10556846983866</c:v>
                </c:pt>
                <c:pt idx="1152">
                  <c:v>159.2439522777585</c:v>
                </c:pt>
                <c:pt idx="1153">
                  <c:v>159.38232408880731</c:v>
                </c:pt>
                <c:pt idx="1154">
                  <c:v>159.52069589986243</c:v>
                </c:pt>
                <c:pt idx="1155">
                  <c:v>159.65907970778227</c:v>
                </c:pt>
                <c:pt idx="1156">
                  <c:v>159.79745151883736</c:v>
                </c:pt>
                <c:pt idx="1157">
                  <c:v>159.9358233298862</c:v>
                </c:pt>
                <c:pt idx="1158">
                  <c:v>160.07420713780604</c:v>
                </c:pt>
                <c:pt idx="1159">
                  <c:v>160.21257894886116</c:v>
                </c:pt>
                <c:pt idx="1160">
                  <c:v>160.35095075991629</c:v>
                </c:pt>
                <c:pt idx="1161">
                  <c:v>160.48933456782981</c:v>
                </c:pt>
                <c:pt idx="1162">
                  <c:v>160.62770637888494</c:v>
                </c:pt>
                <c:pt idx="1163">
                  <c:v>160.76607818994003</c:v>
                </c:pt>
                <c:pt idx="1164">
                  <c:v>160.90446199785359</c:v>
                </c:pt>
                <c:pt idx="1165">
                  <c:v>161.04283380890871</c:v>
                </c:pt>
                <c:pt idx="1166">
                  <c:v>161.18120561996383</c:v>
                </c:pt>
                <c:pt idx="1167">
                  <c:v>161.31958942788367</c:v>
                </c:pt>
                <c:pt idx="1168">
                  <c:v>161.45796123893248</c:v>
                </c:pt>
                <c:pt idx="1169">
                  <c:v>161.59633304998758</c:v>
                </c:pt>
                <c:pt idx="1170">
                  <c:v>161.73471685790742</c:v>
                </c:pt>
                <c:pt idx="1171">
                  <c:v>161.87308866896254</c:v>
                </c:pt>
                <c:pt idx="1172">
                  <c:v>162.01146048001766</c:v>
                </c:pt>
                <c:pt idx="1173">
                  <c:v>162.14984428793122</c:v>
                </c:pt>
                <c:pt idx="1174">
                  <c:v>162.28821609898634</c:v>
                </c:pt>
                <c:pt idx="1175">
                  <c:v>162.42658791004143</c:v>
                </c:pt>
                <c:pt idx="1176">
                  <c:v>162.56497171795499</c:v>
                </c:pt>
                <c:pt idx="1177">
                  <c:v>162.70334352901008</c:v>
                </c:pt>
                <c:pt idx="1178">
                  <c:v>162.84171534006521</c:v>
                </c:pt>
                <c:pt idx="1179">
                  <c:v>162.98009914797873</c:v>
                </c:pt>
                <c:pt idx="1180">
                  <c:v>163.11847095903386</c:v>
                </c:pt>
                <c:pt idx="1181">
                  <c:v>163.25684277008898</c:v>
                </c:pt>
                <c:pt idx="1182">
                  <c:v>163.39522657800882</c:v>
                </c:pt>
                <c:pt idx="1183">
                  <c:v>163.53359838906394</c:v>
                </c:pt>
                <c:pt idx="1184">
                  <c:v>163.67197020011275</c:v>
                </c:pt>
                <c:pt idx="1185">
                  <c:v>163.81035400803259</c:v>
                </c:pt>
                <c:pt idx="1186">
                  <c:v>163.94872581908771</c:v>
                </c:pt>
                <c:pt idx="1187">
                  <c:v>164.08709763014281</c:v>
                </c:pt>
                <c:pt idx="1188">
                  <c:v>164.22548143805636</c:v>
                </c:pt>
                <c:pt idx="1189">
                  <c:v>164.36385324911149</c:v>
                </c:pt>
                <c:pt idx="1190">
                  <c:v>164.50222506016661</c:v>
                </c:pt>
                <c:pt idx="1191">
                  <c:v>164.64060886808014</c:v>
                </c:pt>
                <c:pt idx="1192">
                  <c:v>164.77898067913526</c:v>
                </c:pt>
                <c:pt idx="1193">
                  <c:v>164.91735249019035</c:v>
                </c:pt>
                <c:pt idx="1194">
                  <c:v>165.05573629811019</c:v>
                </c:pt>
                <c:pt idx="1195">
                  <c:v>165.194108109159</c:v>
                </c:pt>
                <c:pt idx="1196">
                  <c:v>165.33247992021413</c:v>
                </c:pt>
                <c:pt idx="1197">
                  <c:v>165.47086372813396</c:v>
                </c:pt>
                <c:pt idx="1198">
                  <c:v>165.60923553918909</c:v>
                </c:pt>
                <c:pt idx="1199">
                  <c:v>165.74760735023793</c:v>
                </c:pt>
                <c:pt idx="1200">
                  <c:v>165.88599115815776</c:v>
                </c:pt>
                <c:pt idx="1201">
                  <c:v>166.02436296921286</c:v>
                </c:pt>
                <c:pt idx="1202">
                  <c:v>166.16273478026798</c:v>
                </c:pt>
                <c:pt idx="1203">
                  <c:v>166.30111858818151</c:v>
                </c:pt>
                <c:pt idx="1204">
                  <c:v>166.43949039923663</c:v>
                </c:pt>
                <c:pt idx="1205">
                  <c:v>166.57786221029176</c:v>
                </c:pt>
                <c:pt idx="1206">
                  <c:v>166.71624601820531</c:v>
                </c:pt>
                <c:pt idx="1207">
                  <c:v>166.85461782926041</c:v>
                </c:pt>
                <c:pt idx="1208">
                  <c:v>166.99298964031553</c:v>
                </c:pt>
                <c:pt idx="1209">
                  <c:v>167.13137344823537</c:v>
                </c:pt>
                <c:pt idx="1210">
                  <c:v>167.26974525928418</c:v>
                </c:pt>
                <c:pt idx="1211">
                  <c:v>167.4081170703393</c:v>
                </c:pt>
                <c:pt idx="1212">
                  <c:v>167.54650087825914</c:v>
                </c:pt>
                <c:pt idx="1213">
                  <c:v>167.68487268931423</c:v>
                </c:pt>
                <c:pt idx="1214">
                  <c:v>167.82324450036936</c:v>
                </c:pt>
                <c:pt idx="1215">
                  <c:v>167.96162830828291</c:v>
                </c:pt>
                <c:pt idx="1216">
                  <c:v>168.10000011933803</c:v>
                </c:pt>
                <c:pt idx="1217">
                  <c:v>168.23837193039313</c:v>
                </c:pt>
                <c:pt idx="1218">
                  <c:v>168.37675573830668</c:v>
                </c:pt>
                <c:pt idx="1219">
                  <c:v>168.51512754936178</c:v>
                </c:pt>
                <c:pt idx="1220">
                  <c:v>168.6386352478894</c:v>
                </c:pt>
              </c:numCache>
            </c:numRef>
          </c:xVal>
          <c:yVal>
            <c:numRef>
              <c:f>Simulation!$L$7:$L$1227</c:f>
              <c:numCache>
                <c:formatCode>General</c:formatCode>
                <c:ptCount val="1221"/>
                <c:pt idx="2">
                  <c:v>19.089705754905626</c:v>
                </c:pt>
                <c:pt idx="3">
                  <c:v>19.668164912841256</c:v>
                </c:pt>
                <c:pt idx="4">
                  <c:v>20.699497780038342</c:v>
                </c:pt>
                <c:pt idx="5">
                  <c:v>22.001408266916897</c:v>
                </c:pt>
                <c:pt idx="6">
                  <c:v>23.403956615100903</c:v>
                </c:pt>
                <c:pt idx="7">
                  <c:v>24.88047333664683</c:v>
                </c:pt>
                <c:pt idx="8">
                  <c:v>26.41895990720813</c:v>
                </c:pt>
                <c:pt idx="9">
                  <c:v>28.021528184614272</c:v>
                </c:pt>
                <c:pt idx="10">
                  <c:v>29.673667739562166</c:v>
                </c:pt>
                <c:pt idx="11">
                  <c:v>31.371266870037765</c:v>
                </c:pt>
                <c:pt idx="12">
                  <c:v>33.123053803557639</c:v>
                </c:pt>
                <c:pt idx="13">
                  <c:v>34.911593530877525</c:v>
                </c:pt>
                <c:pt idx="14">
                  <c:v>36.751817334617584</c:v>
                </c:pt>
                <c:pt idx="15">
                  <c:v>38.629786946402987</c:v>
                </c:pt>
                <c:pt idx="16">
                  <c:v>40.544051665227073</c:v>
                </c:pt>
                <c:pt idx="17">
                  <c:v>42.508170327226715</c:v>
                </c:pt>
                <c:pt idx="18">
                  <c:v>44.501767134233539</c:v>
                </c:pt>
                <c:pt idx="19">
                  <c:v>46.544687546342388</c:v>
                </c:pt>
                <c:pt idx="20">
                  <c:v>48.620869346967197</c:v>
                </c:pt>
                <c:pt idx="21">
                  <c:v>50.728663511432494</c:v>
                </c:pt>
                <c:pt idx="22">
                  <c:v>52.88596980350502</c:v>
                </c:pt>
                <c:pt idx="23">
                  <c:v>55.067552490446523</c:v>
                </c:pt>
                <c:pt idx="24">
                  <c:v>57.298734825769273</c:v>
                </c:pt>
                <c:pt idx="25">
                  <c:v>59.559524579446965</c:v>
                </c:pt>
                <c:pt idx="26">
                  <c:v>61.848406563970727</c:v>
                </c:pt>
                <c:pt idx="27">
                  <c:v>64.187370872422605</c:v>
                </c:pt>
                <c:pt idx="28">
                  <c:v>66.545857320020687</c:v>
                </c:pt>
                <c:pt idx="29">
                  <c:v>68.954984642475608</c:v>
                </c:pt>
                <c:pt idx="30">
                  <c:v>71.389845296993457</c:v>
                </c:pt>
                <c:pt idx="31">
                  <c:v>73.849732393877176</c:v>
                </c:pt>
                <c:pt idx="32">
                  <c:v>76.360660125936647</c:v>
                </c:pt>
                <c:pt idx="33">
                  <c:v>78.895863581376815</c:v>
                </c:pt>
                <c:pt idx="34">
                  <c:v>81.453394188376507</c:v>
                </c:pt>
                <c:pt idx="35">
                  <c:v>84.062819771521021</c:v>
                </c:pt>
                <c:pt idx="36">
                  <c:v>86.683791629498032</c:v>
                </c:pt>
                <c:pt idx="37">
                  <c:v>89.357132637787316</c:v>
                </c:pt>
                <c:pt idx="38">
                  <c:v>92.050501295575714</c:v>
                </c:pt>
                <c:pt idx="39">
                  <c:v>94.763235549022227</c:v>
                </c:pt>
                <c:pt idx="40">
                  <c:v>97.528787834585444</c:v>
                </c:pt>
                <c:pt idx="41">
                  <c:v>100.30095327814708</c:v>
                </c:pt>
                <c:pt idx="42">
                  <c:v>103.12556915130513</c:v>
                </c:pt>
                <c:pt idx="43">
                  <c:v>105.96750746757233</c:v>
                </c:pt>
                <c:pt idx="44">
                  <c:v>108.82473400842002</c:v>
                </c:pt>
                <c:pt idx="45">
                  <c:v>111.7359534544601</c:v>
                </c:pt>
                <c:pt idx="46">
                  <c:v>114.647644899689</c:v>
                </c:pt>
                <c:pt idx="47">
                  <c:v>117.61380993600108</c:v>
                </c:pt>
                <c:pt idx="48">
                  <c:v>120.59306495606208</c:v>
                </c:pt>
                <c:pt idx="49">
                  <c:v>123.58293469832628</c:v>
                </c:pt>
                <c:pt idx="50">
                  <c:v>126.62891031767627</c:v>
                </c:pt>
                <c:pt idx="51">
                  <c:v>129.66945046997091</c:v>
                </c:pt>
                <c:pt idx="52">
                  <c:v>132.76465778837618</c:v>
                </c:pt>
                <c:pt idx="53">
                  <c:v>135.86989937486243</c:v>
                </c:pt>
                <c:pt idx="54">
                  <c:v>138.98106478586541</c:v>
                </c:pt>
                <c:pt idx="55">
                  <c:v>142.14986661118303</c:v>
                </c:pt>
                <c:pt idx="56">
                  <c:v>145.30662880136796</c:v>
                </c:pt>
                <c:pt idx="57">
                  <c:v>148.51965141890767</c:v>
                </c:pt>
                <c:pt idx="58">
                  <c:v>151.73853208699092</c:v>
                </c:pt>
                <c:pt idx="59">
                  <c:v>154.95918764125753</c:v>
                </c:pt>
                <c:pt idx="60">
                  <c:v>158.23685232394479</c:v>
                </c:pt>
                <c:pt idx="61">
                  <c:v>161.51779059291184</c:v>
                </c:pt>
                <c:pt idx="62">
                  <c:v>164.79683805601331</c:v>
                </c:pt>
                <c:pt idx="63">
                  <c:v>168.13635210433497</c:v>
                </c:pt>
                <c:pt idx="64">
                  <c:v>171.45322001019252</c:v>
                </c:pt>
                <c:pt idx="65">
                  <c:v>174.82836584462547</c:v>
                </c:pt>
                <c:pt idx="66">
                  <c:v>178.20238548380863</c:v>
                </c:pt>
                <c:pt idx="67">
                  <c:v>181.5706883775191</c:v>
                </c:pt>
                <c:pt idx="68">
                  <c:v>184.99805524881464</c:v>
                </c:pt>
                <c:pt idx="69">
                  <c:v>188.39917565054466</c:v>
                </c:pt>
                <c:pt idx="70">
                  <c:v>191.8583298597089</c:v>
                </c:pt>
                <c:pt idx="71">
                  <c:v>195.31240896827501</c:v>
                </c:pt>
                <c:pt idx="72">
                  <c:v>198.75594369711357</c:v>
                </c:pt>
                <c:pt idx="73">
                  <c:v>202.25929388005241</c:v>
                </c:pt>
                <c:pt idx="74">
                  <c:v>205.73038309502434</c:v>
                </c:pt>
                <c:pt idx="75">
                  <c:v>209.26186307244956</c:v>
                </c:pt>
                <c:pt idx="76">
                  <c:v>212.77967288751813</c:v>
                </c:pt>
                <c:pt idx="77">
                  <c:v>216.2861271311597</c:v>
                </c:pt>
                <c:pt idx="78">
                  <c:v>219.85259867127886</c:v>
                </c:pt>
                <c:pt idx="79">
                  <c:v>223.37944960243263</c:v>
                </c:pt>
                <c:pt idx="80">
                  <c:v>226.96874199758881</c:v>
                </c:pt>
                <c:pt idx="81">
                  <c:v>230.53944513641522</c:v>
                </c:pt>
                <c:pt idx="82">
                  <c:v>234.09347051665753</c:v>
                </c:pt>
                <c:pt idx="83">
                  <c:v>237.71080796237152</c:v>
                </c:pt>
                <c:pt idx="84">
                  <c:v>241.30657696501416</c:v>
                </c:pt>
                <c:pt idx="85">
                  <c:v>244.88287095679792</c:v>
                </c:pt>
                <c:pt idx="86">
                  <c:v>248.52203457951407</c:v>
                </c:pt>
                <c:pt idx="87">
                  <c:v>252.1104532203349</c:v>
                </c:pt>
                <c:pt idx="88">
                  <c:v>255.76369905826246</c:v>
                </c:pt>
                <c:pt idx="89">
                  <c:v>259.39041242480477</c:v>
                </c:pt>
                <c:pt idx="90">
                  <c:v>262.99296157057677</c:v>
                </c:pt>
                <c:pt idx="91">
                  <c:v>266.66127189902801</c:v>
                </c:pt>
                <c:pt idx="92">
                  <c:v>270.26791728276999</c:v>
                </c:pt>
                <c:pt idx="93">
                  <c:v>273.94452146015448</c:v>
                </c:pt>
                <c:pt idx="94">
                  <c:v>277.58898114044808</c:v>
                </c:pt>
                <c:pt idx="95">
                  <c:v>281.20616334712031</c:v>
                </c:pt>
                <c:pt idx="96">
                  <c:v>284.88528469113305</c:v>
                </c:pt>
                <c:pt idx="97">
                  <c:v>288.50108497319695</c:v>
                </c:pt>
                <c:pt idx="98">
                  <c:v>292.18560357437508</c:v>
                </c:pt>
                <c:pt idx="99">
                  <c:v>295.83850688012154</c:v>
                </c:pt>
                <c:pt idx="100">
                  <c:v>299.44925082184557</c:v>
                </c:pt>
                <c:pt idx="101">
                  <c:v>303.1329667108393</c:v>
                </c:pt>
                <c:pt idx="102">
                  <c:v>306.7458192986</c:v>
                </c:pt>
                <c:pt idx="103">
                  <c:v>310.42339774244863</c:v>
                </c:pt>
                <c:pt idx="104">
                  <c:v>314.06474494897708</c:v>
                </c:pt>
                <c:pt idx="105">
                  <c:v>317.66815806590006</c:v>
                </c:pt>
                <c:pt idx="106">
                  <c:v>321.33716640868045</c:v>
                </c:pt>
                <c:pt idx="107">
                  <c:v>324.9282255136377</c:v>
                </c:pt>
                <c:pt idx="108">
                  <c:v>328.59608050452675</c:v>
                </c:pt>
                <c:pt idx="109">
                  <c:v>332.21258696963798</c:v>
                </c:pt>
                <c:pt idx="110">
                  <c:v>335.7866145069853</c:v>
                </c:pt>
                <c:pt idx="111">
                  <c:v>339.4386940724163</c:v>
                </c:pt>
                <c:pt idx="112">
                  <c:v>343.03641943890693</c:v>
                </c:pt>
                <c:pt idx="113">
                  <c:v>346.58903538274848</c:v>
                </c:pt>
                <c:pt idx="114">
                  <c:v>350.21718190824225</c:v>
                </c:pt>
                <c:pt idx="115">
                  <c:v>353.75699549861633</c:v>
                </c:pt>
                <c:pt idx="116">
                  <c:v>357.3654665313644</c:v>
                </c:pt>
                <c:pt idx="117">
                  <c:v>360.92627314576026</c:v>
                </c:pt>
                <c:pt idx="118">
                  <c:v>364.43777076476317</c:v>
                </c:pt>
                <c:pt idx="119">
                  <c:v>368.01888601872935</c:v>
                </c:pt>
                <c:pt idx="120">
                  <c:v>371.50560257879141</c:v>
                </c:pt>
                <c:pt idx="121">
                  <c:v>375.07357035397791</c:v>
                </c:pt>
                <c:pt idx="122">
                  <c:v>378.57865254186936</c:v>
                </c:pt>
                <c:pt idx="123">
                  <c:v>382.03023497674059</c:v>
                </c:pt>
                <c:pt idx="124">
                  <c:v>385.56438477321768</c:v>
                </c:pt>
                <c:pt idx="125">
                  <c:v>388.98660523099176</c:v>
                </c:pt>
                <c:pt idx="126">
                  <c:v>392.49218738563275</c:v>
                </c:pt>
                <c:pt idx="127">
                  <c:v>395.9376654273704</c:v>
                </c:pt>
                <c:pt idx="128">
                  <c:v>399.32692581909401</c:v>
                </c:pt>
                <c:pt idx="129">
                  <c:v>402.78793581799198</c:v>
                </c:pt>
                <c:pt idx="130">
                  <c:v>406.14236619298231</c:v>
                </c:pt>
                <c:pt idx="131">
                  <c:v>409.58368999399408</c:v>
                </c:pt>
                <c:pt idx="132">
                  <c:v>412.95197031311966</c:v>
                </c:pt>
                <c:pt idx="133">
                  <c:v>416.2589104687404</c:v>
                </c:pt>
                <c:pt idx="134">
                  <c:v>419.65411685269913</c:v>
                </c:pt>
                <c:pt idx="135">
                  <c:v>422.97371483363344</c:v>
                </c:pt>
                <c:pt idx="136">
                  <c:v>426.22978452031634</c:v>
                </c:pt>
                <c:pt idx="137">
                  <c:v>429.57550451406951</c:v>
                </c:pt>
                <c:pt idx="138">
                  <c:v>432.79114911831357</c:v>
                </c:pt>
                <c:pt idx="139">
                  <c:v>436.09731699329438</c:v>
                </c:pt>
                <c:pt idx="140">
                  <c:v>439.33794680864543</c:v>
                </c:pt>
                <c:pt idx="141">
                  <c:v>442.49725521567461</c:v>
                </c:pt>
                <c:pt idx="142">
                  <c:v>445.74848545999112</c:v>
                </c:pt>
                <c:pt idx="143">
                  <c:v>448.87381090150421</c:v>
                </c:pt>
                <c:pt idx="144">
                  <c:v>452.09072286063508</c:v>
                </c:pt>
                <c:pt idx="145">
                  <c:v>455.22530085245495</c:v>
                </c:pt>
                <c:pt idx="146">
                  <c:v>458.28944725978613</c:v>
                </c:pt>
                <c:pt idx="147">
                  <c:v>461.44655619593487</c:v>
                </c:pt>
                <c:pt idx="148">
                  <c:v>464.46382617304545</c:v>
                </c:pt>
                <c:pt idx="149">
                  <c:v>467.57493807066533</c:v>
                </c:pt>
                <c:pt idx="150">
                  <c:v>470.61385346000935</c:v>
                </c:pt>
                <c:pt idx="151">
                  <c:v>473.5653134449052</c:v>
                </c:pt>
                <c:pt idx="152">
                  <c:v>476.61201044408671</c:v>
                </c:pt>
                <c:pt idx="153">
                  <c:v>479.52761858248499</c:v>
                </c:pt>
                <c:pt idx="154">
                  <c:v>482.52525956232449</c:v>
                </c:pt>
                <c:pt idx="155">
                  <c:v>485.44762765052957</c:v>
                </c:pt>
                <c:pt idx="156">
                  <c:v>488.29351064142099</c:v>
                </c:pt>
                <c:pt idx="157">
                  <c:v>491.22255879010754</c:v>
                </c:pt>
                <c:pt idx="158">
                  <c:v>494.07461138638001</c:v>
                </c:pt>
                <c:pt idx="159">
                  <c:v>496.84312671583325</c:v>
                </c:pt>
                <c:pt idx="160">
                  <c:v>499.7121575563541</c:v>
                </c:pt>
                <c:pt idx="161">
                  <c:v>502.42603017463546</c:v>
                </c:pt>
                <c:pt idx="162">
                  <c:v>505.24127974289962</c:v>
                </c:pt>
                <c:pt idx="163">
                  <c:v>507.97690188077087</c:v>
                </c:pt>
                <c:pt idx="164">
                  <c:v>510.6151913441775</c:v>
                </c:pt>
                <c:pt idx="165">
                  <c:v>513.35629074838732</c:v>
                </c:pt>
                <c:pt idx="166">
                  <c:v>515.95484190789432</c:v>
                </c:pt>
                <c:pt idx="167">
                  <c:v>518.63882980143705</c:v>
                </c:pt>
                <c:pt idx="168">
                  <c:v>521.24218618153532</c:v>
                </c:pt>
                <c:pt idx="169">
                  <c:v>523.76233519645814</c:v>
                </c:pt>
                <c:pt idx="170">
                  <c:v>526.36905992924278</c:v>
                </c:pt>
                <c:pt idx="171">
                  <c:v>528.83086225825582</c:v>
                </c:pt>
                <c:pt idx="172">
                  <c:v>531.39720816148804</c:v>
                </c:pt>
                <c:pt idx="173">
                  <c:v>533.86183193568365</c:v>
                </c:pt>
                <c:pt idx="174">
                  <c:v>536.24258599740904</c:v>
                </c:pt>
                <c:pt idx="175">
                  <c:v>538.72286416356542</c:v>
                </c:pt>
                <c:pt idx="176">
                  <c:v>541.05471041757528</c:v>
                </c:pt>
                <c:pt idx="177">
                  <c:v>543.47576039890646</c:v>
                </c:pt>
                <c:pt idx="178">
                  <c:v>545.81023776196173</c:v>
                </c:pt>
                <c:pt idx="179">
                  <c:v>548.05892650478529</c:v>
                </c:pt>
                <c:pt idx="180">
                  <c:v>550.39794433818872</c:v>
                </c:pt>
                <c:pt idx="181">
                  <c:v>552.58354378960371</c:v>
                </c:pt>
                <c:pt idx="182">
                  <c:v>554.87983876458873</c:v>
                </c:pt>
                <c:pt idx="183">
                  <c:v>557.06971706428692</c:v>
                </c:pt>
                <c:pt idx="184">
                  <c:v>559.17636048217344</c:v>
                </c:pt>
                <c:pt idx="185">
                  <c:v>561.37074454319304</c:v>
                </c:pt>
                <c:pt idx="186">
                  <c:v>563.49402680458252</c:v>
                </c:pt>
                <c:pt idx="187">
                  <c:v>565.50884917300596</c:v>
                </c:pt>
                <c:pt idx="188">
                  <c:v>567.61854667265766</c:v>
                </c:pt>
                <c:pt idx="189">
                  <c:v>569.58797865851375</c:v>
                </c:pt>
                <c:pt idx="190">
                  <c:v>571.65313722281542</c:v>
                </c:pt>
                <c:pt idx="191">
                  <c:v>573.60876207206582</c:v>
                </c:pt>
                <c:pt idx="192">
                  <c:v>575.49137911762944</c:v>
                </c:pt>
                <c:pt idx="193">
                  <c:v>577.4707864980254</c:v>
                </c:pt>
                <c:pt idx="194">
                  <c:v>579.27069788670087</c:v>
                </c:pt>
                <c:pt idx="195">
                  <c:v>581.20401766765974</c:v>
                </c:pt>
                <c:pt idx="196">
                  <c:v>583.02797210919744</c:v>
                </c:pt>
                <c:pt idx="197">
                  <c:v>584.74001632070122</c:v>
                </c:pt>
                <c:pt idx="198">
                  <c:v>586.58687483622225</c:v>
                </c:pt>
                <c:pt idx="199">
                  <c:v>588.24075653202908</c:v>
                </c:pt>
                <c:pt idx="200">
                  <c:v>590.03037373205325</c:v>
                </c:pt>
                <c:pt idx="201">
                  <c:v>591.70745007920266</c:v>
                </c:pt>
                <c:pt idx="202">
                  <c:v>593.27305264203062</c:v>
                </c:pt>
                <c:pt idx="203">
                  <c:v>594.97573772559076</c:v>
                </c:pt>
                <c:pt idx="204">
                  <c:v>596.49414923673498</c:v>
                </c:pt>
                <c:pt idx="205">
                  <c:v>598.11354193768898</c:v>
                </c:pt>
                <c:pt idx="206">
                  <c:v>599.65802193293098</c:v>
                </c:pt>
                <c:pt idx="207">
                  <c:v>601.08814632359554</c:v>
                </c:pt>
                <c:pt idx="208">
                  <c:v>602.62025686267953</c:v>
                </c:pt>
                <c:pt idx="209">
                  <c:v>604.07716254634931</c:v>
                </c:pt>
                <c:pt idx="210">
                  <c:v>605.4191270923576</c:v>
                </c:pt>
                <c:pt idx="211">
                  <c:v>606.86405721973483</c:v>
                </c:pt>
                <c:pt idx="212">
                  <c:v>608.16049401788769</c:v>
                </c:pt>
                <c:pt idx="213">
                  <c:v>609.56061818105263</c:v>
                </c:pt>
                <c:pt idx="214">
                  <c:v>610.84542155736676</c:v>
                </c:pt>
                <c:pt idx="215">
                  <c:v>612.05415632676852</c:v>
                </c:pt>
                <c:pt idx="216">
                  <c:v>613.36755432689404</c:v>
                </c:pt>
                <c:pt idx="217">
                  <c:v>614.49208144270222</c:v>
                </c:pt>
                <c:pt idx="218">
                  <c:v>615.75992458390044</c:v>
                </c:pt>
                <c:pt idx="219">
                  <c:v>616.91367586820138</c:v>
                </c:pt>
                <c:pt idx="220">
                  <c:v>617.95103338800163</c:v>
                </c:pt>
                <c:pt idx="221">
                  <c:v>619.13286823119404</c:v>
                </c:pt>
                <c:pt idx="222">
                  <c:v>620.12649050004563</c:v>
                </c:pt>
                <c:pt idx="223">
                  <c:v>621.22497987930478</c:v>
                </c:pt>
                <c:pt idx="224">
                  <c:v>622.24739032709772</c:v>
                </c:pt>
                <c:pt idx="225">
                  <c:v>623.15489754670307</c:v>
                </c:pt>
                <c:pt idx="226">
                  <c:v>624.16814910794324</c:v>
                </c:pt>
                <c:pt idx="227">
                  <c:v>625.03092528322736</c:v>
                </c:pt>
                <c:pt idx="228">
                  <c:v>626.00189246579362</c:v>
                </c:pt>
                <c:pt idx="229">
                  <c:v>626.85606054809512</c:v>
                </c:pt>
                <c:pt idx="230">
                  <c:v>627.63397337830543</c:v>
                </c:pt>
                <c:pt idx="231">
                  <c:v>628.50730823742106</c:v>
                </c:pt>
                <c:pt idx="232">
                  <c:v>629.22913783924503</c:v>
                </c:pt>
                <c:pt idx="233">
                  <c:v>630.06051869845192</c:v>
                </c:pt>
                <c:pt idx="234">
                  <c:v>630.77495834963713</c:v>
                </c:pt>
                <c:pt idx="235">
                  <c:v>631.41336953197253</c:v>
                </c:pt>
                <c:pt idx="236">
                  <c:v>632.16212611452681</c:v>
                </c:pt>
                <c:pt idx="237">
                  <c:v>632.79392273717917</c:v>
                </c:pt>
                <c:pt idx="238">
                  <c:v>633.34986505413985</c:v>
                </c:pt>
                <c:pt idx="239">
                  <c:v>634.0168928434922</c:v>
                </c:pt>
                <c:pt idx="240">
                  <c:v>634.4909282214212</c:v>
                </c:pt>
                <c:pt idx="241">
                  <c:v>635.11780166963729</c:v>
                </c:pt>
                <c:pt idx="242">
                  <c:v>635.62788166250709</c:v>
                </c:pt>
                <c:pt idx="243">
                  <c:v>636.02114281351783</c:v>
                </c:pt>
                <c:pt idx="244">
                  <c:v>636.56802659799462</c:v>
                </c:pt>
                <c:pt idx="245">
                  <c:v>636.92251563116452</c:v>
                </c:pt>
                <c:pt idx="246">
                  <c:v>637.38779800916484</c:v>
                </c:pt>
                <c:pt idx="247">
                  <c:v>637.77996109178105</c:v>
                </c:pt>
                <c:pt idx="248">
                  <c:v>638.05564018557379</c:v>
                </c:pt>
                <c:pt idx="249">
                  <c:v>638.44274126221751</c:v>
                </c:pt>
                <c:pt idx="250">
                  <c:v>638.68107415881991</c:v>
                </c:pt>
                <c:pt idx="251">
                  <c:v>639.03126502926023</c:v>
                </c:pt>
                <c:pt idx="252">
                  <c:v>639.26539728347427</c:v>
                </c:pt>
                <c:pt idx="253">
                  <c:v>639.42702682174456</c:v>
                </c:pt>
                <c:pt idx="254">
                  <c:v>639.70108799000627</c:v>
                </c:pt>
                <c:pt idx="255">
                  <c:v>639.78329517068437</c:v>
                </c:pt>
                <c:pt idx="256">
                  <c:v>640.02185007706726</c:v>
                </c:pt>
                <c:pt idx="257">
                  <c:v>640.14496733327519</c:v>
                </c:pt>
                <c:pt idx="258">
                  <c:v>640.15272221223324</c:v>
                </c:pt>
                <c:pt idx="259">
                  <c:v>640.3173761574966</c:v>
                </c:pt>
                <c:pt idx="260">
                  <c:v>640.35310738019905</c:v>
                </c:pt>
                <c:pt idx="261">
                  <c:v>640.31553881681702</c:v>
                </c:pt>
                <c:pt idx="262">
                  <c:v>640.39375415989139</c:v>
                </c:pt>
                <c:pt idx="263">
                  <c:v>640.28054313945506</c:v>
                </c:pt>
                <c:pt idx="264">
                  <c:v>640.32506500399268</c:v>
                </c:pt>
                <c:pt idx="265">
                  <c:v>640.25532301848432</c:v>
                </c:pt>
                <c:pt idx="266">
                  <c:v>640.07147442056123</c:v>
                </c:pt>
                <c:pt idx="267">
                  <c:v>640.04577802270865</c:v>
                </c:pt>
                <c:pt idx="268">
                  <c:v>639.83018068172157</c:v>
                </c:pt>
                <c:pt idx="269">
                  <c:v>639.72949319058648</c:v>
                </c:pt>
                <c:pt idx="270">
                  <c:v>639.55895599295866</c:v>
                </c:pt>
                <c:pt idx="271">
                  <c:v>639.27524600085098</c:v>
                </c:pt>
                <c:pt idx="272">
                  <c:v>639.10683835615509</c:v>
                </c:pt>
                <c:pt idx="273">
                  <c:v>638.7930755191453</c:v>
                </c:pt>
                <c:pt idx="274">
                  <c:v>638.59481930402603</c:v>
                </c:pt>
                <c:pt idx="275">
                  <c:v>638.28421423812017</c:v>
                </c:pt>
                <c:pt idx="276">
                  <c:v>637.9049439690599</c:v>
                </c:pt>
                <c:pt idx="277">
                  <c:v>637.64149804651026</c:v>
                </c:pt>
                <c:pt idx="278">
                  <c:v>637.19047940512951</c:v>
                </c:pt>
                <c:pt idx="279">
                  <c:v>636.89887032611443</c:v>
                </c:pt>
                <c:pt idx="280">
                  <c:v>636.49601943073253</c:v>
                </c:pt>
                <c:pt idx="281">
                  <c:v>635.98222553894379</c:v>
                </c:pt>
                <c:pt idx="282">
                  <c:v>635.62797737134747</c:v>
                </c:pt>
                <c:pt idx="283">
                  <c:v>635.16316905457779</c:v>
                </c:pt>
                <c:pt idx="284">
                  <c:v>634.58818951864487</c:v>
                </c:pt>
                <c:pt idx="285">
                  <c:v>634.17293495001718</c:v>
                </c:pt>
                <c:pt idx="286">
                  <c:v>633.57179404432134</c:v>
                </c:pt>
                <c:pt idx="287">
                  <c:v>633.08925099294697</c:v>
                </c:pt>
                <c:pt idx="288">
                  <c:v>632.5385286511106</c:v>
                </c:pt>
                <c:pt idx="289">
                  <c:v>631.87888767972163</c:v>
                </c:pt>
                <c:pt idx="290">
                  <c:v>631.33805046515386</c:v>
                </c:pt>
                <c:pt idx="291">
                  <c:v>630.65468217060641</c:v>
                </c:pt>
                <c:pt idx="292">
                  <c:v>630.07459462873942</c:v>
                </c:pt>
                <c:pt idx="293">
                  <c:v>629.42936330079874</c:v>
                </c:pt>
                <c:pt idx="294">
                  <c:v>628.67658694063675</c:v>
                </c:pt>
                <c:pt idx="295">
                  <c:v>628.04092488287199</c:v>
                </c:pt>
                <c:pt idx="296">
                  <c:v>627.26618644410826</c:v>
                </c:pt>
                <c:pt idx="297">
                  <c:v>626.60857755112283</c:v>
                </c:pt>
                <c:pt idx="298">
                  <c:v>625.84435737687636</c:v>
                </c:pt>
                <c:pt idx="299">
                  <c:v>625.01658919823353</c:v>
                </c:pt>
                <c:pt idx="300">
                  <c:v>624.30544682694642</c:v>
                </c:pt>
                <c:pt idx="301">
                  <c:v>623.41626869083666</c:v>
                </c:pt>
                <c:pt idx="302">
                  <c:v>622.68484112388899</c:v>
                </c:pt>
                <c:pt idx="303">
                  <c:v>621.84827259588133</c:v>
                </c:pt>
                <c:pt idx="304">
                  <c:v>620.90897273040457</c:v>
                </c:pt>
                <c:pt idx="305">
                  <c:v>620.12732658393588</c:v>
                </c:pt>
                <c:pt idx="306">
                  <c:v>619.16775084920118</c:v>
                </c:pt>
                <c:pt idx="307">
                  <c:v>618.32730465954592</c:v>
                </c:pt>
                <c:pt idx="308">
                  <c:v>617.42346872848736</c:v>
                </c:pt>
                <c:pt idx="309">
                  <c:v>616.41649489322958</c:v>
                </c:pt>
                <c:pt idx="310">
                  <c:v>615.52859328071941</c:v>
                </c:pt>
                <c:pt idx="311">
                  <c:v>614.57808505070523</c:v>
                </c:pt>
                <c:pt idx="312">
                  <c:v>613.52542079948751</c:v>
                </c:pt>
                <c:pt idx="313">
                  <c:v>612.59174089278872</c:v>
                </c:pt>
                <c:pt idx="314">
                  <c:v>611.52279637140191</c:v>
                </c:pt>
                <c:pt idx="315">
                  <c:v>610.57270647303937</c:v>
                </c:pt>
                <c:pt idx="316">
                  <c:v>609.52159678199803</c:v>
                </c:pt>
                <c:pt idx="317">
                  <c:v>608.40963378992649</c:v>
                </c:pt>
                <c:pt idx="318">
                  <c:v>607.41638711785265</c:v>
                </c:pt>
                <c:pt idx="319">
                  <c:v>606.25092499187087</c:v>
                </c:pt>
                <c:pt idx="320">
                  <c:v>605.2417206686689</c:v>
                </c:pt>
                <c:pt idx="321">
                  <c:v>604.13490865513927</c:v>
                </c:pt>
                <c:pt idx="322">
                  <c:v>602.92926823519497</c:v>
                </c:pt>
                <c:pt idx="323">
                  <c:v>601.87949672735783</c:v>
                </c:pt>
                <c:pt idx="324">
                  <c:v>600.64858589445066</c:v>
                </c:pt>
                <c:pt idx="325">
                  <c:v>599.57322129366469</c:v>
                </c:pt>
                <c:pt idx="326">
                  <c:v>598.40012168156136</c:v>
                </c:pt>
                <c:pt idx="327">
                  <c:v>597.13173646607322</c:v>
                </c:pt>
                <c:pt idx="328">
                  <c:v>596.0184537879959</c:v>
                </c:pt>
                <c:pt idx="329">
                  <c:v>594.73763407413139</c:v>
                </c:pt>
                <c:pt idx="330">
                  <c:v>593.57473235728276</c:v>
                </c:pt>
                <c:pt idx="331">
                  <c:v>592.35441533055473</c:v>
                </c:pt>
                <c:pt idx="332">
                  <c:v>591.03868997081406</c:v>
                </c:pt>
                <c:pt idx="333">
                  <c:v>589.84055429219393</c:v>
                </c:pt>
                <c:pt idx="334">
                  <c:v>588.58579579890238</c:v>
                </c:pt>
                <c:pt idx="335">
                  <c:v>587.23670854684394</c:v>
                </c:pt>
                <c:pt idx="336">
                  <c:v>586.00492393666718</c:v>
                </c:pt>
                <c:pt idx="337">
                  <c:v>584.64712229365352</c:v>
                </c:pt>
                <c:pt idx="338">
                  <c:v>583.40635268934022</c:v>
                </c:pt>
                <c:pt idx="339">
                  <c:v>582.07237155006158</c:v>
                </c:pt>
                <c:pt idx="340">
                  <c:v>580.68366256773186</c:v>
                </c:pt>
                <c:pt idx="341">
                  <c:v>579.41166192470632</c:v>
                </c:pt>
                <c:pt idx="342">
                  <c:v>577.97870678256277</c:v>
                </c:pt>
                <c:pt idx="343">
                  <c:v>576.69800716536088</c:v>
                </c:pt>
                <c:pt idx="344">
                  <c:v>575.32757635794667</c:v>
                </c:pt>
                <c:pt idx="345">
                  <c:v>573.86639051348925</c:v>
                </c:pt>
                <c:pt idx="346">
                  <c:v>572.55681770674857</c:v>
                </c:pt>
                <c:pt idx="347">
                  <c:v>571.09059786409296</c:v>
                </c:pt>
                <c:pt idx="348">
                  <c:v>569.73842099572926</c:v>
                </c:pt>
                <c:pt idx="349">
                  <c:v>568.33357143139574</c:v>
                </c:pt>
                <c:pt idx="350">
                  <c:v>566.8414366001723</c:v>
                </c:pt>
                <c:pt idx="351">
                  <c:v>565.46294072271212</c:v>
                </c:pt>
                <c:pt idx="352">
                  <c:v>563.96545857579031</c:v>
                </c:pt>
                <c:pt idx="353">
                  <c:v>562.58291444312817</c:v>
                </c:pt>
                <c:pt idx="354">
                  <c:v>561.11251975092159</c:v>
                </c:pt>
                <c:pt idx="355">
                  <c:v>559.59141267280086</c:v>
                </c:pt>
                <c:pt idx="356">
                  <c:v>558.17266845603899</c:v>
                </c:pt>
                <c:pt idx="357">
                  <c:v>556.63663408386799</c:v>
                </c:pt>
                <c:pt idx="358">
                  <c:v>555.21467048369732</c:v>
                </c:pt>
                <c:pt idx="359">
                  <c:v>553.70666206013016</c:v>
                </c:pt>
                <c:pt idx="360">
                  <c:v>552.14931092877066</c:v>
                </c:pt>
                <c:pt idx="361">
                  <c:v>550.70549698688217</c:v>
                </c:pt>
                <c:pt idx="362">
                  <c:v>549.17672157937693</c:v>
                </c:pt>
                <c:pt idx="363">
                  <c:v>547.59936787872482</c:v>
                </c:pt>
                <c:pt idx="364">
                  <c:v>546.13500414147995</c:v>
                </c:pt>
                <c:pt idx="365">
                  <c:v>544.53322604348295</c:v>
                </c:pt>
                <c:pt idx="366">
                  <c:v>543.04415394090313</c:v>
                </c:pt>
                <c:pt idx="367">
                  <c:v>541.49544325214731</c:v>
                </c:pt>
                <c:pt idx="368">
                  <c:v>539.8994123868481</c:v>
                </c:pt>
                <c:pt idx="369">
                  <c:v>538.38034748426594</c:v>
                </c:pt>
                <c:pt idx="370">
                  <c:v>536.75033973647999</c:v>
                </c:pt>
                <c:pt idx="371">
                  <c:v>535.26523608600655</c:v>
                </c:pt>
                <c:pt idx="372">
                  <c:v>533.6655277507989</c:v>
                </c:pt>
                <c:pt idx="373">
                  <c:v>532.01990802434864</c:v>
                </c:pt>
                <c:pt idx="374">
                  <c:v>530.51828018777462</c:v>
                </c:pt>
                <c:pt idx="375">
                  <c:v>528.84049087161804</c:v>
                </c:pt>
                <c:pt idx="376">
                  <c:v>527.30619190833261</c:v>
                </c:pt>
                <c:pt idx="377">
                  <c:v>525.72649834474373</c:v>
                </c:pt>
                <c:pt idx="378">
                  <c:v>524.03531876978184</c:v>
                </c:pt>
                <c:pt idx="379">
                  <c:v>522.4866817082567</c:v>
                </c:pt>
                <c:pt idx="380">
                  <c:v>520.83143254824688</c:v>
                </c:pt>
                <c:pt idx="381">
                  <c:v>519.25182118763473</c:v>
                </c:pt>
                <c:pt idx="382">
                  <c:v>517.62821765468573</c:v>
                </c:pt>
                <c:pt idx="383">
                  <c:v>515.96112289038763</c:v>
                </c:pt>
                <c:pt idx="384">
                  <c:v>514.3693020940517</c:v>
                </c:pt>
                <c:pt idx="385">
                  <c:v>512.73424529701776</c:v>
                </c:pt>
                <c:pt idx="386">
                  <c:v>511.0564401332125</c:v>
                </c:pt>
                <c:pt idx="387">
                  <c:v>509.4535079253435</c:v>
                </c:pt>
                <c:pt idx="388">
                  <c:v>507.74713252095444</c:v>
                </c:pt>
                <c:pt idx="389">
                  <c:v>506.18137706270261</c:v>
                </c:pt>
                <c:pt idx="390">
                  <c:v>504.50770876316591</c:v>
                </c:pt>
                <c:pt idx="391">
                  <c:v>502.79266004870027</c:v>
                </c:pt>
                <c:pt idx="392">
                  <c:v>501.2171619145181</c:v>
                </c:pt>
                <c:pt idx="393">
                  <c:v>499.47566899839308</c:v>
                </c:pt>
                <c:pt idx="394">
                  <c:v>497.87165685704173</c:v>
                </c:pt>
                <c:pt idx="395">
                  <c:v>496.228204734256</c:v>
                </c:pt>
                <c:pt idx="396">
                  <c:v>494.47997749524518</c:v>
                </c:pt>
                <c:pt idx="397">
                  <c:v>492.8681816475011</c:v>
                </c:pt>
                <c:pt idx="398">
                  <c:v>491.15918002136033</c:v>
                </c:pt>
                <c:pt idx="399">
                  <c:v>489.52191337661196</c:v>
                </c:pt>
                <c:pt idx="400">
                  <c:v>487.8450381124041</c:v>
                </c:pt>
                <c:pt idx="401">
                  <c:v>486.10943691993015</c:v>
                </c:pt>
                <c:pt idx="402">
                  <c:v>484.50829817541211</c:v>
                </c:pt>
                <c:pt idx="403">
                  <c:v>482.74771017541576</c:v>
                </c:pt>
                <c:pt idx="404">
                  <c:v>481.1224453497469</c:v>
                </c:pt>
                <c:pt idx="405">
                  <c:v>479.45859459841091</c:v>
                </c:pt>
                <c:pt idx="406">
                  <c:v>477.69450903838134</c:v>
                </c:pt>
                <c:pt idx="407">
                  <c:v>476.06461797434633</c:v>
                </c:pt>
                <c:pt idx="408">
                  <c:v>474.39683107755263</c:v>
                </c:pt>
                <c:pt idx="409">
                  <c:v>472.63015905613491</c:v>
                </c:pt>
                <c:pt idx="410">
                  <c:v>470.99653370847926</c:v>
                </c:pt>
                <c:pt idx="411">
                  <c:v>469.26937116303679</c:v>
                </c:pt>
                <c:pt idx="412">
                  <c:v>467.61341885245821</c:v>
                </c:pt>
                <c:pt idx="413">
                  <c:v>465.92082457145881</c:v>
                </c:pt>
                <c:pt idx="414">
                  <c:v>464.19207322530525</c:v>
                </c:pt>
                <c:pt idx="415">
                  <c:v>462.53402488957653</c:v>
                </c:pt>
                <c:pt idx="416">
                  <c:v>460.78518948014909</c:v>
                </c:pt>
                <c:pt idx="417">
                  <c:v>459.16518657663107</c:v>
                </c:pt>
                <c:pt idx="418">
                  <c:v>457.45124918357328</c:v>
                </c:pt>
                <c:pt idx="419">
                  <c:v>455.70241250464443</c:v>
                </c:pt>
                <c:pt idx="420">
                  <c:v>454.08123847896525</c:v>
                </c:pt>
                <c:pt idx="421">
                  <c:v>452.31360742747938</c:v>
                </c:pt>
                <c:pt idx="422">
                  <c:v>450.67302385477336</c:v>
                </c:pt>
                <c:pt idx="423">
                  <c:v>448.99786466187487</c:v>
                </c:pt>
                <c:pt idx="424">
                  <c:v>447.23175553766561</c:v>
                </c:pt>
                <c:pt idx="425">
                  <c:v>445.59106275611629</c:v>
                </c:pt>
                <c:pt idx="426">
                  <c:v>443.86495051752792</c:v>
                </c:pt>
                <c:pt idx="427">
                  <c:v>442.20611238922061</c:v>
                </c:pt>
                <c:pt idx="428">
                  <c:v>440.51389114491758</c:v>
                </c:pt>
                <c:pt idx="429">
                  <c:v>438.79007196460549</c:v>
                </c:pt>
                <c:pt idx="430">
                  <c:v>437.13300336374988</c:v>
                </c:pt>
                <c:pt idx="431">
                  <c:v>435.39134862798267</c:v>
                </c:pt>
                <c:pt idx="432">
                  <c:v>433.77395586857637</c:v>
                </c:pt>
                <c:pt idx="433">
                  <c:v>432.06774253634575</c:v>
                </c:pt>
                <c:pt idx="434">
                  <c:v>430.32977389422007</c:v>
                </c:pt>
                <c:pt idx="435">
                  <c:v>428.71485638345945</c:v>
                </c:pt>
                <c:pt idx="436">
                  <c:v>427.01237171005283</c:v>
                </c:pt>
                <c:pt idx="437">
                  <c:v>425.27874191468402</c:v>
                </c:pt>
                <c:pt idx="438">
                  <c:v>423.66695541958251</c:v>
                </c:pt>
                <c:pt idx="439">
                  <c:v>421.9182190514328</c:v>
                </c:pt>
                <c:pt idx="440">
                  <c:v>420.29061510895747</c:v>
                </c:pt>
                <c:pt idx="441">
                  <c:v>418.63211939717951</c:v>
                </c:pt>
                <c:pt idx="442">
                  <c:v>416.88897436749602</c:v>
                </c:pt>
                <c:pt idx="443">
                  <c:v>415.26574377630317</c:v>
                </c:pt>
                <c:pt idx="444">
                  <c:v>413.56298124576512</c:v>
                </c:pt>
                <c:pt idx="445">
                  <c:v>411.92424952660218</c:v>
                </c:pt>
                <c:pt idx="446">
                  <c:v>410.25696762437821</c:v>
                </c:pt>
                <c:pt idx="447">
                  <c:v>408.56032615689492</c:v>
                </c:pt>
                <c:pt idx="448">
                  <c:v>406.92713900609925</c:v>
                </c:pt>
                <c:pt idx="449">
                  <c:v>405.21773719392644</c:v>
                </c:pt>
                <c:pt idx="450">
                  <c:v>403.62402709057585</c:v>
                </c:pt>
                <c:pt idx="451">
                  <c:v>401.94891518251882</c:v>
                </c:pt>
                <c:pt idx="452">
                  <c:v>400.24673585715624</c:v>
                </c:pt>
                <c:pt idx="453">
                  <c:v>398.65904623149345</c:v>
                </c:pt>
                <c:pt idx="454">
                  <c:v>396.94391748973817</c:v>
                </c:pt>
                <c:pt idx="455">
                  <c:v>395.34376804911523</c:v>
                </c:pt>
                <c:pt idx="456">
                  <c:v>393.7155531333425</c:v>
                </c:pt>
                <c:pt idx="457">
                  <c:v>392.00871226348289</c:v>
                </c:pt>
                <c:pt idx="458">
                  <c:v>390.41562733159384</c:v>
                </c:pt>
                <c:pt idx="459">
                  <c:v>388.7950154050489</c:v>
                </c:pt>
                <c:pt idx="460">
                  <c:v>387.09695309826526</c:v>
                </c:pt>
                <c:pt idx="461">
                  <c:v>385.511398068375</c:v>
                </c:pt>
                <c:pt idx="462">
                  <c:v>383.85277117906736</c:v>
                </c:pt>
                <c:pt idx="463">
                  <c:v>382.25586425327742</c:v>
                </c:pt>
                <c:pt idx="464">
                  <c:v>380.63243620311749</c:v>
                </c:pt>
                <c:pt idx="465">
                  <c:v>378.96647988737891</c:v>
                </c:pt>
                <c:pt idx="466">
                  <c:v>377.41082519988623</c:v>
                </c:pt>
                <c:pt idx="467">
                  <c:v>375.73530209219979</c:v>
                </c:pt>
                <c:pt idx="468">
                  <c:v>374.16830692046091</c:v>
                </c:pt>
                <c:pt idx="469">
                  <c:v>372.57662137425177</c:v>
                </c:pt>
                <c:pt idx="470">
                  <c:v>370.91129337364049</c:v>
                </c:pt>
                <c:pt idx="471">
                  <c:v>369.35325203426669</c:v>
                </c:pt>
                <c:pt idx="472">
                  <c:v>367.72724139451168</c:v>
                </c:pt>
                <c:pt idx="473">
                  <c:v>366.15982031698871</c:v>
                </c:pt>
                <c:pt idx="474">
                  <c:v>364.56754807932316</c:v>
                </c:pt>
                <c:pt idx="475">
                  <c:v>362.95192753219158</c:v>
                </c:pt>
                <c:pt idx="476">
                  <c:v>361.39430632501455</c:v>
                </c:pt>
                <c:pt idx="477">
                  <c:v>359.76949602178161</c:v>
                </c:pt>
                <c:pt idx="478">
                  <c:v>358.25005958493443</c:v>
                </c:pt>
                <c:pt idx="479">
                  <c:v>356.65994587587602</c:v>
                </c:pt>
                <c:pt idx="480">
                  <c:v>355.04632615544341</c:v>
                </c:pt>
                <c:pt idx="481">
                  <c:v>353.53685402691872</c:v>
                </c:pt>
                <c:pt idx="482">
                  <c:v>351.91552687760355</c:v>
                </c:pt>
                <c:pt idx="483">
                  <c:v>350.39767563137866</c:v>
                </c:pt>
                <c:pt idx="484">
                  <c:v>348.85643046486598</c:v>
                </c:pt>
                <c:pt idx="485">
                  <c:v>347.24700069694421</c:v>
                </c:pt>
                <c:pt idx="486">
                  <c:v>345.73983507737273</c:v>
                </c:pt>
                <c:pt idx="487">
                  <c:v>344.20973008516251</c:v>
                </c:pt>
                <c:pt idx="488">
                  <c:v>342.61249521908599</c:v>
                </c:pt>
                <c:pt idx="489">
                  <c:v>341.1162905020467</c:v>
                </c:pt>
                <c:pt idx="490">
                  <c:v>339.55684856364786</c:v>
                </c:pt>
                <c:pt idx="491">
                  <c:v>338.05340437743064</c:v>
                </c:pt>
                <c:pt idx="492">
                  <c:v>336.52788734124925</c:v>
                </c:pt>
                <c:pt idx="493">
                  <c:v>334.98066419561792</c:v>
                </c:pt>
                <c:pt idx="494">
                  <c:v>333.48881698230247</c:v>
                </c:pt>
                <c:pt idx="495">
                  <c:v>331.93585615815698</c:v>
                </c:pt>
                <c:pt idx="496">
                  <c:v>330.47996468059546</c:v>
                </c:pt>
                <c:pt idx="497">
                  <c:v>328.96066308267308</c:v>
                </c:pt>
                <c:pt idx="498">
                  <c:v>327.42050641815626</c:v>
                </c:pt>
                <c:pt idx="499">
                  <c:v>325.97623340225374</c:v>
                </c:pt>
                <c:pt idx="500">
                  <c:v>324.43095472807005</c:v>
                </c:pt>
                <c:pt idx="501">
                  <c:v>322.9808959783407</c:v>
                </c:pt>
                <c:pt idx="502">
                  <c:v>321.51005383760599</c:v>
                </c:pt>
                <c:pt idx="503">
                  <c:v>319.97812787528318</c:v>
                </c:pt>
                <c:pt idx="504">
                  <c:v>318.54025266974696</c:v>
                </c:pt>
                <c:pt idx="505">
                  <c:v>317.04426920278593</c:v>
                </c:pt>
                <c:pt idx="506">
                  <c:v>315.6011830041092</c:v>
                </c:pt>
                <c:pt idx="507">
                  <c:v>314.13813250399903</c:v>
                </c:pt>
                <c:pt idx="508">
                  <c:v>312.65545412859245</c:v>
                </c:pt>
                <c:pt idx="509">
                  <c:v>311.22506397564149</c:v>
                </c:pt>
                <c:pt idx="510">
                  <c:v>309.77509380231498</c:v>
                </c:pt>
                <c:pt idx="511">
                  <c:v>308.30589297737703</c:v>
                </c:pt>
                <c:pt idx="512">
                  <c:v>306.88837734691026</c:v>
                </c:pt>
                <c:pt idx="513">
                  <c:v>305.41499454157895</c:v>
                </c:pt>
                <c:pt idx="514">
                  <c:v>304.03254645174491</c:v>
                </c:pt>
                <c:pt idx="515">
                  <c:v>302.59156976319343</c:v>
                </c:pt>
                <c:pt idx="516">
                  <c:v>301.13210028807634</c:v>
                </c:pt>
                <c:pt idx="517">
                  <c:v>299.76240035154746</c:v>
                </c:pt>
                <c:pt idx="518">
                  <c:v>298.29958764934781</c:v>
                </c:pt>
                <c:pt idx="519">
                  <c:v>296.92500291084843</c:v>
                </c:pt>
                <c:pt idx="520">
                  <c:v>295.53285285189111</c:v>
                </c:pt>
                <c:pt idx="521">
                  <c:v>294.0843319017327</c:v>
                </c:pt>
                <c:pt idx="522">
                  <c:v>292.72290428518892</c:v>
                </c:pt>
                <c:pt idx="523">
                  <c:v>291.30960255778911</c:v>
                </c:pt>
                <c:pt idx="524">
                  <c:v>289.9446803641469</c:v>
                </c:pt>
                <c:pt idx="525">
                  <c:v>288.56202459908889</c:v>
                </c:pt>
                <c:pt idx="526">
                  <c:v>287.15038259327656</c:v>
                </c:pt>
                <c:pt idx="527">
                  <c:v>285.8238146682296</c:v>
                </c:pt>
                <c:pt idx="528">
                  <c:v>284.40880386309465</c:v>
                </c:pt>
                <c:pt idx="529">
                  <c:v>283.07908801061581</c:v>
                </c:pt>
                <c:pt idx="530">
                  <c:v>281.73211110141034</c:v>
                </c:pt>
                <c:pt idx="531">
                  <c:v>280.33172458980101</c:v>
                </c:pt>
                <c:pt idx="532">
                  <c:v>279.01549309499546</c:v>
                </c:pt>
                <c:pt idx="533">
                  <c:v>277.68234613066585</c:v>
                </c:pt>
                <c:pt idx="534">
                  <c:v>276.29665686198354</c:v>
                </c:pt>
                <c:pt idx="535">
                  <c:v>274.99401043803311</c:v>
                </c:pt>
                <c:pt idx="536">
                  <c:v>273.64193560184293</c:v>
                </c:pt>
                <c:pt idx="537">
                  <c:v>272.33651873335498</c:v>
                </c:pt>
                <c:pt idx="538">
                  <c:v>271.01484742363317</c:v>
                </c:pt>
                <c:pt idx="539">
                  <c:v>269.67722558892444</c:v>
                </c:pt>
                <c:pt idx="540">
                  <c:v>268.3856698409067</c:v>
                </c:pt>
                <c:pt idx="541">
                  <c:v>267.04639870989172</c:v>
                </c:pt>
                <c:pt idx="542">
                  <c:v>265.78667446452675</c:v>
                </c:pt>
                <c:pt idx="543">
                  <c:v>264.47739581695174</c:v>
                </c:pt>
                <c:pt idx="544">
                  <c:v>263.15280891195334</c:v>
                </c:pt>
                <c:pt idx="545">
                  <c:v>261.90670179258905</c:v>
                </c:pt>
                <c:pt idx="546">
                  <c:v>260.58082887453276</c:v>
                </c:pt>
                <c:pt idx="547">
                  <c:v>259.3328235427756</c:v>
                </c:pt>
                <c:pt idx="548">
                  <c:v>258.06949721973928</c:v>
                </c:pt>
                <c:pt idx="549">
                  <c:v>256.75852636136051</c:v>
                </c:pt>
                <c:pt idx="550">
                  <c:v>255.52410328032732</c:v>
                </c:pt>
                <c:pt idx="551">
                  <c:v>254.24516134656798</c:v>
                </c:pt>
                <c:pt idx="552">
                  <c:v>253.00920337543835</c:v>
                </c:pt>
                <c:pt idx="553">
                  <c:v>251.75852822052286</c:v>
                </c:pt>
                <c:pt idx="554">
                  <c:v>250.49417490448437</c:v>
                </c:pt>
                <c:pt idx="555">
                  <c:v>249.27224972880981</c:v>
                </c:pt>
                <c:pt idx="556">
                  <c:v>248.00637995971491</c:v>
                </c:pt>
                <c:pt idx="557">
                  <c:v>246.81549663319879</c:v>
                </c:pt>
                <c:pt idx="558">
                  <c:v>245.5782298508864</c:v>
                </c:pt>
                <c:pt idx="559">
                  <c:v>244.32711821381602</c:v>
                </c:pt>
                <c:pt idx="560">
                  <c:v>243.14995102596191</c:v>
                </c:pt>
                <c:pt idx="561">
                  <c:v>241.9271517509479</c:v>
                </c:pt>
                <c:pt idx="562">
                  <c:v>240.69077712101452</c:v>
                </c:pt>
                <c:pt idx="563">
                  <c:v>239.52732510743928</c:v>
                </c:pt>
                <c:pt idx="564">
                  <c:v>238.29039453313749</c:v>
                </c:pt>
                <c:pt idx="565">
                  <c:v>237.12579448973884</c:v>
                </c:pt>
                <c:pt idx="566">
                  <c:v>235.94758697300043</c:v>
                </c:pt>
                <c:pt idx="567">
                  <c:v>234.72551608874352</c:v>
                </c:pt>
                <c:pt idx="568">
                  <c:v>233.57476492678538</c:v>
                </c:pt>
                <c:pt idx="569">
                  <c:v>232.38300926799113</c:v>
                </c:pt>
                <c:pt idx="570">
                  <c:v>231.23093794095152</c:v>
                </c:pt>
                <c:pt idx="571">
                  <c:v>230.06649366540967</c:v>
                </c:pt>
                <c:pt idx="572">
                  <c:v>228.8892391684947</c:v>
                </c:pt>
                <c:pt idx="573">
                  <c:v>227.75113582159852</c:v>
                </c:pt>
                <c:pt idx="574">
                  <c:v>226.57393673904335</c:v>
                </c:pt>
                <c:pt idx="575">
                  <c:v>225.46494153975922</c:v>
                </c:pt>
                <c:pt idx="576">
                  <c:v>224.31393247629131</c:v>
                </c:pt>
                <c:pt idx="577">
                  <c:v>223.15131028076036</c:v>
                </c:pt>
                <c:pt idx="578">
                  <c:v>222.05591704553171</c:v>
                </c:pt>
                <c:pt idx="579">
                  <c:v>220.89291208556929</c:v>
                </c:pt>
                <c:pt idx="580">
                  <c:v>219.79725674680375</c:v>
                </c:pt>
                <c:pt idx="581">
                  <c:v>218.68926986155353</c:v>
                </c:pt>
                <c:pt idx="582">
                  <c:v>217.54091433905714</c:v>
                </c:pt>
                <c:pt idx="583">
                  <c:v>216.45893403411017</c:v>
                </c:pt>
                <c:pt idx="584">
                  <c:v>215.36485641697246</c:v>
                </c:pt>
                <c:pt idx="585">
                  <c:v>214.23107963477293</c:v>
                </c:pt>
                <c:pt idx="586">
                  <c:v>213.16272358324488</c:v>
                </c:pt>
                <c:pt idx="587">
                  <c:v>212.05706051721157</c:v>
                </c:pt>
                <c:pt idx="588">
                  <c:v>210.98855792840408</c:v>
                </c:pt>
                <c:pt idx="589">
                  <c:v>209.90844197969841</c:v>
                </c:pt>
                <c:pt idx="590">
                  <c:v>208.80791713868669</c:v>
                </c:pt>
                <c:pt idx="591">
                  <c:v>207.77114233100386</c:v>
                </c:pt>
                <c:pt idx="592">
                  <c:v>206.6713180688343</c:v>
                </c:pt>
                <c:pt idx="593">
                  <c:v>205.63410399631476</c:v>
                </c:pt>
                <c:pt idx="594">
                  <c:v>204.5861839761464</c:v>
                </c:pt>
                <c:pt idx="595">
                  <c:v>203.5006971842927</c:v>
                </c:pt>
                <c:pt idx="596">
                  <c:v>202.47690708730022</c:v>
                </c:pt>
                <c:pt idx="597">
                  <c:v>201.41865131906101</c:v>
                </c:pt>
                <c:pt idx="598">
                  <c:v>200.39523198593858</c:v>
                </c:pt>
                <c:pt idx="599">
                  <c:v>199.3609450605687</c:v>
                </c:pt>
                <c:pt idx="600">
                  <c:v>198.31661534381357</c:v>
                </c:pt>
                <c:pt idx="601">
                  <c:v>197.30663184412384</c:v>
                </c:pt>
                <c:pt idx="602">
                  <c:v>196.26262968698398</c:v>
                </c:pt>
                <c:pt idx="603">
                  <c:v>195.27872923204478</c:v>
                </c:pt>
                <c:pt idx="604">
                  <c:v>194.25885988654318</c:v>
                </c:pt>
                <c:pt idx="605">
                  <c:v>193.22878068416637</c:v>
                </c:pt>
                <c:pt idx="606">
                  <c:v>192.25791216587126</c:v>
                </c:pt>
                <c:pt idx="607">
                  <c:v>191.22871971454953</c:v>
                </c:pt>
                <c:pt idx="608">
                  <c:v>190.25824194592863</c:v>
                </c:pt>
                <c:pt idx="609">
                  <c:v>189.2774943235469</c:v>
                </c:pt>
                <c:pt idx="610">
                  <c:v>188.26220238674904</c:v>
                </c:pt>
                <c:pt idx="611">
                  <c:v>187.30474404177636</c:v>
                </c:pt>
                <c:pt idx="612">
                  <c:v>186.33720451577102</c:v>
                </c:pt>
                <c:pt idx="613">
                  <c:v>185.33570285760086</c:v>
                </c:pt>
                <c:pt idx="614">
                  <c:v>184.39118101328</c:v>
                </c:pt>
                <c:pt idx="615">
                  <c:v>183.41476017526062</c:v>
                </c:pt>
                <c:pt idx="616">
                  <c:v>182.47085345564579</c:v>
                </c:pt>
                <c:pt idx="617">
                  <c:v>181.51726573137017</c:v>
                </c:pt>
                <c:pt idx="618">
                  <c:v>180.55420830319161</c:v>
                </c:pt>
                <c:pt idx="619">
                  <c:v>179.62320251276202</c:v>
                </c:pt>
                <c:pt idx="620">
                  <c:v>178.66144084870268</c:v>
                </c:pt>
                <c:pt idx="621">
                  <c:v>177.75407009053882</c:v>
                </c:pt>
                <c:pt idx="622">
                  <c:v>176.81471279207821</c:v>
                </c:pt>
                <c:pt idx="623">
                  <c:v>175.86626041972585</c:v>
                </c:pt>
                <c:pt idx="624">
                  <c:v>174.97138390710649</c:v>
                </c:pt>
                <c:pt idx="625">
                  <c:v>174.02433892214157</c:v>
                </c:pt>
                <c:pt idx="626">
                  <c:v>173.13040745282089</c:v>
                </c:pt>
                <c:pt idx="627">
                  <c:v>172.22733418652518</c:v>
                </c:pt>
                <c:pt idx="628">
                  <c:v>171.29353952951124</c:v>
                </c:pt>
                <c:pt idx="629">
                  <c:v>170.41204438171968</c:v>
                </c:pt>
                <c:pt idx="630">
                  <c:v>169.50140579108398</c:v>
                </c:pt>
                <c:pt idx="631">
                  <c:v>168.62098076058408</c:v>
                </c:pt>
                <c:pt idx="632">
                  <c:v>167.73176579076241</c:v>
                </c:pt>
                <c:pt idx="633">
                  <c:v>166.83395737993172</c:v>
                </c:pt>
                <c:pt idx="634">
                  <c:v>165.96591370188213</c:v>
                </c:pt>
                <c:pt idx="635">
                  <c:v>165.08924467958693</c:v>
                </c:pt>
                <c:pt idx="636">
                  <c:v>164.20414392661348</c:v>
                </c:pt>
                <c:pt idx="637">
                  <c:v>163.34836484870888</c:v>
                </c:pt>
                <c:pt idx="638">
                  <c:v>162.46463293341219</c:v>
                </c:pt>
                <c:pt idx="639">
                  <c:v>161.63102528418349</c:v>
                </c:pt>
                <c:pt idx="640">
                  <c:v>160.76801516870532</c:v>
                </c:pt>
                <c:pt idx="641">
                  <c:v>159.89691401982029</c:v>
                </c:pt>
                <c:pt idx="642">
                  <c:v>159.07516221429577</c:v>
                </c:pt>
                <c:pt idx="643">
                  <c:v>158.20566993720578</c:v>
                </c:pt>
                <c:pt idx="644">
                  <c:v>157.38463127393916</c:v>
                </c:pt>
                <c:pt idx="645">
                  <c:v>156.55590968031854</c:v>
                </c:pt>
                <c:pt idx="646">
                  <c:v>155.69895614857575</c:v>
                </c:pt>
                <c:pt idx="647">
                  <c:v>154.88970500319544</c:v>
                </c:pt>
                <c:pt idx="648">
                  <c:v>154.05457496243795</c:v>
                </c:pt>
                <c:pt idx="649">
                  <c:v>153.24659598125228</c:v>
                </c:pt>
                <c:pt idx="650">
                  <c:v>152.43078947403404</c:v>
                </c:pt>
                <c:pt idx="651">
                  <c:v>151.6012019736674</c:v>
                </c:pt>
                <c:pt idx="652">
                  <c:v>150.81803144947156</c:v>
                </c:pt>
                <c:pt idx="653">
                  <c:v>149.98967570102133</c:v>
                </c:pt>
                <c:pt idx="654">
                  <c:v>149.20778188455387</c:v>
                </c:pt>
                <c:pt idx="655">
                  <c:v>148.41822982301937</c:v>
                </c:pt>
                <c:pt idx="656">
                  <c:v>147.60198907081082</c:v>
                </c:pt>
                <c:pt idx="657">
                  <c:v>146.83149328465797</c:v>
                </c:pt>
                <c:pt idx="658">
                  <c:v>146.05348338326655</c:v>
                </c:pt>
                <c:pt idx="659">
                  <c:v>145.24923230550917</c:v>
                </c:pt>
                <c:pt idx="660">
                  <c:v>144.49001908428582</c:v>
                </c:pt>
                <c:pt idx="661">
                  <c:v>143.70617924677245</c:v>
                </c:pt>
                <c:pt idx="662">
                  <c:v>142.94818354284811</c:v>
                </c:pt>
                <c:pt idx="663">
                  <c:v>142.18297645135982</c:v>
                </c:pt>
                <c:pt idx="664">
                  <c:v>141.4107100049701</c:v>
                </c:pt>
                <c:pt idx="665">
                  <c:v>140.66389589302014</c:v>
                </c:pt>
                <c:pt idx="666">
                  <c:v>139.89334999134456</c:v>
                </c:pt>
                <c:pt idx="667">
                  <c:v>139.16574316605372</c:v>
                </c:pt>
                <c:pt idx="668">
                  <c:v>138.41343364916909</c:v>
                </c:pt>
                <c:pt idx="669">
                  <c:v>137.65434426214247</c:v>
                </c:pt>
                <c:pt idx="670">
                  <c:v>136.93751882590055</c:v>
                </c:pt>
                <c:pt idx="671">
                  <c:v>136.18019938607299</c:v>
                </c:pt>
                <c:pt idx="672">
                  <c:v>135.4647690852583</c:v>
                </c:pt>
                <c:pt idx="673">
                  <c:v>134.74249120865431</c:v>
                </c:pt>
                <c:pt idx="674">
                  <c:v>133.99650330410239</c:v>
                </c:pt>
                <c:pt idx="675">
                  <c:v>133.2916186613509</c:v>
                </c:pt>
                <c:pt idx="676">
                  <c:v>132.56464168133397</c:v>
                </c:pt>
                <c:pt idx="677">
                  <c:v>131.86119489259355</c:v>
                </c:pt>
                <c:pt idx="678">
                  <c:v>131.15117686720384</c:v>
                </c:pt>
                <c:pt idx="679">
                  <c:v>130.43513417315717</c:v>
                </c:pt>
                <c:pt idx="680">
                  <c:v>129.74225772709363</c:v>
                </c:pt>
                <c:pt idx="681">
                  <c:v>129.02757797908404</c:v>
                </c:pt>
                <c:pt idx="682">
                  <c:v>128.3529642641486</c:v>
                </c:pt>
                <c:pt idx="683">
                  <c:v>127.6552596829337</c:v>
                </c:pt>
                <c:pt idx="684">
                  <c:v>126.95139306014988</c:v>
                </c:pt>
                <c:pt idx="685">
                  <c:v>126.28696470743355</c:v>
                </c:pt>
                <c:pt idx="686">
                  <c:v>125.59983389032604</c:v>
                </c:pt>
                <c:pt idx="687">
                  <c:v>124.9066489950149</c:v>
                </c:pt>
                <c:pt idx="688">
                  <c:v>124.25227953428342</c:v>
                </c:pt>
                <c:pt idx="689">
                  <c:v>123.56076114337546</c:v>
                </c:pt>
                <c:pt idx="690">
                  <c:v>122.90770723507775</c:v>
                </c:pt>
                <c:pt idx="691">
                  <c:v>122.24853386541</c:v>
                </c:pt>
                <c:pt idx="692">
                  <c:v>121.5675705086849</c:v>
                </c:pt>
                <c:pt idx="693">
                  <c:v>120.92446649603515</c:v>
                </c:pt>
                <c:pt idx="694">
                  <c:v>120.26104072725427</c:v>
                </c:pt>
                <c:pt idx="695">
                  <c:v>119.6190459207308</c:v>
                </c:pt>
                <c:pt idx="696">
                  <c:v>118.97153382578834</c:v>
                </c:pt>
                <c:pt idx="697">
                  <c:v>118.31827665203437</c:v>
                </c:pt>
                <c:pt idx="698">
                  <c:v>117.68611851234276</c:v>
                </c:pt>
                <c:pt idx="699">
                  <c:v>117.03461024402829</c:v>
                </c:pt>
                <c:pt idx="700">
                  <c:v>116.41917312761176</c:v>
                </c:pt>
                <c:pt idx="701">
                  <c:v>115.78287305820002</c:v>
                </c:pt>
                <c:pt idx="702">
                  <c:v>115.14140242227796</c:v>
                </c:pt>
                <c:pt idx="703">
                  <c:v>114.53542870702789</c:v>
                </c:pt>
                <c:pt idx="704">
                  <c:v>113.8953841272872</c:v>
                </c:pt>
                <c:pt idx="705">
                  <c:v>113.29085559123696</c:v>
                </c:pt>
                <c:pt idx="706">
                  <c:v>112.68074540630151</c:v>
                </c:pt>
                <c:pt idx="707">
                  <c:v>112.05060947480965</c:v>
                </c:pt>
                <c:pt idx="708">
                  <c:v>111.45542653251444</c:v>
                </c:pt>
                <c:pt idx="709">
                  <c:v>110.85476031036818</c:v>
                </c:pt>
                <c:pt idx="710">
                  <c:v>110.23440074198096</c:v>
                </c:pt>
                <c:pt idx="711">
                  <c:v>109.64843920372968</c:v>
                </c:pt>
                <c:pt idx="712">
                  <c:v>109.04400832055479</c:v>
                </c:pt>
                <c:pt idx="713">
                  <c:v>108.4594016098407</c:v>
                </c:pt>
                <c:pt idx="714">
                  <c:v>107.86953072049987</c:v>
                </c:pt>
                <c:pt idx="715">
                  <c:v>107.26986516493491</c:v>
                </c:pt>
                <c:pt idx="716">
                  <c:v>106.70363437781573</c:v>
                </c:pt>
                <c:pt idx="717">
                  <c:v>106.10570270494748</c:v>
                </c:pt>
                <c:pt idx="718">
                  <c:v>105.54058865374805</c:v>
                </c:pt>
                <c:pt idx="719">
                  <c:v>104.97063130595016</c:v>
                </c:pt>
                <c:pt idx="720">
                  <c:v>104.38205236753963</c:v>
                </c:pt>
                <c:pt idx="721">
                  <c:v>103.82576750560585</c:v>
                </c:pt>
                <c:pt idx="722">
                  <c:v>103.25243929482626</c:v>
                </c:pt>
                <c:pt idx="723">
                  <c:v>102.6976014214402</c:v>
                </c:pt>
                <c:pt idx="724">
                  <c:v>102.13780885069625</c:v>
                </c:pt>
                <c:pt idx="725">
                  <c:v>101.57347508327842</c:v>
                </c:pt>
                <c:pt idx="726">
                  <c:v>101.027343386769</c:v>
                </c:pt>
                <c:pt idx="727">
                  <c:v>100.46438968089134</c:v>
                </c:pt>
                <c:pt idx="728">
                  <c:v>99.93278029708604</c:v>
                </c:pt>
                <c:pt idx="729">
                  <c:v>99.387653988504979</c:v>
                </c:pt>
                <c:pt idx="730">
                  <c:v>98.824978038763248</c:v>
                </c:pt>
                <c:pt idx="731">
                  <c:v>98.306023594622374</c:v>
                </c:pt>
                <c:pt idx="732">
                  <c:v>97.757759805157022</c:v>
                </c:pt>
                <c:pt idx="733">
                  <c:v>97.227365485611898</c:v>
                </c:pt>
                <c:pt idx="734">
                  <c:v>96.704926181961184</c:v>
                </c:pt>
                <c:pt idx="735">
                  <c:v>96.165332150299122</c:v>
                </c:pt>
                <c:pt idx="736">
                  <c:v>95.643326821680262</c:v>
                </c:pt>
                <c:pt idx="737">
                  <c:v>95.129149072586557</c:v>
                </c:pt>
                <c:pt idx="738">
                  <c:v>94.598102132437475</c:v>
                </c:pt>
                <c:pt idx="739">
                  <c:v>94.084363010031993</c:v>
                </c:pt>
                <c:pt idx="740">
                  <c:v>93.567104467278597</c:v>
                </c:pt>
                <c:pt idx="741">
                  <c:v>93.066882360531224</c:v>
                </c:pt>
                <c:pt idx="742">
                  <c:v>92.550127126633626</c:v>
                </c:pt>
                <c:pt idx="743">
                  <c:v>92.041086283348889</c:v>
                </c:pt>
                <c:pt idx="744">
                  <c:v>91.54881272656975</c:v>
                </c:pt>
                <c:pt idx="745">
                  <c:v>91.02944692989881</c:v>
                </c:pt>
                <c:pt idx="746">
                  <c:v>90.550115581553769</c:v>
                </c:pt>
                <c:pt idx="747">
                  <c:v>90.04709178407947</c:v>
                </c:pt>
                <c:pt idx="748">
                  <c:v>89.551578325676957</c:v>
                </c:pt>
                <c:pt idx="749">
                  <c:v>89.072119631238124</c:v>
                </c:pt>
                <c:pt idx="750">
                  <c:v>88.566581997534627</c:v>
                </c:pt>
                <c:pt idx="751">
                  <c:v>88.100003172463659</c:v>
                </c:pt>
                <c:pt idx="752">
                  <c:v>87.617713139024886</c:v>
                </c:pt>
                <c:pt idx="753">
                  <c:v>87.120256310826576</c:v>
                </c:pt>
                <c:pt idx="754">
                  <c:v>86.661128783271948</c:v>
                </c:pt>
                <c:pt idx="755">
                  <c:v>86.17630137815857</c:v>
                </c:pt>
                <c:pt idx="756">
                  <c:v>85.707271354304865</c:v>
                </c:pt>
                <c:pt idx="757">
                  <c:v>85.245293517112714</c:v>
                </c:pt>
                <c:pt idx="758">
                  <c:v>84.768232379972588</c:v>
                </c:pt>
                <c:pt idx="759">
                  <c:v>84.306720186354966</c:v>
                </c:pt>
                <c:pt idx="760">
                  <c:v>83.852150411203368</c:v>
                </c:pt>
                <c:pt idx="761">
                  <c:v>83.382749141617026</c:v>
                </c:pt>
                <c:pt idx="762">
                  <c:v>82.928647857862103</c:v>
                </c:pt>
                <c:pt idx="763">
                  <c:v>82.471483122693698</c:v>
                </c:pt>
                <c:pt idx="764">
                  <c:v>82.029371729498862</c:v>
                </c:pt>
                <c:pt idx="765">
                  <c:v>81.572727382472181</c:v>
                </c:pt>
                <c:pt idx="766">
                  <c:v>81.122921058109583</c:v>
                </c:pt>
                <c:pt idx="767">
                  <c:v>80.68792607431611</c:v>
                </c:pt>
                <c:pt idx="768">
                  <c:v>80.229091788447917</c:v>
                </c:pt>
                <c:pt idx="769">
                  <c:v>79.805579862914826</c:v>
                </c:pt>
                <c:pt idx="770">
                  <c:v>79.368099779244233</c:v>
                </c:pt>
                <c:pt idx="771">
                  <c:v>78.916670161252071</c:v>
                </c:pt>
                <c:pt idx="772">
                  <c:v>78.499984337148618</c:v>
                </c:pt>
                <c:pt idx="773">
                  <c:v>78.060275991251032</c:v>
                </c:pt>
                <c:pt idx="774">
                  <c:v>77.634670919154573</c:v>
                </c:pt>
                <c:pt idx="775">
                  <c:v>77.215481731511119</c:v>
                </c:pt>
                <c:pt idx="776">
                  <c:v>76.782887304512116</c:v>
                </c:pt>
                <c:pt idx="777">
                  <c:v>76.364163664228244</c:v>
                </c:pt>
                <c:pt idx="778">
                  <c:v>75.942715160765388</c:v>
                </c:pt>
                <c:pt idx="779">
                  <c:v>75.535150636009647</c:v>
                </c:pt>
                <c:pt idx="780">
                  <c:v>75.114221144900782</c:v>
                </c:pt>
                <c:pt idx="781">
                  <c:v>74.69960514758921</c:v>
                </c:pt>
                <c:pt idx="782">
                  <c:v>74.298647248643974</c:v>
                </c:pt>
                <c:pt idx="783">
                  <c:v>73.884544277766281</c:v>
                </c:pt>
                <c:pt idx="784">
                  <c:v>73.476652449928878</c:v>
                </c:pt>
                <c:pt idx="785">
                  <c:v>73.082199895630708</c:v>
                </c:pt>
                <c:pt idx="786">
                  <c:v>72.66610544153005</c:v>
                </c:pt>
                <c:pt idx="787">
                  <c:v>72.282235442646552</c:v>
                </c:pt>
                <c:pt idx="788">
                  <c:v>71.885513469424311</c:v>
                </c:pt>
                <c:pt idx="789">
                  <c:v>71.476181514018151</c:v>
                </c:pt>
                <c:pt idx="790">
                  <c:v>71.098554136766325</c:v>
                </c:pt>
                <c:pt idx="791">
                  <c:v>70.699874969861142</c:v>
                </c:pt>
                <c:pt idx="792">
                  <c:v>70.313990651808339</c:v>
                </c:pt>
                <c:pt idx="793">
                  <c:v>69.934143223925034</c:v>
                </c:pt>
                <c:pt idx="794">
                  <c:v>69.541958851146603</c:v>
                </c:pt>
                <c:pt idx="795">
                  <c:v>69.162358832162909</c:v>
                </c:pt>
                <c:pt idx="796">
                  <c:v>68.78051413021447</c:v>
                </c:pt>
                <c:pt idx="797">
                  <c:v>68.411052601596708</c:v>
                </c:pt>
                <c:pt idx="798">
                  <c:v>68.029505225140909</c:v>
                </c:pt>
                <c:pt idx="799">
                  <c:v>67.653892718386501</c:v>
                </c:pt>
                <c:pt idx="800">
                  <c:v>67.290391404457537</c:v>
                </c:pt>
                <c:pt idx="801">
                  <c:v>66.9072450908224</c:v>
                </c:pt>
                <c:pt idx="802">
                  <c:v>66.553585622857881</c:v>
                </c:pt>
                <c:pt idx="803">
                  <c:v>66.188105865995922</c:v>
                </c:pt>
                <c:pt idx="804">
                  <c:v>65.811221872178663</c:v>
                </c:pt>
                <c:pt idx="805">
                  <c:v>65.463340981822725</c:v>
                </c:pt>
                <c:pt idx="806">
                  <c:v>65.096091442730952</c:v>
                </c:pt>
                <c:pt idx="807">
                  <c:v>64.740827161306399</c:v>
                </c:pt>
                <c:pt idx="808">
                  <c:v>64.390937004940866</c:v>
                </c:pt>
                <c:pt idx="809">
                  <c:v>64.029699853265953</c:v>
                </c:pt>
                <c:pt idx="810">
                  <c:v>63.6802520482277</c:v>
                </c:pt>
                <c:pt idx="811">
                  <c:v>63.336092532751657</c:v>
                </c:pt>
                <c:pt idx="812">
                  <c:v>62.980775934664521</c:v>
                </c:pt>
                <c:pt idx="813">
                  <c:v>62.637055472479148</c:v>
                </c:pt>
                <c:pt idx="814">
                  <c:v>62.291062896767762</c:v>
                </c:pt>
                <c:pt idx="815">
                  <c:v>61.956482967437758</c:v>
                </c:pt>
                <c:pt idx="816">
                  <c:v>61.610968256454363</c:v>
                </c:pt>
                <c:pt idx="817">
                  <c:v>61.270656294107361</c:v>
                </c:pt>
                <c:pt idx="818">
                  <c:v>60.941569119991385</c:v>
                </c:pt>
                <c:pt idx="819">
                  <c:v>60.594513949725403</c:v>
                </c:pt>
                <c:pt idx="820">
                  <c:v>60.274171899603701</c:v>
                </c:pt>
                <c:pt idx="821">
                  <c:v>59.9433194538531</c:v>
                </c:pt>
                <c:pt idx="822">
                  <c:v>59.601968027942895</c:v>
                </c:pt>
                <c:pt idx="823">
                  <c:v>59.286892424774592</c:v>
                </c:pt>
                <c:pt idx="824">
                  <c:v>58.954462648572303</c:v>
                </c:pt>
                <c:pt idx="825">
                  <c:v>58.632716921334911</c:v>
                </c:pt>
                <c:pt idx="826">
                  <c:v>58.315848399475037</c:v>
                </c:pt>
                <c:pt idx="827">
                  <c:v>57.988888549073792</c:v>
                </c:pt>
                <c:pt idx="828">
                  <c:v>57.672439243226037</c:v>
                </c:pt>
                <c:pt idx="829">
                  <c:v>57.353960958653587</c:v>
                </c:pt>
                <c:pt idx="830">
                  <c:v>57.045997191741719</c:v>
                </c:pt>
                <c:pt idx="831">
                  <c:v>56.72797092451863</c:v>
                </c:pt>
                <c:pt idx="832">
                  <c:v>56.414737880582635</c:v>
                </c:pt>
                <c:pt idx="833">
                  <c:v>56.111847893279993</c:v>
                </c:pt>
                <c:pt idx="834">
                  <c:v>55.799062732157232</c:v>
                </c:pt>
                <c:pt idx="835">
                  <c:v>55.490994663659677</c:v>
                </c:pt>
                <c:pt idx="836">
                  <c:v>55.193100549663896</c:v>
                </c:pt>
                <c:pt idx="837">
                  <c:v>54.878887466186306</c:v>
                </c:pt>
                <c:pt idx="838">
                  <c:v>54.589036439561568</c:v>
                </c:pt>
                <c:pt idx="839">
                  <c:v>54.289507900075435</c:v>
                </c:pt>
                <c:pt idx="840">
                  <c:v>53.980477598737501</c:v>
                </c:pt>
                <c:pt idx="841">
                  <c:v>53.695411989370996</c:v>
                </c:pt>
                <c:pt idx="842">
                  <c:v>53.394474265885663</c:v>
                </c:pt>
                <c:pt idx="843">
                  <c:v>53.103219302852409</c:v>
                </c:pt>
                <c:pt idx="844">
                  <c:v>52.816545419531245</c:v>
                </c:pt>
                <c:pt idx="845">
                  <c:v>52.526827550387999</c:v>
                </c:pt>
                <c:pt idx="846">
                  <c:v>52.227918362252467</c:v>
                </c:pt>
                <c:pt idx="847">
                  <c:v>51.946015424428019</c:v>
                </c:pt>
                <c:pt idx="848">
                  <c:v>51.673415378955141</c:v>
                </c:pt>
                <c:pt idx="849">
                  <c:v>51.373296503890352</c:v>
                </c:pt>
                <c:pt idx="850">
                  <c:v>51.096055892240628</c:v>
                </c:pt>
                <c:pt idx="851">
                  <c:v>50.815822139799408</c:v>
                </c:pt>
                <c:pt idx="852">
                  <c:v>50.544889677551168</c:v>
                </c:pt>
                <c:pt idx="853">
                  <c:v>50.260156642964155</c:v>
                </c:pt>
                <c:pt idx="854">
                  <c:v>49.984557318642544</c:v>
                </c:pt>
                <c:pt idx="855">
                  <c:v>49.71810861996488</c:v>
                </c:pt>
                <c:pt idx="856">
                  <c:v>49.438086402617571</c:v>
                </c:pt>
                <c:pt idx="857">
                  <c:v>49.167049713449813</c:v>
                </c:pt>
                <c:pt idx="858">
                  <c:v>48.905015083644876</c:v>
                </c:pt>
                <c:pt idx="859">
                  <c:v>48.629629838249713</c:v>
                </c:pt>
                <c:pt idx="860">
                  <c:v>48.363082000090955</c:v>
                </c:pt>
                <c:pt idx="861">
                  <c:v>48.093940543363495</c:v>
                </c:pt>
                <c:pt idx="862">
                  <c:v>47.84594709578181</c:v>
                </c:pt>
                <c:pt idx="863">
                  <c:v>47.572428879236149</c:v>
                </c:pt>
                <c:pt idx="864">
                  <c:v>47.307745143601842</c:v>
                </c:pt>
                <c:pt idx="865">
                  <c:v>47.063865849356887</c:v>
                </c:pt>
                <c:pt idx="866">
                  <c:v>46.794881004025157</c:v>
                </c:pt>
                <c:pt idx="867">
                  <c:v>46.534584089586616</c:v>
                </c:pt>
                <c:pt idx="868">
                  <c:v>46.294749390983888</c:v>
                </c:pt>
                <c:pt idx="869">
                  <c:v>46.030221044025318</c:v>
                </c:pt>
                <c:pt idx="870">
                  <c:v>45.77424206927833</c:v>
                </c:pt>
                <c:pt idx="871">
                  <c:v>45.538390315979818</c:v>
                </c:pt>
                <c:pt idx="872">
                  <c:v>45.274320347116245</c:v>
                </c:pt>
                <c:pt idx="873">
                  <c:v>45.030415546989865</c:v>
                </c:pt>
                <c:pt idx="874">
                  <c:v>44.783873104037028</c:v>
                </c:pt>
                <c:pt idx="875">
                  <c:v>44.545528865627695</c:v>
                </c:pt>
                <c:pt idx="876">
                  <c:v>44.29502781667604</c:v>
                </c:pt>
                <c:pt idx="877">
                  <c:v>44.052577387543344</c:v>
                </c:pt>
                <c:pt idx="878">
                  <c:v>43.818191732263777</c:v>
                </c:pt>
                <c:pt idx="879">
                  <c:v>43.571848132361815</c:v>
                </c:pt>
                <c:pt idx="880">
                  <c:v>43.333423905528598</c:v>
                </c:pt>
                <c:pt idx="881">
                  <c:v>43.1029308890826</c:v>
                </c:pt>
                <c:pt idx="882">
                  <c:v>42.860673126360062</c:v>
                </c:pt>
                <c:pt idx="883">
                  <c:v>42.626207302578386</c:v>
                </c:pt>
                <c:pt idx="884">
                  <c:v>42.389457504527613</c:v>
                </c:pt>
                <c:pt idx="885">
                  <c:v>42.17134850262056</c:v>
                </c:pt>
                <c:pt idx="886">
                  <c:v>41.930742153391094</c:v>
                </c:pt>
                <c:pt idx="887">
                  <c:v>41.697923576362903</c:v>
                </c:pt>
                <c:pt idx="888">
                  <c:v>41.483440957838482</c:v>
                </c:pt>
                <c:pt idx="889">
                  <c:v>41.246829078021939</c:v>
                </c:pt>
                <c:pt idx="890">
                  <c:v>41.017876937880253</c:v>
                </c:pt>
                <c:pt idx="891">
                  <c:v>40.80696260487268</c:v>
                </c:pt>
                <c:pt idx="892">
                  <c:v>40.574280661149061</c:v>
                </c:pt>
                <c:pt idx="893">
                  <c:v>40.349134173357292</c:v>
                </c:pt>
                <c:pt idx="894">
                  <c:v>40.132137694807859</c:v>
                </c:pt>
                <c:pt idx="895">
                  <c:v>39.92245135615844</c:v>
                </c:pt>
                <c:pt idx="896">
                  <c:v>39.691505889890735</c:v>
                </c:pt>
                <c:pt idx="897">
                  <c:v>39.478117654058423</c:v>
                </c:pt>
                <c:pt idx="898">
                  <c:v>39.271920529680635</c:v>
                </c:pt>
                <c:pt idx="899">
                  <c:v>39.044810663590482</c:v>
                </c:pt>
                <c:pt idx="900">
                  <c:v>38.834973789121577</c:v>
                </c:pt>
                <c:pt idx="901">
                  <c:v>38.632210644613387</c:v>
                </c:pt>
                <c:pt idx="902">
                  <c:v>38.408873055263356</c:v>
                </c:pt>
                <c:pt idx="903">
                  <c:v>38.202524665986168</c:v>
                </c:pt>
                <c:pt idx="904">
                  <c:v>38.003136233267682</c:v>
                </c:pt>
                <c:pt idx="905">
                  <c:v>37.783509654600927</c:v>
                </c:pt>
                <c:pt idx="906">
                  <c:v>37.58059482507911</c:v>
                </c:pt>
                <c:pt idx="907">
                  <c:v>37.375629749249001</c:v>
                </c:pt>
                <c:pt idx="908">
                  <c:v>37.177393765285757</c:v>
                </c:pt>
                <c:pt idx="909">
                  <c:v>36.96900881729475</c:v>
                </c:pt>
                <c:pt idx="910">
                  <c:v>36.767454522335704</c:v>
                </c:pt>
                <c:pt idx="911">
                  <c:v>36.572518491843702</c:v>
                </c:pt>
                <c:pt idx="912">
                  <c:v>36.367599161715319</c:v>
                </c:pt>
                <c:pt idx="913">
                  <c:v>36.169397839280791</c:v>
                </c:pt>
                <c:pt idx="914">
                  <c:v>35.977707454946156</c:v>
                </c:pt>
                <c:pt idx="915">
                  <c:v>35.776194391605237</c:v>
                </c:pt>
                <c:pt idx="916">
                  <c:v>35.581290225241517</c:v>
                </c:pt>
                <c:pt idx="917">
                  <c:v>35.384335676395331</c:v>
                </c:pt>
                <c:pt idx="918">
                  <c:v>35.203043147913064</c:v>
                </c:pt>
                <c:pt idx="919">
                  <c:v>35.002970182315394</c:v>
                </c:pt>
                <c:pt idx="920">
                  <c:v>34.809290042088364</c:v>
                </c:pt>
                <c:pt idx="921">
                  <c:v>34.631018987584795</c:v>
                </c:pt>
                <c:pt idx="922">
                  <c:v>34.434272224998139</c:v>
                </c:pt>
                <c:pt idx="923">
                  <c:v>34.243813816847023</c:v>
                </c:pt>
                <c:pt idx="924">
                  <c:v>34.068515502318732</c:v>
                </c:pt>
                <c:pt idx="925">
                  <c:v>33.875006959314334</c:v>
                </c:pt>
                <c:pt idx="926">
                  <c:v>33.687785184883353</c:v>
                </c:pt>
                <c:pt idx="927">
                  <c:v>33.515373148468171</c:v>
                </c:pt>
                <c:pt idx="928">
                  <c:v>33.325080195326514</c:v>
                </c:pt>
                <c:pt idx="929">
                  <c:v>33.140972743131123</c:v>
                </c:pt>
                <c:pt idx="930">
                  <c:v>32.963589476129215</c:v>
                </c:pt>
                <c:pt idx="931">
                  <c:v>32.792109202027959</c:v>
                </c:pt>
                <c:pt idx="932">
                  <c:v>32.603261214278824</c:v>
                </c:pt>
                <c:pt idx="933">
                  <c:v>32.428799569032044</c:v>
                </c:pt>
                <c:pt idx="934">
                  <c:v>32.260240669671504</c:v>
                </c:pt>
                <c:pt idx="935">
                  <c:v>32.074499085528508</c:v>
                </c:pt>
                <c:pt idx="936">
                  <c:v>31.902941951604681</c:v>
                </c:pt>
                <c:pt idx="937">
                  <c:v>31.737190941568251</c:v>
                </c:pt>
                <c:pt idx="938">
                  <c:v>31.554535837872777</c:v>
                </c:pt>
                <c:pt idx="939">
                  <c:v>31.385835119801921</c:v>
                </c:pt>
                <c:pt idx="940">
                  <c:v>31.215416425463076</c:v>
                </c:pt>
                <c:pt idx="941">
                  <c:v>31.050614753321401</c:v>
                </c:pt>
                <c:pt idx="942">
                  <c:v>30.877332529362349</c:v>
                </c:pt>
                <c:pt idx="943">
                  <c:v>30.70974950900073</c:v>
                </c:pt>
                <c:pt idx="944">
                  <c:v>30.547692981961273</c:v>
                </c:pt>
                <c:pt idx="945">
                  <c:v>30.377292621925697</c:v>
                </c:pt>
                <c:pt idx="946">
                  <c:v>30.212498428260979</c:v>
                </c:pt>
                <c:pt idx="947">
                  <c:v>30.053139465601991</c:v>
                </c:pt>
                <c:pt idx="948">
                  <c:v>29.885571839791417</c:v>
                </c:pt>
                <c:pt idx="949">
                  <c:v>29.723519630942214</c:v>
                </c:pt>
                <c:pt idx="950">
                  <c:v>29.566814615583613</c:v>
                </c:pt>
                <c:pt idx="951">
                  <c:v>29.402032614929286</c:v>
                </c:pt>
                <c:pt idx="952">
                  <c:v>29.242675540674856</c:v>
                </c:pt>
                <c:pt idx="953">
                  <c:v>29.081628826355473</c:v>
                </c:pt>
                <c:pt idx="954">
                  <c:v>28.933451320964828</c:v>
                </c:pt>
                <c:pt idx="955">
                  <c:v>28.769831579909301</c:v>
                </c:pt>
                <c:pt idx="956">
                  <c:v>28.611461904837544</c:v>
                </c:pt>
                <c:pt idx="957">
                  <c:v>28.465753720961288</c:v>
                </c:pt>
                <c:pt idx="958">
                  <c:v>28.304853165690247</c:v>
                </c:pt>
                <c:pt idx="959">
                  <c:v>28.149116975878187</c:v>
                </c:pt>
                <c:pt idx="960">
                  <c:v>28.005836789912234</c:v>
                </c:pt>
                <c:pt idx="961">
                  <c:v>27.847607710242862</c:v>
                </c:pt>
                <c:pt idx="962">
                  <c:v>27.694459472248536</c:v>
                </c:pt>
                <c:pt idx="963">
                  <c:v>27.54700925010188</c:v>
                </c:pt>
                <c:pt idx="964">
                  <c:v>27.4044868018028</c:v>
                </c:pt>
                <c:pt idx="965">
                  <c:v>27.247363795456334</c:v>
                </c:pt>
                <c:pt idx="966">
                  <c:v>27.102365616460858</c:v>
                </c:pt>
                <c:pt idx="967">
                  <c:v>26.962215223253651</c:v>
                </c:pt>
                <c:pt idx="968">
                  <c:v>26.807699360414759</c:v>
                </c:pt>
                <c:pt idx="969">
                  <c:v>26.66511400154381</c:v>
                </c:pt>
                <c:pt idx="970">
                  <c:v>26.527297537322724</c:v>
                </c:pt>
                <c:pt idx="971">
                  <c:v>26.375345554004145</c:v>
                </c:pt>
                <c:pt idx="972">
                  <c:v>26.235130789663625</c:v>
                </c:pt>
                <c:pt idx="973">
                  <c:v>26.099608104645743</c:v>
                </c:pt>
                <c:pt idx="974">
                  <c:v>25.950177773368022</c:v>
                </c:pt>
                <c:pt idx="975">
                  <c:v>25.812294360098434</c:v>
                </c:pt>
                <c:pt idx="976">
                  <c:v>25.672890002869565</c:v>
                </c:pt>
                <c:pt idx="977">
                  <c:v>25.538177020956876</c:v>
                </c:pt>
                <c:pt idx="978">
                  <c:v>25.396483087457074</c:v>
                </c:pt>
                <c:pt idx="979">
                  <c:v>25.259394945261665</c:v>
                </c:pt>
                <c:pt idx="980">
                  <c:v>25.126922176573459</c:v>
                </c:pt>
                <c:pt idx="981">
                  <c:v>24.987580337891711</c:v>
                </c:pt>
                <c:pt idx="982">
                  <c:v>24.85276952354349</c:v>
                </c:pt>
                <c:pt idx="983">
                  <c:v>24.722499128194602</c:v>
                </c:pt>
                <c:pt idx="984">
                  <c:v>24.585469472804089</c:v>
                </c:pt>
                <c:pt idx="985">
                  <c:v>24.452897100445039</c:v>
                </c:pt>
                <c:pt idx="986">
                  <c:v>24.319003879289706</c:v>
                </c:pt>
                <c:pt idx="987">
                  <c:v>24.195793491726263</c:v>
                </c:pt>
                <c:pt idx="988">
                  <c:v>24.05966502630196</c:v>
                </c:pt>
                <c:pt idx="989">
                  <c:v>23.927993508504318</c:v>
                </c:pt>
                <c:pt idx="990">
                  <c:v>23.80683289834591</c:v>
                </c:pt>
                <c:pt idx="991">
                  <c:v>23.672960652504294</c:v>
                </c:pt>
                <c:pt idx="992">
                  <c:v>23.543472399799683</c:v>
                </c:pt>
                <c:pt idx="993">
                  <c:v>23.424326779130226</c:v>
                </c:pt>
                <c:pt idx="994">
                  <c:v>23.292674316890949</c:v>
                </c:pt>
                <c:pt idx="995">
                  <c:v>23.165334890789172</c:v>
                </c:pt>
                <c:pt idx="996">
                  <c:v>23.048170434598699</c:v>
                </c:pt>
                <c:pt idx="997">
                  <c:v>22.916711474903209</c:v>
                </c:pt>
                <c:pt idx="998">
                  <c:v>22.795445533646248</c:v>
                </c:pt>
                <c:pt idx="999">
                  <c:v>22.672832982618413</c:v>
                </c:pt>
                <c:pt idx="1000">
                  <c:v>22.554359704987043</c:v>
                </c:pt>
                <c:pt idx="1001">
                  <c:v>22.429717556681577</c:v>
                </c:pt>
                <c:pt idx="1002">
                  <c:v>22.309139047809207</c:v>
                </c:pt>
                <c:pt idx="1003">
                  <c:v>22.192632397651877</c:v>
                </c:pt>
                <c:pt idx="1004">
                  <c:v>22.07005472358324</c:v>
                </c:pt>
                <c:pt idx="1005">
                  <c:v>21.95147436043068</c:v>
                </c:pt>
                <c:pt idx="1006">
                  <c:v>21.836900362205881</c:v>
                </c:pt>
                <c:pt idx="1007">
                  <c:v>21.716353356717981</c:v>
                </c:pt>
                <c:pt idx="1008">
                  <c:v>21.599739233506522</c:v>
                </c:pt>
                <c:pt idx="1009">
                  <c:v>21.48195281269836</c:v>
                </c:pt>
                <c:pt idx="1010">
                  <c:v>21.373599838458368</c:v>
                </c:pt>
                <c:pt idx="1011">
                  <c:v>21.253830985377174</c:v>
                </c:pt>
                <c:pt idx="1012">
                  <c:v>21.137995066521782</c:v>
                </c:pt>
                <c:pt idx="1013">
                  <c:v>21.031441911596904</c:v>
                </c:pt>
                <c:pt idx="1014">
                  <c:v>20.913654910570884</c:v>
                </c:pt>
                <c:pt idx="1015">
                  <c:v>20.799737105370884</c:v>
                </c:pt>
                <c:pt idx="1016">
                  <c:v>20.694951715122105</c:v>
                </c:pt>
                <c:pt idx="1017">
                  <c:v>20.579111320041502</c:v>
                </c:pt>
                <c:pt idx="1018">
                  <c:v>20.467078250043471</c:v>
                </c:pt>
                <c:pt idx="1019">
                  <c:v>20.35916533662337</c:v>
                </c:pt>
                <c:pt idx="1020">
                  <c:v>20.254947628332552</c:v>
                </c:pt>
                <c:pt idx="1021">
                  <c:v>20.139928788171915</c:v>
                </c:pt>
                <c:pt idx="1022">
                  <c:v>20.033803191467079</c:v>
                </c:pt>
                <c:pt idx="1023">
                  <c:v>19.931311538559683</c:v>
                </c:pt>
                <c:pt idx="1024">
                  <c:v>19.818191030087352</c:v>
                </c:pt>
                <c:pt idx="1025">
                  <c:v>19.713822310932159</c:v>
                </c:pt>
                <c:pt idx="1026">
                  <c:v>19.613029082622656</c:v>
                </c:pt>
                <c:pt idx="1027">
                  <c:v>19.50177625937166</c:v>
                </c:pt>
                <c:pt idx="1028">
                  <c:v>19.399134968728852</c:v>
                </c:pt>
                <c:pt idx="1029">
                  <c:v>19.300011515241156</c:v>
                </c:pt>
                <c:pt idx="1030">
                  <c:v>19.190594764532552</c:v>
                </c:pt>
                <c:pt idx="1031">
                  <c:v>19.089651441225477</c:v>
                </c:pt>
                <c:pt idx="1032">
                  <c:v>18.987649708841683</c:v>
                </c:pt>
                <c:pt idx="1033">
                  <c:v>18.889051679530347</c:v>
                </c:pt>
                <c:pt idx="1034">
                  <c:v>18.785282010115541</c:v>
                </c:pt>
                <c:pt idx="1035">
                  <c:v>18.684966728461806</c:v>
                </c:pt>
                <c:pt idx="1036">
                  <c:v>18.587999944460812</c:v>
                </c:pt>
                <c:pt idx="1037">
                  <c:v>18.485942934925415</c:v>
                </c:pt>
                <c:pt idx="1038">
                  <c:v>18.387285199786167</c:v>
                </c:pt>
                <c:pt idx="1039">
                  <c:v>18.291921501612688</c:v>
                </c:pt>
                <c:pt idx="1040">
                  <c:v>18.191548482288471</c:v>
                </c:pt>
                <c:pt idx="1041">
                  <c:v>18.094519388476943</c:v>
                </c:pt>
                <c:pt idx="1042">
                  <c:v>17.99643014083091</c:v>
                </c:pt>
                <c:pt idx="1043">
                  <c:v>17.906292810220677</c:v>
                </c:pt>
                <c:pt idx="1044">
                  <c:v>17.806586551783003</c:v>
                </c:pt>
                <c:pt idx="1045">
                  <c:v>17.710116458190829</c:v>
                </c:pt>
                <c:pt idx="1046">
                  <c:v>17.621470315661458</c:v>
                </c:pt>
                <c:pt idx="1047">
                  <c:v>17.523405940748091</c:v>
                </c:pt>
                <c:pt idx="1048">
                  <c:v>17.428525677675179</c:v>
                </c:pt>
                <c:pt idx="1049">
                  <c:v>17.341345338949946</c:v>
                </c:pt>
                <c:pt idx="1050">
                  <c:v>17.244879560289768</c:v>
                </c:pt>
                <c:pt idx="1051">
                  <c:v>17.151597199084293</c:v>
                </c:pt>
                <c:pt idx="1052">
                  <c:v>17.065840102526064</c:v>
                </c:pt>
                <c:pt idx="1053">
                  <c:v>16.970962424538605</c:v>
                </c:pt>
                <c:pt idx="1054">
                  <c:v>16.879217696920215</c:v>
                </c:pt>
                <c:pt idx="1055">
                  <c:v>16.790881309253976</c:v>
                </c:pt>
                <c:pt idx="1056">
                  <c:v>16.705535509105729</c:v>
                </c:pt>
                <c:pt idx="1057">
                  <c:v>16.61132585188642</c:v>
                </c:pt>
                <c:pt idx="1058">
                  <c:v>16.524429612169872</c:v>
                </c:pt>
                <c:pt idx="1059">
                  <c:v>16.440525899279237</c:v>
                </c:pt>
                <c:pt idx="1060">
                  <c:v>16.347848399656193</c:v>
                </c:pt>
                <c:pt idx="1061">
                  <c:v>16.262383558147295</c:v>
                </c:pt>
                <c:pt idx="1062">
                  <c:v>16.179863559572954</c:v>
                </c:pt>
                <c:pt idx="1063">
                  <c:v>16.088708585505398</c:v>
                </c:pt>
                <c:pt idx="1064">
                  <c:v>16.004651587605203</c:v>
                </c:pt>
                <c:pt idx="1065">
                  <c:v>15.919703241726726</c:v>
                </c:pt>
                <c:pt idx="1066">
                  <c:v>15.837603361323824</c:v>
                </c:pt>
                <c:pt idx="1067">
                  <c:v>15.751161923762107</c:v>
                </c:pt>
                <c:pt idx="1068">
                  <c:v>15.667610979166374</c:v>
                </c:pt>
                <c:pt idx="1069">
                  <c:v>15.586862845367161</c:v>
                </c:pt>
                <c:pt idx="1070">
                  <c:v>15.501841295206189</c:v>
                </c:pt>
                <c:pt idx="1071">
                  <c:v>15.419664328179122</c:v>
                </c:pt>
                <c:pt idx="1072">
                  <c:v>15.340245636780669</c:v>
                </c:pt>
                <c:pt idx="1073">
                  <c:v>15.256620415283756</c:v>
                </c:pt>
                <c:pt idx="1074">
                  <c:v>15.175794503321884</c:v>
                </c:pt>
                <c:pt idx="1075">
                  <c:v>15.097682439746501</c:v>
                </c:pt>
                <c:pt idx="1076">
                  <c:v>15.015430001579279</c:v>
                </c:pt>
                <c:pt idx="1077">
                  <c:v>14.93593221791955</c:v>
                </c:pt>
                <c:pt idx="1078">
                  <c:v>14.85555372184611</c:v>
                </c:pt>
                <c:pt idx="1079">
                  <c:v>14.7817335152799</c:v>
                </c:pt>
                <c:pt idx="1080">
                  <c:v>14.7000091863395</c:v>
                </c:pt>
                <c:pt idx="1081">
                  <c:v>14.620950226680041</c:v>
                </c:pt>
                <c:pt idx="1082">
                  <c:v>14.548345393026715</c:v>
                </c:pt>
                <c:pt idx="1083">
                  <c:v>14.467960110888315</c:v>
                </c:pt>
                <c:pt idx="1084">
                  <c:v>14.390197420581726</c:v>
                </c:pt>
                <c:pt idx="1085">
                  <c:v>14.31878677984508</c:v>
                </c:pt>
                <c:pt idx="1086">
                  <c:v>14.239718199236759</c:v>
                </c:pt>
                <c:pt idx="1087">
                  <c:v>14.163231010392815</c:v>
                </c:pt>
                <c:pt idx="1088">
                  <c:v>14.089641278026313</c:v>
                </c:pt>
                <c:pt idx="1089">
                  <c:v>14.018556509320268</c:v>
                </c:pt>
                <c:pt idx="1090">
                  <c:v>13.939986701655995</c:v>
                </c:pt>
                <c:pt idx="1091">
                  <c:v>13.867604076353812</c:v>
                </c:pt>
                <c:pt idx="1092">
                  <c:v>13.797686457315113</c:v>
                </c:pt>
                <c:pt idx="1093">
                  <c:v>13.720401195422212</c:v>
                </c:pt>
                <c:pt idx="1094">
                  <c:v>13.649205562258583</c:v>
                </c:pt>
                <c:pt idx="1095">
                  <c:v>13.580436016191662</c:v>
                </c:pt>
                <c:pt idx="1096">
                  <c:v>13.504414185148063</c:v>
                </c:pt>
                <c:pt idx="1097">
                  <c:v>13.434385423236634</c:v>
                </c:pt>
                <c:pt idx="1098">
                  <c:v>13.36674386196419</c:v>
                </c:pt>
                <c:pt idx="1099">
                  <c:v>13.29196386779568</c:v>
                </c:pt>
                <c:pt idx="1100">
                  <c:v>13.22308235049748</c:v>
                </c:pt>
                <c:pt idx="1101">
                  <c:v>13.153406272755557</c:v>
                </c:pt>
                <c:pt idx="1102">
                  <c:v>13.086117997310989</c:v>
                </c:pt>
                <c:pt idx="1103">
                  <c:v>13.015237026657541</c:v>
                </c:pt>
                <c:pt idx="1104">
                  <c:v>12.946701112191619</c:v>
                </c:pt>
                <c:pt idx="1105">
                  <c:v>12.880515002896093</c:v>
                </c:pt>
                <c:pt idx="1106">
                  <c:v>12.810792131729375</c:v>
                </c:pt>
                <c:pt idx="1107">
                  <c:v>12.743376438533483</c:v>
                </c:pt>
                <c:pt idx="1108">
                  <c:v>12.678273567158248</c:v>
                </c:pt>
                <c:pt idx="1109">
                  <c:v>12.609689346402064</c:v>
                </c:pt>
                <c:pt idx="1110">
                  <c:v>12.543375428502912</c:v>
                </c:pt>
                <c:pt idx="1111">
                  <c:v>12.476367767935074</c:v>
                </c:pt>
                <c:pt idx="1112">
                  <c:v>12.414826584124814</c:v>
                </c:pt>
                <c:pt idx="1113">
                  <c:v>12.346641757266402</c:v>
                </c:pt>
                <c:pt idx="1114">
                  <c:v>12.280728012597891</c:v>
                </c:pt>
                <c:pt idx="1115">
                  <c:v>12.220194223892241</c:v>
                </c:pt>
                <c:pt idx="1116">
                  <c:v>12.153120595878807</c:v>
                </c:pt>
                <c:pt idx="1117">
                  <c:v>12.08828205078969</c:v>
                </c:pt>
                <c:pt idx="1118">
                  <c:v>12.028738745273714</c:v>
                </c:pt>
                <c:pt idx="1119">
                  <c:v>11.962758110124575</c:v>
                </c:pt>
                <c:pt idx="1120">
                  <c:v>11.898977051316532</c:v>
                </c:pt>
                <c:pt idx="1121">
                  <c:v>11.840407798528533</c:v>
                </c:pt>
                <c:pt idx="1122">
                  <c:v>11.774480118174528</c:v>
                </c:pt>
                <c:pt idx="1123">
                  <c:v>11.713774184785006</c:v>
                </c:pt>
                <c:pt idx="1124">
                  <c:v>11.652361423378133</c:v>
                </c:pt>
                <c:pt idx="1125">
                  <c:v>11.593061733003951</c:v>
                </c:pt>
                <c:pt idx="1126">
                  <c:v>11.530576234564242</c:v>
                </c:pt>
                <c:pt idx="1127">
                  <c:v>11.47016454419278</c:v>
                </c:pt>
                <c:pt idx="1128">
                  <c:v>11.411831662896068</c:v>
                </c:pt>
                <c:pt idx="1129">
                  <c:v>11.350362506597296</c:v>
                </c:pt>
                <c:pt idx="1130">
                  <c:v>11.290934437503561</c:v>
                </c:pt>
                <c:pt idx="1131">
                  <c:v>11.233552367323918</c:v>
                </c:pt>
                <c:pt idx="1132">
                  <c:v>11.173083155859333</c:v>
                </c:pt>
                <c:pt idx="1133">
                  <c:v>11.114622755221548</c:v>
                </c:pt>
                <c:pt idx="1134">
                  <c:v>11.055544577720644</c:v>
                </c:pt>
                <c:pt idx="1135">
                  <c:v>11.001307210761045</c:v>
                </c:pt>
                <c:pt idx="1136">
                  <c:v>10.941180150300209</c:v>
                </c:pt>
                <c:pt idx="1137">
                  <c:v>10.883062313406226</c:v>
                </c:pt>
                <c:pt idx="1138">
                  <c:v>10.829709237021447</c:v>
                </c:pt>
                <c:pt idx="1139">
                  <c:v>10.770557774653868</c:v>
                </c:pt>
                <c:pt idx="1140">
                  <c:v>10.713384088162316</c:v>
                </c:pt>
                <c:pt idx="1141">
                  <c:v>10.660900755809092</c:v>
                </c:pt>
                <c:pt idx="1142">
                  <c:v>10.602708774470692</c:v>
                </c:pt>
                <c:pt idx="1143">
                  <c:v>10.546463549630287</c:v>
                </c:pt>
                <c:pt idx="1144">
                  <c:v>10.49232755232145</c:v>
                </c:pt>
                <c:pt idx="1145">
                  <c:v>10.440082056405378</c:v>
                </c:pt>
                <c:pt idx="1146">
                  <c:v>10.382254844826448</c:v>
                </c:pt>
                <c:pt idx="1147">
                  <c:v>10.328997996481251</c:v>
                </c:pt>
                <c:pt idx="1148">
                  <c:v>10.277601911897419</c:v>
                </c:pt>
                <c:pt idx="1149">
                  <c:v>10.220711122514071</c:v>
                </c:pt>
                <c:pt idx="1150">
                  <c:v>10.168319196965793</c:v>
                </c:pt>
                <c:pt idx="1151">
                  <c:v>10.117758698790357</c:v>
                </c:pt>
                <c:pt idx="1152">
                  <c:v>10.061788522897913</c:v>
                </c:pt>
                <c:pt idx="1153">
                  <c:v>10.010246792192179</c:v>
                </c:pt>
                <c:pt idx="1154">
                  <c:v>9.9605075458685199</c:v>
                </c:pt>
                <c:pt idx="1155">
                  <c:v>9.9054421902536447</c:v>
                </c:pt>
                <c:pt idx="1156">
                  <c:v>9.8547364187516653</c:v>
                </c:pt>
                <c:pt idx="1157">
                  <c:v>9.8034716838186444</c:v>
                </c:pt>
                <c:pt idx="1158">
                  <c:v>9.7539513130322835</c:v>
                </c:pt>
                <c:pt idx="1159">
                  <c:v>9.7017467066829592</c:v>
                </c:pt>
                <c:pt idx="1160">
                  <c:v>9.6513122365884865</c:v>
                </c:pt>
                <c:pt idx="1161">
                  <c:v>9.6025944030553667</c:v>
                </c:pt>
                <c:pt idx="1162">
                  <c:v>9.5512337919352301</c:v>
                </c:pt>
                <c:pt idx="1163">
                  <c:v>9.5016156329957653</c:v>
                </c:pt>
                <c:pt idx="1164">
                  <c:v>9.4536872482641119</c:v>
                </c:pt>
                <c:pt idx="1165">
                  <c:v>9.4031568016229912</c:v>
                </c:pt>
                <c:pt idx="1166">
                  <c:v>9.3543414981114061</c:v>
                </c:pt>
                <c:pt idx="1167">
                  <c:v>9.3049654190047804</c:v>
                </c:pt>
                <c:pt idx="1168">
                  <c:v>9.2596880598707312</c:v>
                </c:pt>
                <c:pt idx="1169">
                  <c:v>9.2094494574600319</c:v>
                </c:pt>
                <c:pt idx="1170">
                  <c:v>9.1608705763848981</c:v>
                </c:pt>
                <c:pt idx="1171">
                  <c:v>9.1163270386455828</c:v>
                </c:pt>
                <c:pt idx="1172">
                  <c:v>9.0668986381137504</c:v>
                </c:pt>
                <c:pt idx="1173">
                  <c:v>9.0191042900009375</c:v>
                </c:pt>
                <c:pt idx="1174">
                  <c:v>8.9752823693755772</c:v>
                </c:pt>
                <c:pt idx="1175">
                  <c:v>8.92664173210858</c:v>
                </c:pt>
                <c:pt idx="1176">
                  <c:v>8.87963656359039</c:v>
                </c:pt>
                <c:pt idx="1177">
                  <c:v>8.8365151632666876</c:v>
                </c:pt>
                <c:pt idx="1178">
                  <c:v>8.7886583513335808</c:v>
                </c:pt>
                <c:pt idx="1179">
                  <c:v>8.7424111224708394</c:v>
                </c:pt>
                <c:pt idx="1180">
                  <c:v>8.6979167772446733</c:v>
                </c:pt>
                <c:pt idx="1181">
                  <c:v>8.6549600898360559</c:v>
                </c:pt>
                <c:pt idx="1182">
                  <c:v>8.6073986086599703</c:v>
                </c:pt>
                <c:pt idx="1183">
                  <c:v>8.5636137252956512</c:v>
                </c:pt>
                <c:pt idx="1184">
                  <c:v>8.5213682081109035</c:v>
                </c:pt>
                <c:pt idx="1185">
                  <c:v>8.4745631376325985</c:v>
                </c:pt>
                <c:pt idx="1186">
                  <c:v>8.4314846380589579</c:v>
                </c:pt>
                <c:pt idx="1187">
                  <c:v>8.3899209915538098</c:v>
                </c:pt>
                <c:pt idx="1188">
                  <c:v>8.3438678272481503</c:v>
                </c:pt>
                <c:pt idx="1189">
                  <c:v>8.3014836824692342</c:v>
                </c:pt>
                <c:pt idx="1190">
                  <c:v>8.2586250050393701</c:v>
                </c:pt>
                <c:pt idx="1191">
                  <c:v>8.2172324173545288</c:v>
                </c:pt>
                <c:pt idx="1192">
                  <c:v>8.1735754685905988</c:v>
                </c:pt>
                <c:pt idx="1193">
                  <c:v>8.1314065185324313</c:v>
                </c:pt>
                <c:pt idx="1194">
                  <c:v>8.0906806532884818</c:v>
                </c:pt>
                <c:pt idx="1195">
                  <c:v>8.0477251053003336</c:v>
                </c:pt>
                <c:pt idx="1196">
                  <c:v>8.0062344199398279</c:v>
                </c:pt>
                <c:pt idx="1197">
                  <c:v>7.9661643703181992</c:v>
                </c:pt>
                <c:pt idx="1198">
                  <c:v>7.9238986969072167</c:v>
                </c:pt>
                <c:pt idx="1199">
                  <c:v>7.883074815007479</c:v>
                </c:pt>
                <c:pt idx="1200">
                  <c:v>7.8436494190468009</c:v>
                </c:pt>
                <c:pt idx="1201">
                  <c:v>7.8020618514706115</c:v>
                </c:pt>
                <c:pt idx="1202">
                  <c:v>7.7618938080362341</c:v>
                </c:pt>
                <c:pt idx="1203">
                  <c:v>7.7212571326873274</c:v>
                </c:pt>
                <c:pt idx="1204">
                  <c:v>7.6840180956820054</c:v>
                </c:pt>
                <c:pt idx="1205">
                  <c:v>7.6426587515947677</c:v>
                </c:pt>
                <c:pt idx="1206">
                  <c:v>7.6026737324247984</c:v>
                </c:pt>
                <c:pt idx="1207">
                  <c:v>7.5660339872887405</c:v>
                </c:pt>
                <c:pt idx="1208">
                  <c:v>7.5253369968304185</c:v>
                </c:pt>
                <c:pt idx="1209">
                  <c:v>7.4859929991791665</c:v>
                </c:pt>
                <c:pt idx="1210">
                  <c:v>7.4499426964099555</c:v>
                </c:pt>
                <c:pt idx="1211">
                  <c:v>7.4098968921457544</c:v>
                </c:pt>
                <c:pt idx="1212">
                  <c:v>7.3711830356055152</c:v>
                </c:pt>
                <c:pt idx="1213">
                  <c:v>7.3339664546351644</c:v>
                </c:pt>
                <c:pt idx="1214">
                  <c:v>7.2980434319950085</c:v>
                </c:pt>
                <c:pt idx="1215">
                  <c:v>7.2582126912827949</c:v>
                </c:pt>
                <c:pt idx="1216">
                  <c:v>7.2215928165162868</c:v>
                </c:pt>
                <c:pt idx="1217">
                  <c:v>7.1862463155077929</c:v>
                </c:pt>
                <c:pt idx="1218">
                  <c:v>7.1470515627321474</c:v>
                </c:pt>
                <c:pt idx="1219">
                  <c:v>7.1110183349468583</c:v>
                </c:pt>
                <c:pt idx="1220">
                  <c:v>7.077488423898755</c:v>
                </c:pt>
              </c:numCache>
            </c:numRef>
          </c:yVal>
          <c:smooth val="0"/>
        </c:ser>
        <c:dLbls>
          <c:showLegendKey val="0"/>
          <c:showVal val="0"/>
          <c:showCatName val="0"/>
          <c:showSerName val="0"/>
          <c:showPercent val="0"/>
          <c:showBubbleSize val="0"/>
        </c:dLbls>
        <c:axId val="215354968"/>
        <c:axId val="215355360"/>
      </c:scatterChart>
      <c:valAx>
        <c:axId val="215354968"/>
        <c:scaling>
          <c:orientation val="minMax"/>
          <c:max val="140"/>
        </c:scaling>
        <c:delete val="0"/>
        <c:axPos val="b"/>
        <c:title>
          <c:tx>
            <c:rich>
              <a:bodyPr/>
              <a:lstStyle/>
              <a:p>
                <a:pPr>
                  <a:defRPr sz="1200"/>
                </a:pPr>
                <a:r>
                  <a:rPr lang="en-US" sz="1200"/>
                  <a:t>Cumulative water (bbl)</a:t>
                </a:r>
              </a:p>
            </c:rich>
          </c:tx>
          <c:layout>
            <c:manualLayout>
              <c:xMode val="edge"/>
              <c:yMode val="edge"/>
              <c:x val="0.37413780022365239"/>
              <c:y val="0.92240864122753896"/>
            </c:manualLayout>
          </c:layout>
          <c:overlay val="0"/>
        </c:title>
        <c:numFmt formatCode="General" sourceLinked="1"/>
        <c:majorTickMark val="cross"/>
        <c:minorTickMark val="none"/>
        <c:tickLblPos val="nextTo"/>
        <c:spPr>
          <a:noFill/>
          <a:ln w="9525" cap="flat" cmpd="sng" algn="ctr">
            <a:solidFill>
              <a:sysClr val="windowText" lastClr="000000"/>
            </a:solidFill>
            <a:round/>
          </a:ln>
          <a:effectLst/>
        </c:spPr>
        <c:txPr>
          <a:bodyPr rot="-60000000" vert="horz"/>
          <a:lstStyle/>
          <a:p>
            <a:pPr>
              <a:defRPr sz="1100"/>
            </a:pPr>
            <a:endParaRPr lang="en-US"/>
          </a:p>
        </c:txPr>
        <c:crossAx val="215355360"/>
        <c:crosses val="autoZero"/>
        <c:crossBetween val="midCat"/>
      </c:valAx>
      <c:valAx>
        <c:axId val="215355360"/>
        <c:scaling>
          <c:orientation val="minMax"/>
          <c:min val="0"/>
        </c:scaling>
        <c:delete val="0"/>
        <c:axPos val="l"/>
        <c:title>
          <c:tx>
            <c:rich>
              <a:bodyPr rot="-5400000" vert="horz"/>
              <a:lstStyle/>
              <a:p>
                <a:pPr>
                  <a:defRPr/>
                </a:pPr>
                <a:r>
                  <a:rPr lang="en-US" dirty="0" smtClean="0"/>
                  <a:t>Tracer</a:t>
                </a:r>
                <a:r>
                  <a:rPr lang="en-US" baseline="0" dirty="0" smtClean="0"/>
                  <a:t> </a:t>
                </a:r>
                <a:r>
                  <a:rPr lang="en-US" sz="1200" baseline="0" dirty="0" smtClean="0"/>
                  <a:t>Concentration, ppm</a:t>
                </a:r>
                <a:endParaRPr lang="en-US" dirty="0"/>
              </a:p>
            </c:rich>
          </c:tx>
          <c:layout>
            <c:manualLayout>
              <c:xMode val="edge"/>
              <c:yMode val="edge"/>
              <c:x val="8.7521317899778642E-3"/>
              <c:y val="0.16181073519656197"/>
            </c:manualLayout>
          </c:layout>
          <c:overlay val="0"/>
        </c:title>
        <c:numFmt formatCode="General" sourceLinked="1"/>
        <c:majorTickMark val="cross"/>
        <c:minorTickMark val="none"/>
        <c:tickLblPos val="nextTo"/>
        <c:spPr>
          <a:noFill/>
          <a:ln w="9525" cap="flat" cmpd="sng" algn="ctr">
            <a:solidFill>
              <a:sysClr val="windowText" lastClr="000000"/>
            </a:solidFill>
            <a:round/>
          </a:ln>
          <a:effectLst/>
        </c:spPr>
        <c:txPr>
          <a:bodyPr rot="-60000000" vert="horz"/>
          <a:lstStyle/>
          <a:p>
            <a:pPr>
              <a:defRPr sz="1100"/>
            </a:pPr>
            <a:endParaRPr lang="en-US"/>
          </a:p>
        </c:txPr>
        <c:crossAx val="215354968"/>
        <c:crosses val="autoZero"/>
        <c:crossBetween val="midCat"/>
        <c:majorUnit val="150"/>
      </c:valAx>
      <c:spPr>
        <a:noFill/>
        <a:ln w="12700">
          <a:solidFill>
            <a:sysClr val="windowText" lastClr="000000"/>
          </a:solidFill>
        </a:ln>
        <a:effectLst/>
      </c:spPr>
    </c:plotArea>
    <c:legend>
      <c:legendPos val="r"/>
      <c:layout>
        <c:manualLayout>
          <c:xMode val="edge"/>
          <c:yMode val="edge"/>
          <c:x val="0.69831492883958135"/>
          <c:y val="5.5842115483817435E-2"/>
          <c:w val="0.24289411451011089"/>
          <c:h val="0.37350538050187221"/>
        </c:manualLayout>
      </c:layout>
      <c:overlay val="0"/>
      <c:spPr>
        <a:noFill/>
        <a:ln>
          <a:noFill/>
        </a:ln>
        <a:effectLst/>
      </c:spPr>
      <c:txPr>
        <a:bodyPr rot="0" vert="horz"/>
        <a:lstStyle/>
        <a:p>
          <a:pPr>
            <a:defRPr sz="1100"/>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605634196364203"/>
          <c:y val="5.3612373516565989E-2"/>
          <c:w val="0.83353854194472032"/>
          <c:h val="0.81663394128025268"/>
        </c:manualLayout>
      </c:layout>
      <c:barChart>
        <c:barDir val="col"/>
        <c:grouping val="clustered"/>
        <c:varyColors val="0"/>
        <c:ser>
          <c:idx val="0"/>
          <c:order val="0"/>
          <c:tx>
            <c:strRef>
              <c:f>'Static surfactant adsor-NO PSS'!$A$20</c:f>
              <c:strCache>
                <c:ptCount val="1"/>
                <c:pt idx="0">
                  <c:v>Brea Sand</c:v>
                </c:pt>
              </c:strCache>
            </c:strRef>
          </c:tx>
          <c:spPr>
            <a:solidFill>
              <a:schemeClr val="accent1"/>
            </a:solidFill>
            <a:ln>
              <a:noFill/>
            </a:ln>
            <a:effectLst/>
          </c:spPr>
          <c:invertIfNegative val="0"/>
          <c:errBars>
            <c:errBarType val="both"/>
            <c:errValType val="cust"/>
            <c:noEndCap val="0"/>
            <c:plus>
              <c:numRef>
                <c:f>'Static surfactant adsor-NO PSS'!$E$20:$F$20</c:f>
                <c:numCache>
                  <c:formatCode>General</c:formatCode>
                  <c:ptCount val="2"/>
                  <c:pt idx="0">
                    <c:v>0.35</c:v>
                  </c:pt>
                  <c:pt idx="1">
                    <c:v>0.25</c:v>
                  </c:pt>
                </c:numCache>
              </c:numRef>
            </c:plus>
            <c:minus>
              <c:numRef>
                <c:f>'Static surfactant adsor-NO PSS'!$E$21:$F$21</c:f>
                <c:numCache>
                  <c:formatCode>General</c:formatCode>
                  <c:ptCount val="2"/>
                  <c:pt idx="0">
                    <c:v>0.35</c:v>
                  </c:pt>
                  <c:pt idx="1">
                    <c:v>0.25</c:v>
                  </c:pt>
                </c:numCache>
              </c:numRef>
            </c:minus>
            <c:spPr>
              <a:noFill/>
              <a:ln w="9525" cap="flat" cmpd="sng" algn="ctr">
                <a:solidFill>
                  <a:schemeClr val="tx1"/>
                </a:solidFill>
                <a:round/>
              </a:ln>
              <a:effectLst/>
            </c:spPr>
          </c:errBars>
          <c:cat>
            <c:strRef>
              <c:f>'Static surfactant adsor-NO PSS'!$B$19:$C$19</c:f>
              <c:strCache>
                <c:ptCount val="2"/>
                <c:pt idx="0">
                  <c:v>Brine</c:v>
                </c:pt>
                <c:pt idx="1">
                  <c:v>1 wt % NaCl</c:v>
                </c:pt>
              </c:strCache>
            </c:strRef>
          </c:cat>
          <c:val>
            <c:numRef>
              <c:f>'Static surfactant adsor-NO PSS'!$B$20:$C$20</c:f>
              <c:numCache>
                <c:formatCode>General</c:formatCode>
                <c:ptCount val="2"/>
                <c:pt idx="0">
                  <c:v>4.9406355300859595</c:v>
                </c:pt>
                <c:pt idx="1">
                  <c:v>1.1397041895895044</c:v>
                </c:pt>
              </c:numCache>
            </c:numRef>
          </c:val>
        </c:ser>
        <c:ser>
          <c:idx val="1"/>
          <c:order val="1"/>
          <c:tx>
            <c:strRef>
              <c:f>'Static surfactant adsor-NO PSS'!$A$21</c:f>
              <c:strCache>
                <c:ptCount val="1"/>
                <c:pt idx="0">
                  <c:v>Ottawa Sand</c:v>
                </c:pt>
              </c:strCache>
            </c:strRef>
          </c:tx>
          <c:spPr>
            <a:solidFill>
              <a:schemeClr val="accent2"/>
            </a:solidFill>
            <a:ln>
              <a:noFill/>
            </a:ln>
            <a:effectLst/>
          </c:spPr>
          <c:invertIfNegative val="0"/>
          <c:errBars>
            <c:errBarType val="both"/>
            <c:errValType val="cust"/>
            <c:noEndCap val="0"/>
            <c:plus>
              <c:numRef>
                <c:f>'Static surfactant adsor-NO PSS'!$G$20:$H$20</c:f>
                <c:numCache>
                  <c:formatCode>General</c:formatCode>
                  <c:ptCount val="2"/>
                  <c:pt idx="0">
                    <c:v>0.15</c:v>
                  </c:pt>
                  <c:pt idx="1">
                    <c:v>0.18</c:v>
                  </c:pt>
                </c:numCache>
              </c:numRef>
            </c:plus>
            <c:minus>
              <c:numRef>
                <c:f>'Static surfactant adsor-NO PSS'!$G$21:$H$21</c:f>
                <c:numCache>
                  <c:formatCode>General</c:formatCode>
                  <c:ptCount val="2"/>
                  <c:pt idx="0">
                    <c:v>0.2</c:v>
                  </c:pt>
                  <c:pt idx="1">
                    <c:v>0.22</c:v>
                  </c:pt>
                </c:numCache>
              </c:numRef>
            </c:minus>
            <c:spPr>
              <a:noFill/>
              <a:ln w="9525" cap="flat" cmpd="sng" algn="ctr">
                <a:solidFill>
                  <a:schemeClr val="tx1"/>
                </a:solidFill>
                <a:round/>
              </a:ln>
              <a:effectLst/>
            </c:spPr>
          </c:errBars>
          <c:cat>
            <c:strRef>
              <c:f>'Static surfactant adsor-NO PSS'!$B$19:$C$19</c:f>
              <c:strCache>
                <c:ptCount val="2"/>
                <c:pt idx="0">
                  <c:v>Brine</c:v>
                </c:pt>
                <c:pt idx="1">
                  <c:v>1 wt % NaCl</c:v>
                </c:pt>
              </c:strCache>
            </c:strRef>
          </c:cat>
          <c:val>
            <c:numRef>
              <c:f>'Static surfactant adsor-NO PSS'!$B$21:$C$21</c:f>
              <c:numCache>
                <c:formatCode>General</c:formatCode>
                <c:ptCount val="2"/>
                <c:pt idx="0">
                  <c:v>1.1000000000000001</c:v>
                </c:pt>
                <c:pt idx="1">
                  <c:v>0.73925687685145847</c:v>
                </c:pt>
              </c:numCache>
            </c:numRef>
          </c:val>
        </c:ser>
        <c:dLbls>
          <c:showLegendKey val="0"/>
          <c:showVal val="0"/>
          <c:showCatName val="0"/>
          <c:showSerName val="0"/>
          <c:showPercent val="0"/>
          <c:showBubbleSize val="0"/>
        </c:dLbls>
        <c:gapWidth val="219"/>
        <c:overlap val="-27"/>
        <c:axId val="215356144"/>
        <c:axId val="215356536"/>
      </c:barChart>
      <c:catAx>
        <c:axId val="215356144"/>
        <c:scaling>
          <c:orientation val="minMax"/>
        </c:scaling>
        <c:delete val="0"/>
        <c:axPos val="b"/>
        <c:numFmt formatCode="General" sourceLinked="1"/>
        <c:majorTickMark val="none"/>
        <c:minorTickMark val="none"/>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5356536"/>
        <c:crosses val="autoZero"/>
        <c:auto val="1"/>
        <c:lblAlgn val="ctr"/>
        <c:lblOffset val="100"/>
        <c:noMultiLvlLbl val="0"/>
      </c:catAx>
      <c:valAx>
        <c:axId val="215356536"/>
        <c:scaling>
          <c:orientation val="minMax"/>
          <c:max val="6"/>
        </c:scaling>
        <c:delete val="0"/>
        <c:axPos val="l"/>
        <c:title>
          <c:tx>
            <c:rich>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b="1" dirty="0" smtClean="0">
                    <a:solidFill>
                      <a:schemeClr val="tx1"/>
                    </a:solidFill>
                    <a:latin typeface="Times New Roman" panose="02020603050405020304" pitchFamily="18" charset="0"/>
                    <a:cs typeface="Times New Roman" panose="02020603050405020304" pitchFamily="18" charset="0"/>
                  </a:rPr>
                  <a:t>Adsorption, </a:t>
                </a:r>
                <a:r>
                  <a:rPr lang="en-US" sz="1200" b="1" dirty="0">
                    <a:solidFill>
                      <a:schemeClr val="tx1"/>
                    </a:solidFill>
                    <a:latin typeface="Times New Roman" panose="02020603050405020304" pitchFamily="18" charset="0"/>
                    <a:cs typeface="Times New Roman" panose="02020603050405020304" pitchFamily="18" charset="0"/>
                  </a:rPr>
                  <a:t>mg/ g Sand</a:t>
                </a:r>
              </a:p>
            </c:rich>
          </c:tx>
          <c:layout>
            <c:manualLayout>
              <c:xMode val="edge"/>
              <c:yMode val="edge"/>
              <c:x val="1.48529928496917E-2"/>
              <c:y val="0.106889281527297"/>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cross"/>
        <c:minorTickMark val="none"/>
        <c:tickLblPos val="nextTo"/>
        <c:spPr>
          <a:noFill/>
          <a:ln>
            <a:solidFill>
              <a:sysClr val="windowText" lastClr="000000"/>
            </a:solidFill>
          </a:ln>
          <a:effectLst/>
        </c:spPr>
        <c:txPr>
          <a:bodyPr rot="-600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5356144"/>
        <c:crosses val="autoZero"/>
        <c:crossBetween val="between"/>
        <c:majorUnit val="2"/>
      </c:valAx>
      <c:spPr>
        <a:noFill/>
        <a:ln>
          <a:noFill/>
        </a:ln>
        <a:effectLst/>
      </c:spPr>
    </c:plotArea>
    <c:legend>
      <c:legendPos val="b"/>
      <c:layout>
        <c:manualLayout>
          <c:xMode val="edge"/>
          <c:yMode val="edge"/>
          <c:x val="0.3743930915238422"/>
          <c:y val="0.31485209962059718"/>
          <c:w val="0.51289106869598799"/>
          <c:h val="8.6535797608632198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ysClr val="window" lastClr="FFFFFF"/>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819759336134401"/>
          <c:y val="5.3912219305920099E-2"/>
          <c:w val="0.78514382087567602"/>
          <c:h val="0.70062481773111696"/>
        </c:manualLayout>
      </c:layout>
      <c:barChart>
        <c:barDir val="col"/>
        <c:grouping val="clustered"/>
        <c:varyColors val="0"/>
        <c:ser>
          <c:idx val="0"/>
          <c:order val="0"/>
          <c:spPr>
            <a:solidFill>
              <a:srgbClr val="0070C0"/>
            </a:solidFill>
            <a:ln>
              <a:noFill/>
            </a:ln>
            <a:effectLst/>
          </c:spPr>
          <c:invertIfNegative val="0"/>
          <c:errBars>
            <c:errBarType val="both"/>
            <c:errValType val="cust"/>
            <c:noEndCap val="0"/>
            <c:plus>
              <c:numRef>
                <c:f>'Static-PSS only adsorption'!$J$11:$M$11</c:f>
                <c:numCache>
                  <c:formatCode>General</c:formatCode>
                  <c:ptCount val="4"/>
                  <c:pt idx="0">
                    <c:v>9.7421814671814838E-4</c:v>
                  </c:pt>
                  <c:pt idx="1">
                    <c:v>1.5897387026239072E-3</c:v>
                  </c:pt>
                  <c:pt idx="2">
                    <c:v>5.5452025052192089E-4</c:v>
                  </c:pt>
                  <c:pt idx="3">
                    <c:v>1.6156441558441573E-4</c:v>
                  </c:pt>
                </c:numCache>
              </c:numRef>
            </c:plus>
            <c:minus>
              <c:numRef>
                <c:f>'Static-PSS only adsorption'!$J$12:$M$12</c:f>
                <c:numCache>
                  <c:formatCode>General</c:formatCode>
                  <c:ptCount val="4"/>
                  <c:pt idx="0">
                    <c:v>7.9486935131195362E-4</c:v>
                  </c:pt>
                  <c:pt idx="1">
                    <c:v>1.5897387026239072E-3</c:v>
                  </c:pt>
                  <c:pt idx="2">
                    <c:v>5.5452025052192089E-4</c:v>
                  </c:pt>
                  <c:pt idx="3">
                    <c:v>1.6156441558441573E-4</c:v>
                  </c:pt>
                </c:numCache>
              </c:numRef>
            </c:minus>
            <c:spPr>
              <a:noFill/>
              <a:ln w="9525" cap="flat" cmpd="sng" algn="ctr">
                <a:solidFill>
                  <a:sysClr val="windowText" lastClr="000000"/>
                </a:solidFill>
                <a:round/>
              </a:ln>
              <a:effectLst/>
            </c:spPr>
          </c:errBars>
          <c:cat>
            <c:strRef>
              <c:f>'Static-PSS only adsorption'!$A$11:$A$14</c:f>
              <c:strCache>
                <c:ptCount val="4"/>
                <c:pt idx="0">
                  <c:v>20 KDa SSMA</c:v>
                </c:pt>
                <c:pt idx="1">
                  <c:v>70 KDa</c:v>
                </c:pt>
                <c:pt idx="2">
                  <c:v>250 KDa</c:v>
                </c:pt>
                <c:pt idx="3">
                  <c:v>1 MDa</c:v>
                </c:pt>
              </c:strCache>
            </c:strRef>
          </c:cat>
          <c:val>
            <c:numRef>
              <c:f>'Static-PSS only adsorption'!$H$11:$H$14</c:f>
              <c:numCache>
                <c:formatCode>0.00E+00</c:formatCode>
                <c:ptCount val="4"/>
                <c:pt idx="0">
                  <c:v>1.9484362934362967E-2</c:v>
                </c:pt>
                <c:pt idx="1">
                  <c:v>1.5897387026239072E-2</c:v>
                </c:pt>
                <c:pt idx="2">
                  <c:v>1.8484008350730695E-3</c:v>
                </c:pt>
                <c:pt idx="3">
                  <c:v>8.0782207792207865E-4</c:v>
                </c:pt>
              </c:numCache>
            </c:numRef>
          </c:val>
        </c:ser>
        <c:dLbls>
          <c:showLegendKey val="0"/>
          <c:showVal val="0"/>
          <c:showCatName val="0"/>
          <c:showSerName val="0"/>
          <c:showPercent val="0"/>
          <c:showBubbleSize val="0"/>
        </c:dLbls>
        <c:gapWidth val="219"/>
        <c:overlap val="-27"/>
        <c:axId val="218368184"/>
        <c:axId val="218368576"/>
      </c:barChart>
      <c:catAx>
        <c:axId val="218368184"/>
        <c:scaling>
          <c:orientation val="minMax"/>
        </c:scaling>
        <c:delete val="0"/>
        <c:axPos val="b"/>
        <c:title>
          <c:tx>
            <c:rich>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b="1" dirty="0" smtClean="0">
                    <a:solidFill>
                      <a:schemeClr val="tx1"/>
                    </a:solidFill>
                    <a:latin typeface="Times New Roman" panose="02020603050405020304" pitchFamily="18" charset="0"/>
                    <a:cs typeface="Times New Roman" panose="02020603050405020304" pitchFamily="18" charset="0"/>
                  </a:rPr>
                  <a:t>PSS</a:t>
                </a:r>
                <a:r>
                  <a:rPr lang="en-US" sz="1200" b="1" baseline="0" dirty="0" smtClean="0">
                    <a:solidFill>
                      <a:schemeClr val="tx1"/>
                    </a:solidFill>
                    <a:latin typeface="Times New Roman" panose="02020603050405020304" pitchFamily="18" charset="0"/>
                    <a:cs typeface="Times New Roman" panose="02020603050405020304" pitchFamily="18" charset="0"/>
                  </a:rPr>
                  <a:t> Molecular Weight</a:t>
                </a:r>
                <a:endParaRPr lang="en-US" sz="1200" b="1" dirty="0">
                  <a:solidFill>
                    <a:schemeClr val="tx1"/>
                  </a:solidFill>
                  <a:latin typeface="Times New Roman" panose="02020603050405020304" pitchFamily="18" charset="0"/>
                  <a:cs typeface="Times New Roman" panose="02020603050405020304" pitchFamily="18" charset="0"/>
                </a:endParaRPr>
              </a:p>
            </c:rich>
          </c:tx>
          <c:layout>
            <c:manualLayout>
              <c:xMode val="edge"/>
              <c:yMode val="edge"/>
              <c:x val="0.35141340119664"/>
              <c:y val="0.88793963254593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8368576"/>
        <c:crosses val="autoZero"/>
        <c:auto val="1"/>
        <c:lblAlgn val="ctr"/>
        <c:lblOffset val="100"/>
        <c:noMultiLvlLbl val="0"/>
      </c:catAx>
      <c:valAx>
        <c:axId val="218368576"/>
        <c:scaling>
          <c:orientation val="minMax"/>
        </c:scaling>
        <c:delete val="0"/>
        <c:axPos val="l"/>
        <c:title>
          <c:tx>
            <c:rich>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b="1" dirty="0" smtClean="0">
                    <a:solidFill>
                      <a:schemeClr val="tx1"/>
                    </a:solidFill>
                    <a:latin typeface="Times New Roman" panose="02020603050405020304" pitchFamily="18" charset="0"/>
                    <a:cs typeface="Times New Roman" panose="02020603050405020304" pitchFamily="18" charset="0"/>
                  </a:rPr>
                  <a:t>PSS</a:t>
                </a:r>
                <a:r>
                  <a:rPr lang="en-US" sz="1200" b="1" baseline="0" dirty="0" smtClean="0">
                    <a:solidFill>
                      <a:schemeClr val="tx1"/>
                    </a:solidFill>
                    <a:latin typeface="Times New Roman" panose="02020603050405020304" pitchFamily="18" charset="0"/>
                    <a:cs typeface="Times New Roman" panose="02020603050405020304" pitchFamily="18" charset="0"/>
                  </a:rPr>
                  <a:t> </a:t>
                </a:r>
                <a:r>
                  <a:rPr lang="en-US" sz="1200" b="1" dirty="0" smtClean="0">
                    <a:solidFill>
                      <a:schemeClr val="tx1"/>
                    </a:solidFill>
                    <a:latin typeface="Times New Roman" panose="02020603050405020304" pitchFamily="18" charset="0"/>
                    <a:cs typeface="Times New Roman" panose="02020603050405020304" pitchFamily="18" charset="0"/>
                  </a:rPr>
                  <a:t>Adsorption.</a:t>
                </a:r>
                <a:r>
                  <a:rPr lang="en-US" sz="1200" b="1" i="0" u="none" strike="noStrike" baseline="0" dirty="0" smtClean="0">
                    <a:solidFill>
                      <a:schemeClr val="tx1"/>
                    </a:solidFill>
                    <a:effectLst/>
                  </a:rPr>
                  <a:t> µ </a:t>
                </a:r>
                <a:r>
                  <a:rPr lang="en-US" sz="1200" b="1" i="0" u="none" strike="noStrike" baseline="0" dirty="0" err="1" smtClean="0">
                    <a:solidFill>
                      <a:schemeClr val="tx1"/>
                    </a:solidFill>
                    <a:effectLst/>
                  </a:rPr>
                  <a:t>mol</a:t>
                </a:r>
                <a:r>
                  <a:rPr lang="en-US" sz="1200" b="1" i="0" u="none" strike="noStrike" baseline="0" dirty="0" smtClean="0">
                    <a:solidFill>
                      <a:schemeClr val="tx1"/>
                    </a:solidFill>
                    <a:effectLst/>
                  </a:rPr>
                  <a:t>/ g sand</a:t>
                </a:r>
                <a:endParaRPr lang="en-US" sz="1200" b="1" dirty="0">
                  <a:solidFill>
                    <a:schemeClr val="tx1"/>
                  </a:solidFill>
                  <a:latin typeface="Times New Roman" panose="02020603050405020304" pitchFamily="18" charset="0"/>
                  <a:cs typeface="Times New Roman" panose="02020603050405020304" pitchFamily="18" charset="0"/>
                </a:endParaRPr>
              </a:p>
            </c:rich>
          </c:tx>
          <c:layout>
            <c:manualLayout>
              <c:xMode val="edge"/>
              <c:yMode val="edge"/>
              <c:x val="2.3573288593216696E-2"/>
              <c:y val="3.3533829104695247E-2"/>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0.E+0" sourceLinked="0"/>
        <c:majorTickMark val="cross"/>
        <c:minorTickMark val="none"/>
        <c:tickLblPos val="nextTo"/>
        <c:spPr>
          <a:noFill/>
          <a:ln>
            <a:solidFill>
              <a:sysClr val="windowText" lastClr="000000"/>
            </a:solidFill>
          </a:ln>
          <a:effectLst/>
        </c:spPr>
        <c:txPr>
          <a:bodyPr rot="-600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8368184"/>
        <c:crosses val="autoZero"/>
        <c:crossBetween val="between"/>
        <c:majorUnit val="0.01"/>
      </c:valAx>
      <c:spPr>
        <a:noFill/>
        <a:ln>
          <a:noFill/>
        </a:ln>
        <a:effectLst/>
      </c:spPr>
    </c:plotArea>
    <c:plotVisOnly val="1"/>
    <c:dispBlanksAs val="gap"/>
    <c:showDLblsOverMax val="0"/>
  </c:chart>
  <c:spPr>
    <a:solidFill>
      <a:schemeClr val="bg1"/>
    </a:solidFill>
    <a:ln w="9525" cap="flat" cmpd="sng" algn="ctr">
      <a:solidFill>
        <a:sysClr val="window" lastClr="FFFFFF"/>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781391456502719"/>
          <c:y val="3.8165272076033228E-2"/>
          <c:w val="0.84718608543497298"/>
          <c:h val="0.79666049096804081"/>
        </c:manualLayout>
      </c:layout>
      <c:scatterChart>
        <c:scatterStyle val="smoothMarker"/>
        <c:varyColors val="0"/>
        <c:ser>
          <c:idx val="1"/>
          <c:order val="0"/>
          <c:tx>
            <c:v>20 KDa SSMA</c:v>
          </c:tx>
          <c:spPr>
            <a:ln w="15875">
              <a:solidFill>
                <a:srgbClr val="C00000"/>
              </a:solidFill>
            </a:ln>
            <a:effectLst/>
          </c:spPr>
          <c:marker>
            <c:symbol val="x"/>
            <c:size val="6"/>
            <c:spPr>
              <a:solidFill>
                <a:srgbClr val="C00000"/>
              </a:solidFill>
              <a:ln w="9525">
                <a:solidFill>
                  <a:srgbClr val="C00000"/>
                </a:solidFill>
              </a:ln>
              <a:effectLst/>
            </c:spPr>
          </c:marker>
          <c:xVal>
            <c:numRef>
              <c:f>'[Chart in Microsoft PowerPoint]Static-PSS-surfactant Adsorptio'!$I$23:$I$28</c:f>
              <c:numCache>
                <c:formatCode>General</c:formatCode>
                <c:ptCount val="6"/>
                <c:pt idx="0">
                  <c:v>0</c:v>
                </c:pt>
                <c:pt idx="1">
                  <c:v>0.1</c:v>
                </c:pt>
                <c:pt idx="2">
                  <c:v>0.25</c:v>
                </c:pt>
                <c:pt idx="3">
                  <c:v>0.4</c:v>
                </c:pt>
                <c:pt idx="4">
                  <c:v>0.6</c:v>
                </c:pt>
                <c:pt idx="5">
                  <c:v>0.8</c:v>
                </c:pt>
              </c:numCache>
            </c:numRef>
          </c:xVal>
          <c:yVal>
            <c:numRef>
              <c:f>'[Chart in Microsoft PowerPoint]Static-PSS-surfactant Adsorptio'!$N$23:$N$28</c:f>
              <c:numCache>
                <c:formatCode>General</c:formatCode>
                <c:ptCount val="6"/>
                <c:pt idx="0">
                  <c:v>4.9400000000000004</c:v>
                </c:pt>
                <c:pt idx="1">
                  <c:v>3.2531334278400017</c:v>
                </c:pt>
                <c:pt idx="2">
                  <c:v>2.1742056376200027</c:v>
                </c:pt>
                <c:pt idx="3">
                  <c:v>2.2153321674000019</c:v>
                </c:pt>
                <c:pt idx="4">
                  <c:v>2.0751174408600015</c:v>
                </c:pt>
                <c:pt idx="5">
                  <c:v>2.0286200275199997</c:v>
                </c:pt>
              </c:numCache>
            </c:numRef>
          </c:yVal>
          <c:smooth val="1"/>
        </c:ser>
        <c:ser>
          <c:idx val="0"/>
          <c:order val="1"/>
          <c:tx>
            <c:v>70 KDa PSS</c:v>
          </c:tx>
          <c:spPr>
            <a:ln w="15875"/>
            <a:effectLst/>
          </c:spPr>
          <c:marker>
            <c:symbol val="circle"/>
            <c:size val="6"/>
            <c:spPr>
              <a:solidFill>
                <a:schemeClr val="accent1"/>
              </a:solidFill>
              <a:ln w="9525">
                <a:solidFill>
                  <a:schemeClr val="accent1"/>
                </a:solidFill>
              </a:ln>
              <a:effectLst/>
            </c:spPr>
          </c:marker>
          <c:xVal>
            <c:numRef>
              <c:f>'[Chart in Microsoft PowerPoint]Static-PSS-surfactant Adsorptio'!$A$22:$A$27</c:f>
              <c:numCache>
                <c:formatCode>General</c:formatCode>
                <c:ptCount val="6"/>
                <c:pt idx="0">
                  <c:v>0</c:v>
                </c:pt>
                <c:pt idx="1">
                  <c:v>0.1</c:v>
                </c:pt>
                <c:pt idx="2">
                  <c:v>0.25</c:v>
                </c:pt>
                <c:pt idx="3">
                  <c:v>0.4</c:v>
                </c:pt>
                <c:pt idx="4">
                  <c:v>0.6</c:v>
                </c:pt>
                <c:pt idx="5">
                  <c:v>0.8</c:v>
                </c:pt>
              </c:numCache>
            </c:numRef>
          </c:xVal>
          <c:yVal>
            <c:numRef>
              <c:f>'[Chart in Microsoft PowerPoint]Static-PSS-surfactant Adsorptio'!$F$22:$F$27</c:f>
              <c:numCache>
                <c:formatCode>General</c:formatCode>
                <c:ptCount val="6"/>
                <c:pt idx="0">
                  <c:v>4.9400000000000004</c:v>
                </c:pt>
                <c:pt idx="1">
                  <c:v>1.4591301818400004</c:v>
                </c:pt>
                <c:pt idx="2">
                  <c:v>1.2014650605599999</c:v>
                </c:pt>
                <c:pt idx="3">
                  <c:v>0.79589871126000022</c:v>
                </c:pt>
                <c:pt idx="4">
                  <c:v>0.97409317553999952</c:v>
                </c:pt>
                <c:pt idx="5">
                  <c:v>1.2622843533600026</c:v>
                </c:pt>
              </c:numCache>
            </c:numRef>
          </c:yVal>
          <c:smooth val="1"/>
        </c:ser>
        <c:ser>
          <c:idx val="2"/>
          <c:order val="2"/>
          <c:tx>
            <c:v>250 KDa PSS</c:v>
          </c:tx>
          <c:spPr>
            <a:ln w="15875">
              <a:solidFill>
                <a:srgbClr val="00B050"/>
              </a:solidFill>
            </a:ln>
          </c:spPr>
          <c:marker>
            <c:symbol val="triangle"/>
            <c:size val="6"/>
            <c:spPr>
              <a:solidFill>
                <a:srgbClr val="00B050"/>
              </a:solidFill>
              <a:ln>
                <a:solidFill>
                  <a:srgbClr val="00B050"/>
                </a:solidFill>
              </a:ln>
            </c:spPr>
          </c:marker>
          <c:xVal>
            <c:numRef>
              <c:f>'[Chart in Microsoft PowerPoint]Static-PSS-surfactant Adsorptio'!$P$23:$P$28</c:f>
              <c:numCache>
                <c:formatCode>General</c:formatCode>
                <c:ptCount val="6"/>
                <c:pt idx="0">
                  <c:v>0</c:v>
                </c:pt>
                <c:pt idx="1">
                  <c:v>0.1</c:v>
                </c:pt>
                <c:pt idx="2">
                  <c:v>0.25</c:v>
                </c:pt>
                <c:pt idx="3">
                  <c:v>0.4</c:v>
                </c:pt>
                <c:pt idx="4">
                  <c:v>0.6</c:v>
                </c:pt>
                <c:pt idx="5">
                  <c:v>0.8</c:v>
                </c:pt>
              </c:numCache>
            </c:numRef>
          </c:xVal>
          <c:yVal>
            <c:numRef>
              <c:f>'[Chart in Microsoft PowerPoint]Static-PSS-surfactant Adsorptio'!$V$23:$V$28</c:f>
              <c:numCache>
                <c:formatCode>General</c:formatCode>
                <c:ptCount val="6"/>
                <c:pt idx="0">
                  <c:v>4.9400000000000004</c:v>
                </c:pt>
                <c:pt idx="1">
                  <c:v>2.024510967540003</c:v>
                </c:pt>
                <c:pt idx="2">
                  <c:v>1.4451780913800005</c:v>
                </c:pt>
                <c:pt idx="3">
                  <c:v>1.1326030747200011</c:v>
                </c:pt>
                <c:pt idx="4">
                  <c:v>1.4020033723800007</c:v>
                </c:pt>
                <c:pt idx="5">
                  <c:v>1.2277790899200025</c:v>
                </c:pt>
              </c:numCache>
            </c:numRef>
          </c:yVal>
          <c:smooth val="1"/>
        </c:ser>
        <c:ser>
          <c:idx val="3"/>
          <c:order val="3"/>
          <c:tx>
            <c:v>1 MDa PSS</c:v>
          </c:tx>
          <c:spPr>
            <a:ln w="15875"/>
          </c:spPr>
          <c:marker>
            <c:symbol val="x"/>
            <c:size val="6"/>
          </c:marker>
          <c:xVal>
            <c:numRef>
              <c:f>'[Chart in Microsoft PowerPoint]Static-PSS-surfactant Adsorptio'!$X$23:$X$28</c:f>
              <c:numCache>
                <c:formatCode>General</c:formatCode>
                <c:ptCount val="6"/>
                <c:pt idx="0">
                  <c:v>0</c:v>
                </c:pt>
                <c:pt idx="1">
                  <c:v>0.1</c:v>
                </c:pt>
                <c:pt idx="2">
                  <c:v>0.25</c:v>
                </c:pt>
                <c:pt idx="3">
                  <c:v>0.4</c:v>
                </c:pt>
                <c:pt idx="4">
                  <c:v>0.6</c:v>
                </c:pt>
                <c:pt idx="5">
                  <c:v>0.8</c:v>
                </c:pt>
              </c:numCache>
            </c:numRef>
          </c:xVal>
          <c:yVal>
            <c:numRef>
              <c:f>'[Chart in Microsoft PowerPoint]Static-PSS-surfactant Adsorptio'!$AD$23:$AD$28</c:f>
              <c:numCache>
                <c:formatCode>General</c:formatCode>
                <c:ptCount val="6"/>
                <c:pt idx="0">
                  <c:v>4.9400000000000004</c:v>
                </c:pt>
                <c:pt idx="1">
                  <c:v>1.6505007294600005</c:v>
                </c:pt>
                <c:pt idx="2">
                  <c:v>1.3724897648400025</c:v>
                </c:pt>
                <c:pt idx="3">
                  <c:v>1.0172116373400009</c:v>
                </c:pt>
                <c:pt idx="4">
                  <c:v>1.3798081585800015</c:v>
                </c:pt>
                <c:pt idx="5">
                  <c:v>1.0019725923600018</c:v>
                </c:pt>
              </c:numCache>
            </c:numRef>
          </c:yVal>
          <c:smooth val="1"/>
        </c:ser>
        <c:ser>
          <c:idx val="4"/>
          <c:order val="4"/>
          <c:tx>
            <c:v>No PSS</c:v>
          </c:tx>
          <c:spPr>
            <a:ln w="22225">
              <a:solidFill>
                <a:sysClr val="windowText" lastClr="000000"/>
              </a:solidFill>
              <a:prstDash val="dash"/>
            </a:ln>
          </c:spPr>
          <c:marker>
            <c:symbol val="none"/>
          </c:marker>
          <c:dPt>
            <c:idx val="0"/>
            <c:bubble3D val="0"/>
          </c:dPt>
          <c:dPt>
            <c:idx val="1"/>
            <c:bubble3D val="0"/>
          </c:dPt>
          <c:xVal>
            <c:numRef>
              <c:f>'[Chart in Microsoft PowerPoint]Static-PSS-surfactant Adsorptio'!$S$33:$S$34</c:f>
              <c:numCache>
                <c:formatCode>General</c:formatCode>
                <c:ptCount val="2"/>
                <c:pt idx="0">
                  <c:v>0</c:v>
                </c:pt>
                <c:pt idx="1">
                  <c:v>0.80100000000000005</c:v>
                </c:pt>
              </c:numCache>
            </c:numRef>
          </c:xVal>
          <c:yVal>
            <c:numRef>
              <c:f>'[Chart in Microsoft PowerPoint]Static-PSS-surfactant Adsorptio'!$T$33:$T$34</c:f>
              <c:numCache>
                <c:formatCode>General</c:formatCode>
                <c:ptCount val="2"/>
                <c:pt idx="0">
                  <c:v>4.9400000000000004</c:v>
                </c:pt>
                <c:pt idx="1">
                  <c:v>4.9400000000000004</c:v>
                </c:pt>
              </c:numCache>
            </c:numRef>
          </c:yVal>
          <c:smooth val="1"/>
        </c:ser>
        <c:dLbls>
          <c:showLegendKey val="0"/>
          <c:showVal val="0"/>
          <c:showCatName val="0"/>
          <c:showSerName val="0"/>
          <c:showPercent val="0"/>
          <c:showBubbleSize val="0"/>
        </c:dLbls>
        <c:axId val="218369360"/>
        <c:axId val="220297128"/>
      </c:scatterChart>
      <c:valAx>
        <c:axId val="218369360"/>
        <c:scaling>
          <c:orientation val="minMax"/>
        </c:scaling>
        <c:delete val="0"/>
        <c:axPos val="b"/>
        <c:title>
          <c:tx>
            <c:rich>
              <a:bodyPr/>
              <a:lstStyle/>
              <a:p>
                <a:pPr>
                  <a:defRPr/>
                </a:pPr>
                <a:r>
                  <a:rPr lang="en-US"/>
                  <a:t>PSS concentration, wt %</a:t>
                </a:r>
              </a:p>
            </c:rich>
          </c:tx>
          <c:layout>
            <c:manualLayout>
              <c:xMode val="edge"/>
              <c:yMode val="edge"/>
              <c:x val="0.32036657917760286"/>
              <c:y val="0.92630429743290632"/>
            </c:manualLayout>
          </c:layout>
          <c:overlay val="0"/>
        </c:title>
        <c:numFmt formatCode="General" sourceLinked="1"/>
        <c:majorTickMark val="cross"/>
        <c:minorTickMark val="none"/>
        <c:tickLblPos val="nextTo"/>
        <c:spPr>
          <a:noFill/>
          <a:ln w="9525" cap="flat" cmpd="sng" algn="ctr">
            <a:solidFill>
              <a:schemeClr val="tx1"/>
            </a:solidFill>
            <a:round/>
          </a:ln>
          <a:effectLst/>
        </c:spPr>
        <c:txPr>
          <a:bodyPr rot="-60000000" vert="horz"/>
          <a:lstStyle/>
          <a:p>
            <a:pPr>
              <a:defRPr sz="1100" b="1"/>
            </a:pPr>
            <a:endParaRPr lang="en-US"/>
          </a:p>
        </c:txPr>
        <c:crossAx val="220297128"/>
        <c:crosses val="autoZero"/>
        <c:crossBetween val="midCat"/>
        <c:majorUnit val="0.2"/>
      </c:valAx>
      <c:valAx>
        <c:axId val="220297128"/>
        <c:scaling>
          <c:orientation val="minMax"/>
          <c:max val="6"/>
          <c:min val="0"/>
        </c:scaling>
        <c:delete val="0"/>
        <c:axPos val="l"/>
        <c:title>
          <c:tx>
            <c:rich>
              <a:bodyPr/>
              <a:lstStyle/>
              <a:p>
                <a:pPr>
                  <a:defRPr sz="1200"/>
                </a:pPr>
                <a:r>
                  <a:rPr lang="en-US" sz="1200"/>
                  <a:t> Surfactant</a:t>
                </a:r>
                <a:r>
                  <a:rPr lang="en-US" sz="1200" baseline="0"/>
                  <a:t> </a:t>
                </a:r>
                <a:r>
                  <a:rPr lang="en-US" sz="1200"/>
                  <a:t>Adsorption, mg/g sand</a:t>
                </a:r>
              </a:p>
            </c:rich>
          </c:tx>
          <c:layout>
            <c:manualLayout>
              <c:xMode val="edge"/>
              <c:yMode val="edge"/>
              <c:x val="1.2122560766860664E-2"/>
              <c:y val="8.084251968503936E-2"/>
            </c:manualLayout>
          </c:layout>
          <c:overlay val="0"/>
        </c:title>
        <c:numFmt formatCode="General" sourceLinked="1"/>
        <c:majorTickMark val="cross"/>
        <c:minorTickMark val="none"/>
        <c:tickLblPos val="nextTo"/>
        <c:spPr>
          <a:noFill/>
          <a:ln w="9525" cap="flat" cmpd="sng" algn="ctr">
            <a:solidFill>
              <a:schemeClr val="tx1"/>
            </a:solidFill>
            <a:round/>
          </a:ln>
          <a:effectLst/>
        </c:spPr>
        <c:txPr>
          <a:bodyPr rot="-60000000" vert="horz"/>
          <a:lstStyle/>
          <a:p>
            <a:pPr>
              <a:defRPr sz="1100" b="1"/>
            </a:pPr>
            <a:endParaRPr lang="en-US"/>
          </a:p>
        </c:txPr>
        <c:crossAx val="218369360"/>
        <c:crosses val="autoZero"/>
        <c:crossBetween val="midCat"/>
        <c:majorUnit val="2"/>
      </c:valAx>
      <c:spPr>
        <a:noFill/>
        <a:ln>
          <a:noFill/>
        </a:ln>
        <a:effectLst/>
      </c:spPr>
    </c:plotArea>
    <c:legend>
      <c:legendPos val="r"/>
      <c:layout>
        <c:manualLayout>
          <c:xMode val="edge"/>
          <c:yMode val="edge"/>
          <c:x val="0.35575792156415231"/>
          <c:y val="0.24969516310461193"/>
          <c:w val="0.55511176727909006"/>
          <c:h val="0.23850117025970047"/>
        </c:manualLayout>
      </c:layout>
      <c:overlay val="0"/>
      <c:txPr>
        <a:bodyPr/>
        <a:lstStyle/>
        <a:p>
          <a:pPr>
            <a:defRPr sz="1100" b="0"/>
          </a:pPr>
          <a:endParaRPr lang="en-US"/>
        </a:p>
      </c:txPr>
    </c:legend>
    <c:plotVisOnly val="1"/>
    <c:dispBlanksAs val="gap"/>
    <c:showDLblsOverMax val="0"/>
  </c:chart>
  <c:spPr>
    <a:solidFill>
      <a:schemeClr val="bg1"/>
    </a:solidFill>
    <a:ln w="9525" cap="flat" cmpd="sng" algn="ctr">
      <a:solidFill>
        <a:sysClr val="window" lastClr="FFFFFF"/>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3855989894754"/>
          <c:y val="4.3917385726145258E-2"/>
          <c:w val="0.85996382079296763"/>
          <c:h val="0.75239163794621522"/>
        </c:manualLayout>
      </c:layout>
      <c:barChart>
        <c:barDir val="col"/>
        <c:grouping val="clustered"/>
        <c:varyColors val="0"/>
        <c:ser>
          <c:idx val="0"/>
          <c:order val="0"/>
          <c:tx>
            <c:strRef>
              <c:f>'Static-PSS-surfactant Adsorptio'!$B$56</c:f>
              <c:strCache>
                <c:ptCount val="1"/>
                <c:pt idx="0">
                  <c:v>Simultaneous Addition</c:v>
                </c:pt>
              </c:strCache>
            </c:strRef>
          </c:tx>
          <c:spPr>
            <a:solidFill>
              <a:schemeClr val="accent1"/>
            </a:solidFill>
            <a:ln>
              <a:noFill/>
            </a:ln>
            <a:effectLst/>
          </c:spPr>
          <c:invertIfNegative val="0"/>
          <c:errBars>
            <c:errBarType val="both"/>
            <c:errValType val="cust"/>
            <c:noEndCap val="0"/>
            <c:plus>
              <c:numRef>
                <c:f>'Static-PSS-surfactant Adsorptio'!$F$57:$I$57</c:f>
                <c:numCache>
                  <c:formatCode>General</c:formatCode>
                  <c:ptCount val="4"/>
                  <c:pt idx="0">
                    <c:v>0.17103802986000011</c:v>
                  </c:pt>
                  <c:pt idx="1">
                    <c:v>0.2</c:v>
                  </c:pt>
                  <c:pt idx="2">
                    <c:v>0.25</c:v>
                  </c:pt>
                  <c:pt idx="3">
                    <c:v>0.3</c:v>
                  </c:pt>
                </c:numCache>
              </c:numRef>
            </c:plus>
            <c:minus>
              <c:numRef>
                <c:f>'Static-PSS-surfactant Adsorptio'!$F$58:$I$58</c:f>
                <c:numCache>
                  <c:formatCode>General</c:formatCode>
                  <c:ptCount val="4"/>
                  <c:pt idx="0">
                    <c:v>0.17103802986000011</c:v>
                  </c:pt>
                  <c:pt idx="1">
                    <c:v>0.2</c:v>
                  </c:pt>
                  <c:pt idx="2">
                    <c:v>0.25</c:v>
                  </c:pt>
                  <c:pt idx="3">
                    <c:v>0.3</c:v>
                  </c:pt>
                </c:numCache>
              </c:numRef>
            </c:minus>
            <c:spPr>
              <a:noFill/>
              <a:ln w="9525" cap="flat" cmpd="sng" algn="ctr">
                <a:solidFill>
                  <a:sysClr val="windowText" lastClr="000000"/>
                </a:solidFill>
                <a:round/>
              </a:ln>
              <a:effectLst/>
            </c:spPr>
          </c:errBars>
          <c:cat>
            <c:strRef>
              <c:f>'Static-PSS-surfactant Adsorptio'!$A$57:$A$60</c:f>
              <c:strCache>
                <c:ptCount val="4"/>
                <c:pt idx="0">
                  <c:v>20 KDa</c:v>
                </c:pt>
                <c:pt idx="1">
                  <c:v>70 KDa</c:v>
                </c:pt>
                <c:pt idx="2">
                  <c:v>250 KDa</c:v>
                </c:pt>
                <c:pt idx="3">
                  <c:v>1 MDa</c:v>
                </c:pt>
              </c:strCache>
            </c:strRef>
          </c:cat>
          <c:val>
            <c:numRef>
              <c:f>'Static-PSS-surfactant Adsorptio'!$B$57:$B$60</c:f>
              <c:numCache>
                <c:formatCode>General</c:formatCode>
                <c:ptCount val="4"/>
                <c:pt idx="0">
                  <c:v>3.4207605972000019</c:v>
                </c:pt>
                <c:pt idx="1">
                  <c:v>1.7750810307599996</c:v>
                </c:pt>
                <c:pt idx="2">
                  <c:v>2.6366044469399994</c:v>
                </c:pt>
                <c:pt idx="3">
                  <c:v>3.7290215124000006</c:v>
                </c:pt>
              </c:numCache>
            </c:numRef>
          </c:val>
        </c:ser>
        <c:ser>
          <c:idx val="1"/>
          <c:order val="1"/>
          <c:tx>
            <c:strRef>
              <c:f>'Static-PSS-surfactant Adsorptio'!$C$56</c:f>
              <c:strCache>
                <c:ptCount val="1"/>
                <c:pt idx="0">
                  <c:v>Sequential Addition</c:v>
                </c:pt>
              </c:strCache>
            </c:strRef>
          </c:tx>
          <c:spPr>
            <a:solidFill>
              <a:schemeClr val="accent2"/>
            </a:solidFill>
            <a:ln>
              <a:noFill/>
            </a:ln>
            <a:effectLst/>
          </c:spPr>
          <c:invertIfNegative val="0"/>
          <c:errBars>
            <c:errBarType val="both"/>
            <c:errValType val="cust"/>
            <c:noEndCap val="0"/>
            <c:plus>
              <c:numRef>
                <c:f>'Static-PSS-surfactant Adsorptio'!$F$60:$I$60</c:f>
                <c:numCache>
                  <c:formatCode>General</c:formatCode>
                  <c:ptCount val="4"/>
                  <c:pt idx="0">
                    <c:v>0.1</c:v>
                  </c:pt>
                  <c:pt idx="1">
                    <c:v>0.15</c:v>
                  </c:pt>
                  <c:pt idx="2">
                    <c:v>0.2</c:v>
                  </c:pt>
                  <c:pt idx="3">
                    <c:v>0.15</c:v>
                  </c:pt>
                </c:numCache>
              </c:numRef>
            </c:plus>
            <c:minus>
              <c:numRef>
                <c:f>'Static-PSS-surfactant Adsorptio'!$F$61:$I$61</c:f>
                <c:numCache>
                  <c:formatCode>General</c:formatCode>
                  <c:ptCount val="4"/>
                  <c:pt idx="0">
                    <c:v>0.1</c:v>
                  </c:pt>
                  <c:pt idx="1">
                    <c:v>0.15</c:v>
                  </c:pt>
                  <c:pt idx="2">
                    <c:v>0.2</c:v>
                  </c:pt>
                  <c:pt idx="3">
                    <c:v>0.15</c:v>
                  </c:pt>
                </c:numCache>
              </c:numRef>
            </c:minus>
            <c:spPr>
              <a:noFill/>
              <a:ln w="9525" cap="flat" cmpd="sng" algn="ctr">
                <a:solidFill>
                  <a:sysClr val="windowText" lastClr="000000"/>
                </a:solidFill>
                <a:round/>
              </a:ln>
              <a:effectLst/>
            </c:spPr>
          </c:errBars>
          <c:cat>
            <c:strRef>
              <c:f>'Static-PSS-surfactant Adsorptio'!$A$57:$A$60</c:f>
              <c:strCache>
                <c:ptCount val="4"/>
                <c:pt idx="0">
                  <c:v>20 KDa</c:v>
                </c:pt>
                <c:pt idx="1">
                  <c:v>70 KDa</c:v>
                </c:pt>
                <c:pt idx="2">
                  <c:v>250 KDa</c:v>
                </c:pt>
                <c:pt idx="3">
                  <c:v>1 MDa</c:v>
                </c:pt>
              </c:strCache>
            </c:strRef>
          </c:cat>
          <c:val>
            <c:numRef>
              <c:f>'Static-PSS-surfactant Adsorptio'!$C$57:$C$60</c:f>
              <c:numCache>
                <c:formatCode>General</c:formatCode>
                <c:ptCount val="4"/>
                <c:pt idx="0">
                  <c:v>2.2153321674000019</c:v>
                </c:pt>
                <c:pt idx="1">
                  <c:v>0.79589871126000022</c:v>
                </c:pt>
                <c:pt idx="2">
                  <c:v>1.1326030747200011</c:v>
                </c:pt>
                <c:pt idx="3">
                  <c:v>1.0172116373400009</c:v>
                </c:pt>
              </c:numCache>
            </c:numRef>
          </c:val>
        </c:ser>
        <c:dLbls>
          <c:showLegendKey val="0"/>
          <c:showVal val="0"/>
          <c:showCatName val="0"/>
          <c:showSerName val="0"/>
          <c:showPercent val="0"/>
          <c:showBubbleSize val="0"/>
        </c:dLbls>
        <c:gapWidth val="219"/>
        <c:overlap val="-27"/>
        <c:axId val="220297912"/>
        <c:axId val="220298304"/>
      </c:barChart>
      <c:catAx>
        <c:axId val="220297912"/>
        <c:scaling>
          <c:orientation val="minMax"/>
        </c:scaling>
        <c:delete val="0"/>
        <c:axPos val="b"/>
        <c:title>
          <c:tx>
            <c:rich>
              <a:bodyPr rot="0" spcFirstLastPara="1" vertOverflow="ellipsis" vert="horz" wrap="square" anchor="ctr" anchorCtr="1"/>
              <a:lstStyle/>
              <a:p>
                <a:pPr algn="ct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100" b="1" dirty="0">
                    <a:solidFill>
                      <a:schemeClr val="tx1"/>
                    </a:solidFill>
                  </a:rPr>
                  <a:t>PSS </a:t>
                </a:r>
                <a:r>
                  <a:rPr lang="en-US" sz="1100" b="1" dirty="0" smtClean="0">
                    <a:solidFill>
                      <a:schemeClr val="tx1"/>
                    </a:solidFill>
                  </a:rPr>
                  <a:t>Molecular Weight</a:t>
                </a:r>
                <a:endParaRPr lang="en-US" sz="1100" b="1" dirty="0">
                  <a:solidFill>
                    <a:schemeClr val="tx1"/>
                  </a:solidFill>
                </a:endParaRPr>
              </a:p>
            </c:rich>
          </c:tx>
          <c:layout>
            <c:manualLayout>
              <c:xMode val="edge"/>
              <c:yMode val="edge"/>
              <c:x val="0.36843695269352755"/>
              <c:y val="0.89666775678599275"/>
            </c:manualLayout>
          </c:layout>
          <c:overlay val="0"/>
          <c:spPr>
            <a:noFill/>
            <a:ln>
              <a:noFill/>
            </a:ln>
            <a:effectLst/>
          </c:spPr>
          <c:txPr>
            <a:bodyPr rot="0" spcFirstLastPara="1" vertOverflow="ellipsis" vert="horz" wrap="square" anchor="ctr" anchorCtr="1"/>
            <a:lstStyle/>
            <a:p>
              <a:pPr algn="ct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20298304"/>
        <c:crosses val="autoZero"/>
        <c:auto val="1"/>
        <c:lblAlgn val="ctr"/>
        <c:lblOffset val="100"/>
        <c:noMultiLvlLbl val="0"/>
      </c:catAx>
      <c:valAx>
        <c:axId val="220298304"/>
        <c:scaling>
          <c:orientation val="minMax"/>
        </c:scaling>
        <c:delete val="0"/>
        <c:axPos val="l"/>
        <c:title>
          <c:tx>
            <c:rich>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b="1" dirty="0">
                    <a:solidFill>
                      <a:schemeClr val="tx1"/>
                    </a:solidFill>
                  </a:rPr>
                  <a:t> </a:t>
                </a:r>
                <a:r>
                  <a:rPr lang="en-US" sz="1200" b="1" dirty="0" smtClean="0">
                    <a:solidFill>
                      <a:schemeClr val="tx1"/>
                    </a:solidFill>
                  </a:rPr>
                  <a:t>Surfactant</a:t>
                </a:r>
                <a:r>
                  <a:rPr lang="en-US" sz="1200" b="1" baseline="0" dirty="0" smtClean="0">
                    <a:solidFill>
                      <a:schemeClr val="tx1"/>
                    </a:solidFill>
                  </a:rPr>
                  <a:t> a</a:t>
                </a:r>
                <a:r>
                  <a:rPr lang="en-US" sz="1200" b="1" dirty="0" smtClean="0">
                    <a:solidFill>
                      <a:schemeClr val="tx1"/>
                    </a:solidFill>
                  </a:rPr>
                  <a:t>dsorption</a:t>
                </a:r>
                <a:r>
                  <a:rPr lang="en-US" sz="1200" b="1" dirty="0">
                    <a:solidFill>
                      <a:schemeClr val="tx1"/>
                    </a:solidFill>
                  </a:rPr>
                  <a:t>, mg/g sand</a:t>
                </a:r>
              </a:p>
            </c:rich>
          </c:tx>
          <c:layout>
            <c:manualLayout>
              <c:xMode val="edge"/>
              <c:yMode val="edge"/>
              <c:x val="6.0018203369740057E-3"/>
              <c:y val="6.1874088655584719E-2"/>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0.0" sourceLinked="0"/>
        <c:majorTickMark val="cross"/>
        <c:minorTickMark val="none"/>
        <c:tickLblPos val="nextTo"/>
        <c:spPr>
          <a:noFill/>
          <a:ln>
            <a:solidFill>
              <a:sysClr val="windowText" lastClr="000000"/>
            </a:solidFill>
          </a:ln>
          <a:effectLst/>
        </c:spPr>
        <c:txPr>
          <a:bodyPr rot="-600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20297912"/>
        <c:crosses val="autoZero"/>
        <c:crossBetween val="between"/>
        <c:majorUnit val="1.5"/>
      </c:valAx>
      <c:spPr>
        <a:noFill/>
        <a:ln>
          <a:noFill/>
        </a:ln>
        <a:effectLst/>
      </c:spPr>
    </c:plotArea>
    <c:legend>
      <c:legendPos val="b"/>
      <c:layout>
        <c:manualLayout>
          <c:xMode val="edge"/>
          <c:yMode val="edge"/>
          <c:x val="0.16037252017009168"/>
          <c:y val="6.1502855274081163E-2"/>
          <c:w val="0.70237379702537195"/>
          <c:h val="7.8125546806649196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ysClr val="window" lastClr="FFFFFF"/>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653690141879119"/>
          <c:y val="3.2824074074074089E-2"/>
          <c:w val="0.86579437622744715"/>
          <c:h val="0.81887875323574233"/>
        </c:manualLayout>
      </c:layout>
      <c:scatterChart>
        <c:scatterStyle val="smoothMarker"/>
        <c:varyColors val="0"/>
        <c:ser>
          <c:idx val="1"/>
          <c:order val="0"/>
          <c:tx>
            <c:v>Tracer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'dynamic adsorption-NO PSS'!$F$8:$F$32</c:f>
              <c:numCache>
                <c:formatCode>General</c:formatCode>
                <c:ptCount val="25"/>
                <c:pt idx="0">
                  <c:v>0.04</c:v>
                </c:pt>
                <c:pt idx="1">
                  <c:v>0.12</c:v>
                </c:pt>
                <c:pt idx="2">
                  <c:v>0.2</c:v>
                </c:pt>
                <c:pt idx="3">
                  <c:v>0.28000000000000003</c:v>
                </c:pt>
                <c:pt idx="4">
                  <c:v>0.36</c:v>
                </c:pt>
                <c:pt idx="5">
                  <c:v>0.44</c:v>
                </c:pt>
                <c:pt idx="6">
                  <c:v>0.52</c:v>
                </c:pt>
                <c:pt idx="7">
                  <c:v>0.6</c:v>
                </c:pt>
                <c:pt idx="8">
                  <c:v>0.68</c:v>
                </c:pt>
                <c:pt idx="9">
                  <c:v>0.76</c:v>
                </c:pt>
                <c:pt idx="10">
                  <c:v>0.84</c:v>
                </c:pt>
                <c:pt idx="11">
                  <c:v>0.92</c:v>
                </c:pt>
                <c:pt idx="12">
                  <c:v>1</c:v>
                </c:pt>
                <c:pt idx="13">
                  <c:v>1.08</c:v>
                </c:pt>
                <c:pt idx="14">
                  <c:v>1.1599999999999999</c:v>
                </c:pt>
                <c:pt idx="15">
                  <c:v>1.24</c:v>
                </c:pt>
                <c:pt idx="16">
                  <c:v>1.32</c:v>
                </c:pt>
                <c:pt idx="17">
                  <c:v>1.4</c:v>
                </c:pt>
                <c:pt idx="18">
                  <c:v>1.48</c:v>
                </c:pt>
                <c:pt idx="19">
                  <c:v>1.56</c:v>
                </c:pt>
                <c:pt idx="20">
                  <c:v>1.64</c:v>
                </c:pt>
                <c:pt idx="21">
                  <c:v>1.72</c:v>
                </c:pt>
                <c:pt idx="22">
                  <c:v>1.8</c:v>
                </c:pt>
                <c:pt idx="23">
                  <c:v>1.88</c:v>
                </c:pt>
                <c:pt idx="24">
                  <c:v>1.96</c:v>
                </c:pt>
              </c:numCache>
            </c:numRef>
          </c:xVal>
          <c:yVal>
            <c:numRef>
              <c:f>'dynamic adsorption-NO PSS'!$E$8:$E$29</c:f>
              <c:numCache>
                <c:formatCode>General</c:formatCode>
                <c:ptCount val="22"/>
                <c:pt idx="0">
                  <c:v>0</c:v>
                </c:pt>
                <c:pt idx="1">
                  <c:v>8.0370189965903571E-3</c:v>
                </c:pt>
                <c:pt idx="2">
                  <c:v>9.7418412079883186E-3</c:v>
                </c:pt>
                <c:pt idx="3">
                  <c:v>7.3063809059912494E-3</c:v>
                </c:pt>
                <c:pt idx="4">
                  <c:v>8.5241110569897627E-3</c:v>
                </c:pt>
                <c:pt idx="5">
                  <c:v>1.1446663419386278E-2</c:v>
                </c:pt>
                <c:pt idx="6">
                  <c:v>7.5499269361909514E-3</c:v>
                </c:pt>
                <c:pt idx="7">
                  <c:v>6.3321967851923955E-3</c:v>
                </c:pt>
                <c:pt idx="8">
                  <c:v>6.3321967851923955E-3</c:v>
                </c:pt>
                <c:pt idx="9">
                  <c:v>5.8451047247929907E-3</c:v>
                </c:pt>
                <c:pt idx="10">
                  <c:v>2.6790063321967841E-2</c:v>
                </c:pt>
                <c:pt idx="11">
                  <c:v>0.14296151972722845</c:v>
                </c:pt>
                <c:pt idx="12">
                  <c:v>0.5153433999025816</c:v>
                </c:pt>
                <c:pt idx="13">
                  <c:v>0.74671212859230396</c:v>
                </c:pt>
                <c:pt idx="14">
                  <c:v>0.90501704822211404</c:v>
                </c:pt>
                <c:pt idx="15">
                  <c:v>0.97077447637603498</c:v>
                </c:pt>
                <c:pt idx="16">
                  <c:v>0.98051631758402347</c:v>
                </c:pt>
                <c:pt idx="17">
                  <c:v>0.97077447637603498</c:v>
                </c:pt>
                <c:pt idx="18">
                  <c:v>0.98295177788602039</c:v>
                </c:pt>
                <c:pt idx="19">
                  <c:v>0.97564539698002928</c:v>
                </c:pt>
                <c:pt idx="20">
                  <c:v>1</c:v>
                </c:pt>
                <c:pt idx="21">
                  <c:v>0.99756453969800285</c:v>
                </c:pt>
              </c:numCache>
            </c:numRef>
          </c:yVal>
          <c:smooth val="1"/>
        </c:ser>
        <c:ser>
          <c:idx val="0"/>
          <c:order val="1"/>
          <c:tx>
            <c:v>Surfactant, 0.75 wt %</c:v>
          </c:tx>
          <c:spPr>
            <a:ln w="19050" cap="rnd">
              <a:solidFill>
                <a:schemeClr val="accent1"/>
              </a:solidFill>
              <a:round/>
            </a:ln>
            <a:effectLst/>
          </c:spPr>
          <c:marker>
            <c:symbol val="star"/>
            <c:size val="5"/>
            <c:spPr>
              <a:noFill/>
              <a:ln w="9525">
                <a:solidFill>
                  <a:schemeClr val="accent1"/>
                </a:solidFill>
              </a:ln>
              <a:effectLst/>
            </c:spPr>
          </c:marker>
          <c:xVal>
            <c:numRef>
              <c:f>'dynamic adsorption-NO PSS'!$J$8:$J$32</c:f>
              <c:numCache>
                <c:formatCode>General</c:formatCode>
                <c:ptCount val="25"/>
                <c:pt idx="0">
                  <c:v>0.08</c:v>
                </c:pt>
                <c:pt idx="1">
                  <c:v>0.24</c:v>
                </c:pt>
                <c:pt idx="2">
                  <c:v>0.4</c:v>
                </c:pt>
                <c:pt idx="3">
                  <c:v>0.56000000000000005</c:v>
                </c:pt>
                <c:pt idx="4">
                  <c:v>0.72</c:v>
                </c:pt>
                <c:pt idx="5">
                  <c:v>0.88</c:v>
                </c:pt>
                <c:pt idx="6">
                  <c:v>1.04</c:v>
                </c:pt>
                <c:pt idx="7">
                  <c:v>1.2</c:v>
                </c:pt>
                <c:pt idx="8">
                  <c:v>1.36</c:v>
                </c:pt>
                <c:pt idx="9">
                  <c:v>1.52</c:v>
                </c:pt>
                <c:pt idx="10">
                  <c:v>1.68</c:v>
                </c:pt>
                <c:pt idx="11">
                  <c:v>1.84</c:v>
                </c:pt>
                <c:pt idx="12">
                  <c:v>2</c:v>
                </c:pt>
                <c:pt idx="13">
                  <c:v>2.16</c:v>
                </c:pt>
                <c:pt idx="14">
                  <c:v>2.3199999999999998</c:v>
                </c:pt>
                <c:pt idx="15">
                  <c:v>2.48</c:v>
                </c:pt>
                <c:pt idx="16">
                  <c:v>2.64</c:v>
                </c:pt>
                <c:pt idx="17">
                  <c:v>2.8</c:v>
                </c:pt>
                <c:pt idx="18">
                  <c:v>2.96</c:v>
                </c:pt>
                <c:pt idx="19">
                  <c:v>3.12</c:v>
                </c:pt>
                <c:pt idx="20">
                  <c:v>3.28</c:v>
                </c:pt>
                <c:pt idx="21">
                  <c:v>3.44</c:v>
                </c:pt>
                <c:pt idx="22">
                  <c:v>3.6</c:v>
                </c:pt>
                <c:pt idx="23">
                  <c:v>3.76</c:v>
                </c:pt>
                <c:pt idx="24">
                  <c:v>3.92</c:v>
                </c:pt>
              </c:numCache>
            </c:numRef>
          </c:xVal>
          <c:yVal>
            <c:numRef>
              <c:f>'dynamic adsorption-NO PSS'!$L$8:$L$32</c:f>
              <c:numCache>
                <c:formatCode>General</c:formatCode>
                <c:ptCount val="25"/>
                <c:pt idx="0">
                  <c:v>0</c:v>
                </c:pt>
                <c:pt idx="1">
                  <c:v>0</c:v>
                </c:pt>
                <c:pt idx="2">
                  <c:v>0</c:v>
                </c:pt>
                <c:pt idx="3">
                  <c:v>0</c:v>
                </c:pt>
                <c:pt idx="4">
                  <c:v>0</c:v>
                </c:pt>
                <c:pt idx="5">
                  <c:v>0</c:v>
                </c:pt>
                <c:pt idx="6">
                  <c:v>0</c:v>
                </c:pt>
                <c:pt idx="7">
                  <c:v>0</c:v>
                </c:pt>
                <c:pt idx="8">
                  <c:v>0</c:v>
                </c:pt>
                <c:pt idx="9">
                  <c:v>8.3771629463891356E-2</c:v>
                </c:pt>
                <c:pt idx="10">
                  <c:v>0.26894929510470422</c:v>
                </c:pt>
                <c:pt idx="11">
                  <c:v>0.44698564984476086</c:v>
                </c:pt>
                <c:pt idx="12">
                  <c:v>0.57868821449066898</c:v>
                </c:pt>
                <c:pt idx="13">
                  <c:v>0.68090112105966705</c:v>
                </c:pt>
                <c:pt idx="14">
                  <c:v>0.73817816194023889</c:v>
                </c:pt>
                <c:pt idx="15">
                  <c:v>0.7527595720264495</c:v>
                </c:pt>
                <c:pt idx="16">
                  <c:v>0.82749442405316576</c:v>
                </c:pt>
                <c:pt idx="17">
                  <c:v>0.88219316834217343</c:v>
                </c:pt>
                <c:pt idx="18">
                  <c:v>0.92318687892176476</c:v>
                </c:pt>
                <c:pt idx="19">
                  <c:v>0.96324328771973777</c:v>
                </c:pt>
                <c:pt idx="20">
                  <c:v>0.97858980937587536</c:v>
                </c:pt>
                <c:pt idx="21">
                  <c:v>0.98350007087690494</c:v>
                </c:pt>
                <c:pt idx="22">
                  <c:v>1</c:v>
                </c:pt>
                <c:pt idx="23">
                  <c:v>0.99826452675902499</c:v>
                </c:pt>
                <c:pt idx="24">
                  <c:v>0.99994029757437919</c:v>
                </c:pt>
              </c:numCache>
            </c:numRef>
          </c:yVal>
          <c:smooth val="1"/>
        </c:ser>
        <c:ser>
          <c:idx val="2"/>
          <c:order val="2"/>
          <c:spPr>
            <a:ln w="19050" cap="rnd">
              <a:solidFill>
                <a:sysClr val="windowText" lastClr="000000"/>
              </a:solidFill>
              <a:round/>
            </a:ln>
            <a:effectLst/>
          </c:spPr>
          <c:marker>
            <c:symbol val="none"/>
          </c:marker>
          <c:dPt>
            <c:idx val="1"/>
            <c:marker>
              <c:symbol val="none"/>
            </c:marker>
            <c:bubble3D val="0"/>
            <c:spPr>
              <a:ln w="15875" cap="rnd">
                <a:solidFill>
                  <a:srgbClr val="993300"/>
                </a:solidFill>
                <a:prstDash val="dash"/>
                <a:round/>
              </a:ln>
              <a:effectLst/>
            </c:spPr>
          </c:dPt>
          <c:xVal>
            <c:numRef>
              <c:f>'dynamic adsorption-NO PSS'!$M$57:$M$58</c:f>
              <c:numCache>
                <c:formatCode>General</c:formatCode>
                <c:ptCount val="2"/>
                <c:pt idx="0">
                  <c:v>1</c:v>
                </c:pt>
                <c:pt idx="1">
                  <c:v>1</c:v>
                </c:pt>
              </c:numCache>
            </c:numRef>
          </c:xVal>
          <c:yVal>
            <c:numRef>
              <c:f>'dynamic adsorption-NO PSS'!$N$57:$N$58</c:f>
              <c:numCache>
                <c:formatCode>General</c:formatCode>
                <c:ptCount val="2"/>
                <c:pt idx="0">
                  <c:v>0</c:v>
                </c:pt>
                <c:pt idx="1">
                  <c:v>1</c:v>
                </c:pt>
              </c:numCache>
            </c:numRef>
          </c:yVal>
          <c:smooth val="1"/>
        </c:ser>
        <c:ser>
          <c:idx val="3"/>
          <c:order val="3"/>
          <c:spPr>
            <a:ln w="19050" cap="rnd">
              <a:solidFill>
                <a:srgbClr val="4472C4"/>
              </a:solidFill>
              <a:prstDash val="dash"/>
              <a:round/>
            </a:ln>
            <a:effectLst/>
          </c:spPr>
          <c:marker>
            <c:symbol val="none"/>
          </c:marker>
          <c:xVal>
            <c:numRef>
              <c:f>'dynamic adsorption-NO PSS'!$P$57:$P$58</c:f>
              <c:numCache>
                <c:formatCode>General</c:formatCode>
                <c:ptCount val="2"/>
                <c:pt idx="0">
                  <c:v>1.9</c:v>
                </c:pt>
                <c:pt idx="1">
                  <c:v>1.9</c:v>
                </c:pt>
              </c:numCache>
            </c:numRef>
          </c:xVal>
          <c:yVal>
            <c:numRef>
              <c:f>'dynamic adsorption-NO PSS'!$Q$57:$Q$58</c:f>
              <c:numCache>
                <c:formatCode>General</c:formatCode>
                <c:ptCount val="2"/>
                <c:pt idx="0">
                  <c:v>0</c:v>
                </c:pt>
                <c:pt idx="1">
                  <c:v>1</c:v>
                </c:pt>
              </c:numCache>
            </c:numRef>
          </c:yVal>
          <c:smooth val="1"/>
        </c:ser>
        <c:dLbls>
          <c:showLegendKey val="0"/>
          <c:showVal val="0"/>
          <c:showCatName val="0"/>
          <c:showSerName val="0"/>
          <c:showPercent val="0"/>
          <c:showBubbleSize val="0"/>
        </c:dLbls>
        <c:axId val="220295472"/>
        <c:axId val="220295864"/>
      </c:scatterChart>
      <c:valAx>
        <c:axId val="220295472"/>
        <c:scaling>
          <c:orientation val="minMax"/>
        </c:scaling>
        <c:delete val="0"/>
        <c:axPos val="b"/>
        <c:title>
          <c:tx>
            <c:rich>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b="1" dirty="0" smtClean="0">
                    <a:solidFill>
                      <a:schemeClr val="tx1"/>
                    </a:solidFill>
                  </a:rPr>
                  <a:t>Pore Volume</a:t>
                </a:r>
                <a:endParaRPr lang="en-US" sz="1200" b="1" dirty="0">
                  <a:solidFill>
                    <a:schemeClr val="tx1"/>
                  </a:solidFill>
                </a:endParaRPr>
              </a:p>
            </c:rich>
          </c:tx>
          <c:layout>
            <c:manualLayout>
              <c:xMode val="edge"/>
              <c:yMode val="edge"/>
              <c:x val="0.45558599318441839"/>
              <c:y val="0.92978016117830631"/>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cross"/>
        <c:minorTickMark val="out"/>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20295864"/>
        <c:crosses val="autoZero"/>
        <c:crossBetween val="midCat"/>
        <c:majorUnit val="0.5"/>
      </c:valAx>
      <c:valAx>
        <c:axId val="220295864"/>
        <c:scaling>
          <c:orientation val="minMax"/>
          <c:max val="1"/>
          <c:min val="0"/>
        </c:scaling>
        <c:delete val="0"/>
        <c:axPos val="l"/>
        <c:majorGridlines>
          <c:spPr>
            <a:ln w="9525" cap="flat" cmpd="sng" algn="ctr">
              <a:solidFill>
                <a:sysClr val="windowText" lastClr="000000"/>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b="1">
                    <a:solidFill>
                      <a:schemeClr val="tx1"/>
                    </a:solidFill>
                  </a:rPr>
                  <a:t>Normalized Concentration</a:t>
                </a:r>
              </a:p>
            </c:rich>
          </c:tx>
          <c:layout>
            <c:manualLayout>
              <c:xMode val="edge"/>
              <c:yMode val="edge"/>
              <c:x val="4.634393278536709E-3"/>
              <c:y val="0.19770724311634957"/>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20295472"/>
        <c:crosses val="autoZero"/>
        <c:crossBetween val="midCat"/>
        <c:majorUnit val="0.5"/>
      </c:valAx>
      <c:spPr>
        <a:solidFill>
          <a:schemeClr val="bg1"/>
        </a:solidFill>
        <a:ln w="15875">
          <a:solidFill>
            <a:sysClr val="windowText" lastClr="000000">
              <a:alpha val="66000"/>
            </a:sysClr>
          </a:solidFill>
        </a:ln>
        <a:effectLst/>
      </c:spPr>
    </c:plotArea>
    <c:legend>
      <c:legendPos val="r"/>
      <c:legendEntry>
        <c:idx val="2"/>
        <c:delete val="1"/>
      </c:legendEntry>
      <c:legendEntry>
        <c:idx val="3"/>
        <c:delete val="1"/>
      </c:legendEntry>
      <c:layout>
        <c:manualLayout>
          <c:xMode val="edge"/>
          <c:yMode val="edge"/>
          <c:x val="0.57949978127734003"/>
          <c:y val="0.58043885818620511"/>
          <c:w val="0.32826306218121271"/>
          <c:h val="0.14110757894393638"/>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ysClr val="window" lastClr="FFFFFF"/>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7583178940867696E-2"/>
          <c:y val="2.7777777777777776E-2"/>
          <c:w val="0.87741161031341675"/>
          <c:h val="0.81966019247594046"/>
        </c:manualLayout>
      </c:layout>
      <c:scatterChart>
        <c:scatterStyle val="smoothMarker"/>
        <c:varyColors val="0"/>
        <c:ser>
          <c:idx val="1"/>
          <c:order val="0"/>
          <c:tx>
            <c:v>Tracer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'dynamic adsorption-NO PSS'!$T$8:$T$25</c:f>
              <c:numCache>
                <c:formatCode>General</c:formatCode>
                <c:ptCount val="18"/>
                <c:pt idx="0">
                  <c:v>4.4776119402985072E-2</c:v>
                </c:pt>
                <c:pt idx="1">
                  <c:v>0.13432835820895522</c:v>
                </c:pt>
                <c:pt idx="2">
                  <c:v>0.22388059701492538</c:v>
                </c:pt>
                <c:pt idx="3">
                  <c:v>0.31343283582089554</c:v>
                </c:pt>
                <c:pt idx="4">
                  <c:v>0.40298507462686567</c:v>
                </c:pt>
                <c:pt idx="5">
                  <c:v>0.4925373134328358</c:v>
                </c:pt>
                <c:pt idx="6">
                  <c:v>0.58208955223880599</c:v>
                </c:pt>
                <c:pt idx="7">
                  <c:v>0.67164179104477617</c:v>
                </c:pt>
                <c:pt idx="8">
                  <c:v>0.76119402985074625</c:v>
                </c:pt>
                <c:pt idx="9">
                  <c:v>0.85074626865671643</c:v>
                </c:pt>
                <c:pt idx="10">
                  <c:v>0.94029850746268662</c:v>
                </c:pt>
                <c:pt idx="11">
                  <c:v>1.0298507462686568</c:v>
                </c:pt>
                <c:pt idx="12">
                  <c:v>1.1194029850746268</c:v>
                </c:pt>
                <c:pt idx="13">
                  <c:v>1.208955223880597</c:v>
                </c:pt>
                <c:pt idx="14">
                  <c:v>1.2985074626865671</c:v>
                </c:pt>
                <c:pt idx="15">
                  <c:v>1.3880597014925373</c:v>
                </c:pt>
                <c:pt idx="16">
                  <c:v>1.4776119402985075</c:v>
                </c:pt>
                <c:pt idx="17">
                  <c:v>1.5671641791044777</c:v>
                </c:pt>
              </c:numCache>
            </c:numRef>
          </c:xVal>
          <c:yVal>
            <c:numRef>
              <c:f>'dynamic adsorption-NO PSS'!$S$8:$S$25</c:f>
              <c:numCache>
                <c:formatCode>General</c:formatCode>
                <c:ptCount val="18"/>
                <c:pt idx="0">
                  <c:v>4.2515104050122963E-3</c:v>
                </c:pt>
                <c:pt idx="1">
                  <c:v>5.5940926381740884E-3</c:v>
                </c:pt>
                <c:pt idx="2">
                  <c:v>4.0277466994853373E-3</c:v>
                </c:pt>
                <c:pt idx="3">
                  <c:v>4.2515104050122963E-3</c:v>
                </c:pt>
                <c:pt idx="4">
                  <c:v>2.9089281718505037E-3</c:v>
                </c:pt>
                <c:pt idx="5">
                  <c:v>2.6851644663235447E-3</c:v>
                </c:pt>
                <c:pt idx="6">
                  <c:v>6.7129111658089224E-3</c:v>
                </c:pt>
                <c:pt idx="7">
                  <c:v>0</c:v>
                </c:pt>
                <c:pt idx="8">
                  <c:v>3.3564555829044612E-3</c:v>
                </c:pt>
                <c:pt idx="9">
                  <c:v>6.2653837547549645E-3</c:v>
                </c:pt>
                <c:pt idx="10">
                  <c:v>0.15931975833519807</c:v>
                </c:pt>
                <c:pt idx="11">
                  <c:v>0.77176102036249716</c:v>
                </c:pt>
                <c:pt idx="12">
                  <c:v>0.98433654061311249</c:v>
                </c:pt>
                <c:pt idx="13">
                  <c:v>0.99776236294473053</c:v>
                </c:pt>
                <c:pt idx="14">
                  <c:v>1</c:v>
                </c:pt>
                <c:pt idx="15">
                  <c:v>0.99552472588946062</c:v>
                </c:pt>
                <c:pt idx="16">
                  <c:v>0.99776236294473053</c:v>
                </c:pt>
                <c:pt idx="17">
                  <c:v>1.0783172969344372</c:v>
                </c:pt>
              </c:numCache>
            </c:numRef>
          </c:yVal>
          <c:smooth val="1"/>
        </c:ser>
        <c:ser>
          <c:idx val="0"/>
          <c:order val="1"/>
          <c:tx>
            <c:v>Surfactant, 0.75 wt %</c:v>
          </c:tx>
          <c:spPr>
            <a:ln w="19050" cap="rnd">
              <a:solidFill>
                <a:schemeClr val="accent1"/>
              </a:solidFill>
              <a:round/>
            </a:ln>
            <a:effectLst/>
          </c:spPr>
          <c:marker>
            <c:symbol val="star"/>
            <c:size val="5"/>
            <c:spPr>
              <a:noFill/>
              <a:ln w="9525">
                <a:solidFill>
                  <a:schemeClr val="accent1"/>
                </a:solidFill>
              </a:ln>
              <a:effectLst/>
            </c:spPr>
          </c:marker>
          <c:xVal>
            <c:numRef>
              <c:f>'dynamic adsorption-NO PSS'!$X$8:$X$24</c:f>
              <c:numCache>
                <c:formatCode>General</c:formatCode>
                <c:ptCount val="17"/>
                <c:pt idx="0">
                  <c:v>8.9552238805970144E-2</c:v>
                </c:pt>
                <c:pt idx="1">
                  <c:v>0.26865671641791045</c:v>
                </c:pt>
                <c:pt idx="2">
                  <c:v>0.44776119402985076</c:v>
                </c:pt>
                <c:pt idx="3">
                  <c:v>0.62686567164179108</c:v>
                </c:pt>
                <c:pt idx="4">
                  <c:v>0.80597014925373134</c:v>
                </c:pt>
                <c:pt idx="5">
                  <c:v>0.9850746268656716</c:v>
                </c:pt>
                <c:pt idx="6">
                  <c:v>1.164179104477612</c:v>
                </c:pt>
                <c:pt idx="7">
                  <c:v>1.3432835820895523</c:v>
                </c:pt>
                <c:pt idx="8">
                  <c:v>1.5223880597014925</c:v>
                </c:pt>
                <c:pt idx="9">
                  <c:v>1.7014925373134329</c:v>
                </c:pt>
                <c:pt idx="10">
                  <c:v>1.8805970149253732</c:v>
                </c:pt>
                <c:pt idx="11">
                  <c:v>2.0597014925373136</c:v>
                </c:pt>
                <c:pt idx="12">
                  <c:v>2.2388059701492535</c:v>
                </c:pt>
                <c:pt idx="13">
                  <c:v>2.4179104477611939</c:v>
                </c:pt>
                <c:pt idx="14">
                  <c:v>2.5970149253731343</c:v>
                </c:pt>
                <c:pt idx="15">
                  <c:v>2.7761194029850746</c:v>
                </c:pt>
                <c:pt idx="16">
                  <c:v>2.955223880597015</c:v>
                </c:pt>
              </c:numCache>
            </c:numRef>
          </c:xVal>
          <c:yVal>
            <c:numRef>
              <c:f>'dynamic adsorption-NO PSS'!$Z$8:$Z$24</c:f>
              <c:numCache>
                <c:formatCode>General</c:formatCode>
                <c:ptCount val="17"/>
                <c:pt idx="0">
                  <c:v>0</c:v>
                </c:pt>
                <c:pt idx="1">
                  <c:v>0</c:v>
                </c:pt>
                <c:pt idx="2">
                  <c:v>0</c:v>
                </c:pt>
                <c:pt idx="3">
                  <c:v>0</c:v>
                </c:pt>
                <c:pt idx="4">
                  <c:v>0</c:v>
                </c:pt>
                <c:pt idx="5">
                  <c:v>0</c:v>
                </c:pt>
                <c:pt idx="6">
                  <c:v>0</c:v>
                </c:pt>
                <c:pt idx="7">
                  <c:v>0.63543394230974681</c:v>
                </c:pt>
                <c:pt idx="8">
                  <c:v>0.94062536847011602</c:v>
                </c:pt>
                <c:pt idx="9">
                  <c:v>0.98578799015922658</c:v>
                </c:pt>
                <c:pt idx="10">
                  <c:v>0.94727598203962904</c:v>
                </c:pt>
                <c:pt idx="11">
                  <c:v>0.98014300943441768</c:v>
                </c:pt>
                <c:pt idx="12">
                  <c:v>0.97734353918068861</c:v>
                </c:pt>
                <c:pt idx="13">
                  <c:v>0.99553958269201404</c:v>
                </c:pt>
                <c:pt idx="14">
                  <c:v>0.98507592784237352</c:v>
                </c:pt>
                <c:pt idx="15">
                  <c:v>0.98711602199069215</c:v>
                </c:pt>
                <c:pt idx="16">
                  <c:v>1</c:v>
                </c:pt>
              </c:numCache>
            </c:numRef>
          </c:yVal>
          <c:smooth val="1"/>
        </c:ser>
        <c:ser>
          <c:idx val="2"/>
          <c:order val="2"/>
          <c:spPr>
            <a:ln w="15875" cap="rnd">
              <a:solidFill>
                <a:srgbClr val="993300"/>
              </a:solidFill>
              <a:prstDash val="dash"/>
              <a:round/>
            </a:ln>
            <a:effectLst/>
          </c:spPr>
          <c:marker>
            <c:symbol val="none"/>
          </c:marker>
          <c:xVal>
            <c:numRef>
              <c:f>'dynamic adsorption-NO PSS'!$M$57:$M$58</c:f>
              <c:numCache>
                <c:formatCode>General</c:formatCode>
                <c:ptCount val="2"/>
                <c:pt idx="0">
                  <c:v>1</c:v>
                </c:pt>
                <c:pt idx="1">
                  <c:v>1</c:v>
                </c:pt>
              </c:numCache>
            </c:numRef>
          </c:xVal>
          <c:yVal>
            <c:numRef>
              <c:f>'dynamic adsorption-NO PSS'!$N$57:$N$58</c:f>
              <c:numCache>
                <c:formatCode>General</c:formatCode>
                <c:ptCount val="2"/>
                <c:pt idx="0">
                  <c:v>0</c:v>
                </c:pt>
                <c:pt idx="1">
                  <c:v>1.05</c:v>
                </c:pt>
              </c:numCache>
            </c:numRef>
          </c:yVal>
          <c:smooth val="1"/>
        </c:ser>
        <c:ser>
          <c:idx val="3"/>
          <c:order val="3"/>
          <c:spPr>
            <a:ln w="19050" cap="rnd">
              <a:solidFill>
                <a:schemeClr val="accent4"/>
              </a:solidFill>
              <a:round/>
            </a:ln>
            <a:effectLst/>
          </c:spPr>
          <c:marker>
            <c:symbol val="none"/>
          </c:marker>
          <c:dPt>
            <c:idx val="1"/>
            <c:marker>
              <c:symbol val="none"/>
            </c:marker>
            <c:bubble3D val="0"/>
            <c:spPr>
              <a:ln w="15875" cap="rnd">
                <a:solidFill>
                  <a:srgbClr val="5B9BD5"/>
                </a:solidFill>
                <a:prstDash val="dash"/>
                <a:round/>
              </a:ln>
              <a:effectLst/>
            </c:spPr>
          </c:dPt>
          <c:xVal>
            <c:numRef>
              <c:f>'dynamic adsorption-NO PSS'!$P$57:$P$58</c:f>
              <c:numCache>
                <c:formatCode>General</c:formatCode>
                <c:ptCount val="2"/>
                <c:pt idx="0">
                  <c:v>1.3</c:v>
                </c:pt>
                <c:pt idx="1">
                  <c:v>1.3</c:v>
                </c:pt>
              </c:numCache>
            </c:numRef>
          </c:xVal>
          <c:yVal>
            <c:numRef>
              <c:f>'dynamic adsorption-NO PSS'!$Q$57:$Q$58</c:f>
              <c:numCache>
                <c:formatCode>General</c:formatCode>
                <c:ptCount val="2"/>
                <c:pt idx="0">
                  <c:v>0</c:v>
                </c:pt>
                <c:pt idx="1">
                  <c:v>1.05</c:v>
                </c:pt>
              </c:numCache>
            </c:numRef>
          </c:yVal>
          <c:smooth val="1"/>
        </c:ser>
        <c:dLbls>
          <c:showLegendKey val="0"/>
          <c:showVal val="0"/>
          <c:showCatName val="0"/>
          <c:showSerName val="0"/>
          <c:showPercent val="0"/>
          <c:showBubbleSize val="0"/>
        </c:dLbls>
        <c:axId val="220296648"/>
        <c:axId val="218363696"/>
      </c:scatterChart>
      <c:valAx>
        <c:axId val="220296648"/>
        <c:scaling>
          <c:orientation val="minMax"/>
          <c:max val="3"/>
        </c:scaling>
        <c:delete val="0"/>
        <c:axPos val="b"/>
        <c:title>
          <c:tx>
            <c:rich>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b="1">
                    <a:solidFill>
                      <a:schemeClr val="tx1"/>
                    </a:solidFill>
                  </a:rPr>
                  <a:t>Pore Volume</a:t>
                </a:r>
              </a:p>
            </c:rich>
          </c:tx>
          <c:layout>
            <c:manualLayout>
              <c:xMode val="edge"/>
              <c:yMode val="edge"/>
              <c:x val="0.42007540649547609"/>
              <c:y val="0.92533333333333334"/>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cross"/>
        <c:minorTickMark val="out"/>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8363696"/>
        <c:crosses val="autoZero"/>
        <c:crossBetween val="midCat"/>
        <c:majorUnit val="0.5"/>
        <c:minorUnit val="0.1"/>
      </c:valAx>
      <c:valAx>
        <c:axId val="218363696"/>
        <c:scaling>
          <c:orientation val="minMax"/>
          <c:max val="1"/>
          <c:min val="0"/>
        </c:scaling>
        <c:delete val="0"/>
        <c:axPos val="l"/>
        <c:majorGridlines>
          <c:spPr>
            <a:ln w="9525" cap="flat" cmpd="sng" algn="ctr">
              <a:solidFill>
                <a:sysClr val="windowText" lastClr="000000"/>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b="1">
                    <a:solidFill>
                      <a:schemeClr val="tx1"/>
                    </a:solidFill>
                  </a:rPr>
                  <a:t>Normalized Concentration</a:t>
                </a:r>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20296648"/>
        <c:crosses val="autoZero"/>
        <c:crossBetween val="midCat"/>
        <c:majorUnit val="0.5"/>
      </c:valAx>
      <c:spPr>
        <a:noFill/>
        <a:ln w="15875">
          <a:solidFill>
            <a:sysClr val="windowText" lastClr="000000">
              <a:alpha val="65000"/>
            </a:sysClr>
          </a:solidFill>
        </a:ln>
        <a:effectLst/>
      </c:spPr>
    </c:plotArea>
    <c:legend>
      <c:legendPos val="r"/>
      <c:legendEntry>
        <c:idx val="2"/>
        <c:delete val="1"/>
      </c:legendEntry>
      <c:legendEntry>
        <c:idx val="3"/>
        <c:delete val="1"/>
      </c:legendEntry>
      <c:layout>
        <c:manualLayout>
          <c:xMode val="edge"/>
          <c:yMode val="edge"/>
          <c:x val="0.59357949574485003"/>
          <c:y val="0.48616353690324793"/>
          <c:w val="0.3209504340803554"/>
          <c:h val="0.15582241528727989"/>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ysClr val="window" lastClr="FFFFFF"/>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127115326053857"/>
          <c:y val="2.8528650413543667E-2"/>
          <c:w val="0.86711445599686776"/>
          <c:h val="0.80802317186079897"/>
        </c:manualLayout>
      </c:layout>
      <c:scatterChart>
        <c:scatterStyle val="smoothMarker"/>
        <c:varyColors val="0"/>
        <c:ser>
          <c:idx val="1"/>
          <c:order val="0"/>
          <c:tx>
            <c:v>Tracer</c:v>
          </c:tx>
          <c:spPr>
            <a:ln w="19050" cap="rnd">
              <a:solidFill>
                <a:schemeClr val="accent2"/>
              </a:solidFill>
              <a:round/>
            </a:ln>
            <a:effectLst/>
          </c:spPr>
          <c:marker>
            <c:symbol val="circle"/>
            <c:size val="5"/>
            <c:spPr>
              <a:solidFill>
                <a:srgbClr val="C0504D"/>
              </a:solidFill>
              <a:ln w="9525">
                <a:solidFill>
                  <a:schemeClr val="accent2"/>
                </a:solidFill>
              </a:ln>
              <a:effectLst/>
            </c:spPr>
          </c:marker>
          <c:xVal>
            <c:numRef>
              <c:f>'PSS 70K-Dynamic'!$F$8:$F$29</c:f>
              <c:numCache>
                <c:formatCode>General</c:formatCode>
                <c:ptCount val="22"/>
                <c:pt idx="0">
                  <c:v>4.0106951871657755E-2</c:v>
                </c:pt>
                <c:pt idx="1">
                  <c:v>0.12032085561497327</c:v>
                </c:pt>
                <c:pt idx="2">
                  <c:v>0.20053475935828877</c:v>
                </c:pt>
                <c:pt idx="3">
                  <c:v>0.28074866310160429</c:v>
                </c:pt>
                <c:pt idx="4">
                  <c:v>0.36096256684491979</c:v>
                </c:pt>
                <c:pt idx="5">
                  <c:v>0.44117647058823534</c:v>
                </c:pt>
                <c:pt idx="6">
                  <c:v>0.52139037433155078</c:v>
                </c:pt>
                <c:pt idx="7">
                  <c:v>0.60160427807486638</c:v>
                </c:pt>
                <c:pt idx="8">
                  <c:v>0.68181818181818188</c:v>
                </c:pt>
                <c:pt idx="9">
                  <c:v>0.76203208556149737</c:v>
                </c:pt>
                <c:pt idx="10">
                  <c:v>0.84224598930481287</c:v>
                </c:pt>
                <c:pt idx="11">
                  <c:v>0.92245989304812837</c:v>
                </c:pt>
                <c:pt idx="12">
                  <c:v>1.0026737967914439</c:v>
                </c:pt>
                <c:pt idx="13">
                  <c:v>1.0828877005347595</c:v>
                </c:pt>
                <c:pt idx="14">
                  <c:v>1.1631016042780749</c:v>
                </c:pt>
                <c:pt idx="15">
                  <c:v>1.2433155080213905</c:v>
                </c:pt>
                <c:pt idx="16">
                  <c:v>1.3235294117647058</c:v>
                </c:pt>
                <c:pt idx="17">
                  <c:v>1.4037433155080214</c:v>
                </c:pt>
                <c:pt idx="18">
                  <c:v>1.4839572192513371</c:v>
                </c:pt>
                <c:pt idx="19">
                  <c:v>1.5641711229946524</c:v>
                </c:pt>
                <c:pt idx="20">
                  <c:v>1.644385026737968</c:v>
                </c:pt>
                <c:pt idx="21">
                  <c:v>1.7245989304812834</c:v>
                </c:pt>
              </c:numCache>
            </c:numRef>
          </c:xVal>
          <c:yVal>
            <c:numRef>
              <c:f>'PSS 70K-Dynamic'!$E$8:$E$29</c:f>
              <c:numCache>
                <c:formatCode>General</c:formatCode>
                <c:ptCount val="22"/>
                <c:pt idx="0">
                  <c:v>0</c:v>
                </c:pt>
                <c:pt idx="1">
                  <c:v>8.0370189965903571E-3</c:v>
                </c:pt>
                <c:pt idx="2">
                  <c:v>9.7418412079883186E-3</c:v>
                </c:pt>
                <c:pt idx="3">
                  <c:v>7.3063809059912494E-3</c:v>
                </c:pt>
                <c:pt idx="4">
                  <c:v>8.5241110569897627E-3</c:v>
                </c:pt>
                <c:pt idx="5">
                  <c:v>1.1446663419386278E-2</c:v>
                </c:pt>
                <c:pt idx="6">
                  <c:v>7.5499269361909514E-3</c:v>
                </c:pt>
                <c:pt idx="7">
                  <c:v>6.3321967851923955E-3</c:v>
                </c:pt>
                <c:pt idx="8">
                  <c:v>6.3321967851923955E-3</c:v>
                </c:pt>
                <c:pt idx="9">
                  <c:v>5.8451047247929907E-3</c:v>
                </c:pt>
                <c:pt idx="10">
                  <c:v>2.6790063321967841E-2</c:v>
                </c:pt>
                <c:pt idx="11">
                  <c:v>0.14296151972722845</c:v>
                </c:pt>
                <c:pt idx="12">
                  <c:v>0.5153433999025816</c:v>
                </c:pt>
                <c:pt idx="13">
                  <c:v>0.74671212859230396</c:v>
                </c:pt>
                <c:pt idx="14">
                  <c:v>0.90501704822211404</c:v>
                </c:pt>
                <c:pt idx="15">
                  <c:v>0.97077447637603498</c:v>
                </c:pt>
                <c:pt idx="16">
                  <c:v>0.98051631758402347</c:v>
                </c:pt>
                <c:pt idx="17">
                  <c:v>0.97077447637603498</c:v>
                </c:pt>
                <c:pt idx="18">
                  <c:v>0.98295177788602039</c:v>
                </c:pt>
                <c:pt idx="19">
                  <c:v>0.97564539698002928</c:v>
                </c:pt>
                <c:pt idx="20">
                  <c:v>1</c:v>
                </c:pt>
                <c:pt idx="21">
                  <c:v>0.99756453969800285</c:v>
                </c:pt>
              </c:numCache>
            </c:numRef>
          </c:yVal>
          <c:smooth val="1"/>
        </c:ser>
        <c:ser>
          <c:idx val="2"/>
          <c:order val="1"/>
          <c:tx>
            <c:v>70 KDa PSS, 0.75 wt %</c:v>
          </c:tx>
          <c:spPr>
            <a:ln w="19050" cap="rnd">
              <a:solidFill>
                <a:schemeClr val="tx1"/>
              </a:solidFill>
              <a:round/>
            </a:ln>
            <a:effectLst/>
          </c:spPr>
          <c:marker>
            <c:symbol val="x"/>
            <c:size val="5"/>
            <c:spPr>
              <a:solidFill>
                <a:schemeClr val="tx1"/>
              </a:solidFill>
              <a:ln w="9525">
                <a:solidFill>
                  <a:schemeClr val="tx1"/>
                </a:solidFill>
              </a:ln>
              <a:effectLst/>
            </c:spPr>
          </c:marker>
          <c:xVal>
            <c:numRef>
              <c:f>'PSS 70K-Dynamic'!$P$8:$P$23</c:f>
              <c:numCache>
                <c:formatCode>General</c:formatCode>
                <c:ptCount val="16"/>
                <c:pt idx="0">
                  <c:v>8.0213903743315509E-2</c:v>
                </c:pt>
                <c:pt idx="1">
                  <c:v>0.24064171122994654</c:v>
                </c:pt>
                <c:pt idx="2">
                  <c:v>0.40106951871657753</c:v>
                </c:pt>
                <c:pt idx="3">
                  <c:v>0.56149732620320858</c:v>
                </c:pt>
                <c:pt idx="4">
                  <c:v>0.72192513368983957</c:v>
                </c:pt>
                <c:pt idx="5">
                  <c:v>0.88235294117647067</c:v>
                </c:pt>
                <c:pt idx="6">
                  <c:v>1.0427807486631016</c:v>
                </c:pt>
                <c:pt idx="7">
                  <c:v>1.2032085561497328</c:v>
                </c:pt>
                <c:pt idx="8">
                  <c:v>1.3636363636363638</c:v>
                </c:pt>
                <c:pt idx="9">
                  <c:v>1.5240641711229947</c:v>
                </c:pt>
                <c:pt idx="10">
                  <c:v>1.6844919786096257</c:v>
                </c:pt>
                <c:pt idx="11">
                  <c:v>1.8449197860962567</c:v>
                </c:pt>
                <c:pt idx="12">
                  <c:v>2.0053475935828877</c:v>
                </c:pt>
                <c:pt idx="13">
                  <c:v>2.1657754010695189</c:v>
                </c:pt>
                <c:pt idx="14">
                  <c:v>2.3262032085561497</c:v>
                </c:pt>
                <c:pt idx="15">
                  <c:v>2.4866310160427809</c:v>
                </c:pt>
              </c:numCache>
            </c:numRef>
          </c:xVal>
          <c:yVal>
            <c:numRef>
              <c:f>'PSS 70K-Dynamic'!$R$8:$R$23</c:f>
              <c:numCache>
                <c:formatCode>General</c:formatCode>
                <c:ptCount val="16"/>
                <c:pt idx="0">
                  <c:v>0</c:v>
                </c:pt>
                <c:pt idx="1">
                  <c:v>0</c:v>
                </c:pt>
                <c:pt idx="2">
                  <c:v>0</c:v>
                </c:pt>
                <c:pt idx="3">
                  <c:v>0</c:v>
                </c:pt>
                <c:pt idx="4">
                  <c:v>0</c:v>
                </c:pt>
                <c:pt idx="5">
                  <c:v>1.6925187096840349E-2</c:v>
                </c:pt>
                <c:pt idx="6">
                  <c:v>0.13416077421639794</c:v>
                </c:pt>
                <c:pt idx="7">
                  <c:v>0.42911676645230551</c:v>
                </c:pt>
                <c:pt idx="8">
                  <c:v>0.62156187186171197</c:v>
                </c:pt>
                <c:pt idx="9">
                  <c:v>0.78905074050928836</c:v>
                </c:pt>
                <c:pt idx="10">
                  <c:v>0.86132920150257231</c:v>
                </c:pt>
                <c:pt idx="11">
                  <c:v>0.91232429382786995</c:v>
                </c:pt>
                <c:pt idx="12">
                  <c:v>0.94982683029131909</c:v>
                </c:pt>
                <c:pt idx="13">
                  <c:v>0.97165727641111665</c:v>
                </c:pt>
                <c:pt idx="14">
                  <c:v>1</c:v>
                </c:pt>
                <c:pt idx="15">
                  <c:v>0.99979447004626465</c:v>
                </c:pt>
              </c:numCache>
            </c:numRef>
          </c:yVal>
          <c:smooth val="1"/>
        </c:ser>
        <c:ser>
          <c:idx val="0"/>
          <c:order val="2"/>
          <c:tx>
            <c:v>Surfactant, 0.75 wt %</c:v>
          </c:tx>
          <c:spPr>
            <a:ln w="19050" cap="rnd">
              <a:solidFill>
                <a:schemeClr val="accent1"/>
              </a:solidFill>
              <a:round/>
            </a:ln>
            <a:effectLst/>
          </c:spPr>
          <c:marker>
            <c:symbol val="star"/>
            <c:size val="5"/>
            <c:spPr>
              <a:noFill/>
              <a:ln w="9525">
                <a:solidFill>
                  <a:schemeClr val="accent1"/>
                </a:solidFill>
              </a:ln>
              <a:effectLst/>
            </c:spPr>
          </c:marker>
          <c:xVal>
            <c:numRef>
              <c:f>'PSS 70K-Dynamic'!$J$8:$J$28</c:f>
              <c:numCache>
                <c:formatCode>General</c:formatCode>
                <c:ptCount val="21"/>
                <c:pt idx="0">
                  <c:v>8.0213903743315509E-2</c:v>
                </c:pt>
                <c:pt idx="1">
                  <c:v>0.24064171122994654</c:v>
                </c:pt>
                <c:pt idx="2">
                  <c:v>0.40106951871657753</c:v>
                </c:pt>
                <c:pt idx="3">
                  <c:v>0.56149732620320858</c:v>
                </c:pt>
                <c:pt idx="4">
                  <c:v>0.72192513368983957</c:v>
                </c:pt>
                <c:pt idx="5">
                  <c:v>0.88235294117647067</c:v>
                </c:pt>
                <c:pt idx="6">
                  <c:v>1.0427807486631016</c:v>
                </c:pt>
                <c:pt idx="7">
                  <c:v>1.2032085561497328</c:v>
                </c:pt>
                <c:pt idx="8">
                  <c:v>1.3636363636363638</c:v>
                </c:pt>
                <c:pt idx="9">
                  <c:v>1.5240641711229947</c:v>
                </c:pt>
                <c:pt idx="10">
                  <c:v>1.6844919786096257</c:v>
                </c:pt>
                <c:pt idx="11">
                  <c:v>1.8449197860962567</c:v>
                </c:pt>
                <c:pt idx="12">
                  <c:v>2.0053475935828877</c:v>
                </c:pt>
                <c:pt idx="13">
                  <c:v>2.1657754010695189</c:v>
                </c:pt>
                <c:pt idx="14">
                  <c:v>2.3262032085561497</c:v>
                </c:pt>
                <c:pt idx="15">
                  <c:v>2.4866310160427809</c:v>
                </c:pt>
                <c:pt idx="16">
                  <c:v>2.6470588235294117</c:v>
                </c:pt>
                <c:pt idx="17">
                  <c:v>2.8074866310160429</c:v>
                </c:pt>
                <c:pt idx="18">
                  <c:v>2.9679144385026741</c:v>
                </c:pt>
                <c:pt idx="19">
                  <c:v>3.1283422459893049</c:v>
                </c:pt>
                <c:pt idx="20">
                  <c:v>3.2887700534759361</c:v>
                </c:pt>
              </c:numCache>
            </c:numRef>
          </c:xVal>
          <c:yVal>
            <c:numRef>
              <c:f>'PSS 70K-Dynamic'!$L$8:$L$28</c:f>
              <c:numCache>
                <c:formatCode>General</c:formatCode>
                <c:ptCount val="21"/>
                <c:pt idx="0">
                  <c:v>0</c:v>
                </c:pt>
                <c:pt idx="1">
                  <c:v>0</c:v>
                </c:pt>
                <c:pt idx="2">
                  <c:v>0</c:v>
                </c:pt>
                <c:pt idx="3">
                  <c:v>0</c:v>
                </c:pt>
                <c:pt idx="4">
                  <c:v>0</c:v>
                </c:pt>
                <c:pt idx="5">
                  <c:v>0</c:v>
                </c:pt>
                <c:pt idx="6">
                  <c:v>0</c:v>
                </c:pt>
                <c:pt idx="7">
                  <c:v>0</c:v>
                </c:pt>
                <c:pt idx="8">
                  <c:v>0.23533966648914925</c:v>
                </c:pt>
                <c:pt idx="9">
                  <c:v>0.48603536222097954</c:v>
                </c:pt>
                <c:pt idx="10">
                  <c:v>0.64191857147027154</c:v>
                </c:pt>
                <c:pt idx="11">
                  <c:v>0.75707890263138733</c:v>
                </c:pt>
                <c:pt idx="12">
                  <c:v>0.82839438075641514</c:v>
                </c:pt>
                <c:pt idx="13">
                  <c:v>0.87965773983340478</c:v>
                </c:pt>
                <c:pt idx="14">
                  <c:v>0.90676188039695016</c:v>
                </c:pt>
                <c:pt idx="15">
                  <c:v>0.9346379644790348</c:v>
                </c:pt>
                <c:pt idx="16">
                  <c:v>0.955976507809711</c:v>
                </c:pt>
                <c:pt idx="17">
                  <c:v>0.97622793181949818</c:v>
                </c:pt>
                <c:pt idx="18">
                  <c:v>1</c:v>
                </c:pt>
                <c:pt idx="19">
                  <c:v>0.98443393262149159</c:v>
                </c:pt>
                <c:pt idx="20">
                  <c:v>0.99986095795624474</c:v>
                </c:pt>
              </c:numCache>
            </c:numRef>
          </c:yVal>
          <c:smooth val="1"/>
        </c:ser>
        <c:ser>
          <c:idx val="3"/>
          <c:order val="3"/>
          <c:spPr>
            <a:ln w="15875" cap="rnd">
              <a:solidFill>
                <a:srgbClr val="993300"/>
              </a:solidFill>
              <a:prstDash val="dash"/>
              <a:round/>
            </a:ln>
            <a:effectLst/>
          </c:spPr>
          <c:marker>
            <c:symbol val="none"/>
          </c:marker>
          <c:xVal>
            <c:numRef>
              <c:f>'PSS 70K-Dynamic'!$J$54:$J$57</c:f>
              <c:numCache>
                <c:formatCode>General</c:formatCode>
                <c:ptCount val="4"/>
                <c:pt idx="0">
                  <c:v>1</c:v>
                </c:pt>
                <c:pt idx="1">
                  <c:v>1</c:v>
                </c:pt>
              </c:numCache>
            </c:numRef>
          </c:xVal>
          <c:yVal>
            <c:numRef>
              <c:f>'PSS 70K-Dynamic'!$K$54:$K$57</c:f>
              <c:numCache>
                <c:formatCode>General</c:formatCode>
                <c:ptCount val="4"/>
                <c:pt idx="0">
                  <c:v>0</c:v>
                </c:pt>
                <c:pt idx="1">
                  <c:v>1.02</c:v>
                </c:pt>
              </c:numCache>
            </c:numRef>
          </c:yVal>
          <c:smooth val="1"/>
        </c:ser>
        <c:ser>
          <c:idx val="4"/>
          <c:order val="4"/>
          <c:spPr>
            <a:ln w="15875" cap="rnd">
              <a:solidFill>
                <a:sysClr val="windowText" lastClr="000000"/>
              </a:solidFill>
              <a:prstDash val="dash"/>
              <a:round/>
            </a:ln>
            <a:effectLst/>
          </c:spPr>
          <c:marker>
            <c:symbol val="none"/>
          </c:marker>
          <c:xVal>
            <c:numRef>
              <c:f>'PSS 70K-Dynamic'!$P$54:$P$55</c:f>
              <c:numCache>
                <c:formatCode>General</c:formatCode>
                <c:ptCount val="2"/>
                <c:pt idx="0">
                  <c:v>1.27</c:v>
                </c:pt>
                <c:pt idx="1">
                  <c:v>1.27</c:v>
                </c:pt>
              </c:numCache>
            </c:numRef>
          </c:xVal>
          <c:yVal>
            <c:numRef>
              <c:f>'PSS 70K-Dynamic'!$Q$54:$Q$55</c:f>
              <c:numCache>
                <c:formatCode>General</c:formatCode>
                <c:ptCount val="2"/>
                <c:pt idx="0">
                  <c:v>0</c:v>
                </c:pt>
                <c:pt idx="1">
                  <c:v>1.02</c:v>
                </c:pt>
              </c:numCache>
            </c:numRef>
          </c:yVal>
          <c:smooth val="1"/>
        </c:ser>
        <c:ser>
          <c:idx val="5"/>
          <c:order val="5"/>
          <c:spPr>
            <a:ln w="15875" cap="rnd">
              <a:solidFill>
                <a:srgbClr val="4472C4"/>
              </a:solidFill>
              <a:prstDash val="dash"/>
              <a:round/>
            </a:ln>
            <a:effectLst/>
          </c:spPr>
          <c:marker>
            <c:symbol val="none"/>
          </c:marker>
          <c:xVal>
            <c:numRef>
              <c:f>'PSS 70K-Dynamic'!$M$54:$M$55</c:f>
              <c:numCache>
                <c:formatCode>General</c:formatCode>
                <c:ptCount val="2"/>
                <c:pt idx="0">
                  <c:v>1.53</c:v>
                </c:pt>
                <c:pt idx="1">
                  <c:v>1.53</c:v>
                </c:pt>
              </c:numCache>
            </c:numRef>
          </c:xVal>
          <c:yVal>
            <c:numRef>
              <c:f>'PSS 70K-Dynamic'!$N$54:$N$55</c:f>
              <c:numCache>
                <c:formatCode>General</c:formatCode>
                <c:ptCount val="2"/>
                <c:pt idx="0">
                  <c:v>0</c:v>
                </c:pt>
                <c:pt idx="1">
                  <c:v>1.02</c:v>
                </c:pt>
              </c:numCache>
            </c:numRef>
          </c:yVal>
          <c:smooth val="1"/>
        </c:ser>
        <c:dLbls>
          <c:showLegendKey val="0"/>
          <c:showVal val="0"/>
          <c:showCatName val="0"/>
          <c:showSerName val="0"/>
          <c:showPercent val="0"/>
          <c:showBubbleSize val="0"/>
        </c:dLbls>
        <c:axId val="218364480"/>
        <c:axId val="218364872"/>
      </c:scatterChart>
      <c:valAx>
        <c:axId val="218364480"/>
        <c:scaling>
          <c:orientation val="minMax"/>
        </c:scaling>
        <c:delete val="0"/>
        <c:axPos val="b"/>
        <c:title>
          <c:tx>
            <c:rich>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b="1" dirty="0" smtClean="0">
                    <a:solidFill>
                      <a:schemeClr val="tx1"/>
                    </a:solidFill>
                  </a:rPr>
                  <a:t>Pore Volume</a:t>
                </a:r>
                <a:endParaRPr lang="en-US" sz="1200" b="1" dirty="0">
                  <a:solidFill>
                    <a:schemeClr val="tx1"/>
                  </a:solidFill>
                </a:endParaRPr>
              </a:p>
            </c:rich>
          </c:tx>
          <c:layout>
            <c:manualLayout>
              <c:xMode val="edge"/>
              <c:yMode val="edge"/>
              <c:x val="0.43142616351277768"/>
              <c:y val="0.93116408934707906"/>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cross"/>
        <c:minorTickMark val="out"/>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8364872"/>
        <c:crosses val="autoZero"/>
        <c:crossBetween val="midCat"/>
        <c:majorUnit val="0.5"/>
      </c:valAx>
      <c:valAx>
        <c:axId val="218364872"/>
        <c:scaling>
          <c:orientation val="minMax"/>
          <c:max val="1"/>
          <c:min val="0"/>
        </c:scaling>
        <c:delete val="0"/>
        <c:axPos val="l"/>
        <c:majorGridlines>
          <c:spPr>
            <a:ln w="9525" cap="flat" cmpd="sng" algn="ctr">
              <a:solidFill>
                <a:sysClr val="windowText" lastClr="000000"/>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200" b="1">
                    <a:solidFill>
                      <a:schemeClr val="tx1"/>
                    </a:solidFill>
                  </a:rPr>
                  <a:t>Normalized Concentration</a:t>
                </a:r>
              </a:p>
            </c:rich>
          </c:tx>
          <c:layout>
            <c:manualLayout>
              <c:xMode val="edge"/>
              <c:yMode val="edge"/>
              <c:x val="1.6308734888801873E-3"/>
              <c:y val="0.2120255841806182"/>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ysClr val="windowText" lastClr="000000"/>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18364480"/>
        <c:crosses val="autoZero"/>
        <c:crossBetween val="midCat"/>
        <c:majorUnit val="0.5"/>
      </c:valAx>
      <c:spPr>
        <a:solidFill>
          <a:schemeClr val="bg1"/>
        </a:solidFill>
        <a:ln w="15875">
          <a:solidFill>
            <a:sysClr val="windowText" lastClr="000000">
              <a:alpha val="63000"/>
            </a:sysClr>
          </a:solidFill>
        </a:ln>
        <a:effectLst/>
      </c:spPr>
    </c:plotArea>
    <c:legend>
      <c:legendPos val="r"/>
      <c:legendEntry>
        <c:idx val="3"/>
        <c:delete val="1"/>
      </c:legendEntry>
      <c:legendEntry>
        <c:idx val="4"/>
        <c:delete val="1"/>
      </c:legendEntry>
      <c:legendEntry>
        <c:idx val="5"/>
        <c:delete val="1"/>
      </c:legendEntry>
      <c:layout>
        <c:manualLayout>
          <c:xMode val="edge"/>
          <c:yMode val="edge"/>
          <c:x val="0.57949971723147864"/>
          <c:y val="0.51436060783664173"/>
          <c:w val="0.34133611751569726"/>
          <c:h val="0.23905749645371993"/>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noFill/>
    <a:ln w="9525" cap="flat" cmpd="sng" algn="ctr">
      <a:solidFill>
        <a:sysClr val="window" lastClr="FFFFFF"/>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913669064748202"/>
          <c:y val="5.3912219305920092E-2"/>
          <c:w val="0.86448441247002394"/>
          <c:h val="0.76980497229512979"/>
        </c:manualLayout>
      </c:layout>
      <c:barChart>
        <c:barDir val="col"/>
        <c:grouping val="clustered"/>
        <c:varyColors val="0"/>
        <c:ser>
          <c:idx val="0"/>
          <c:order val="0"/>
          <c:tx>
            <c:strRef>
              <c:f>'[Chart in Microsoft PowerPoint]Summary'!$B$17</c:f>
              <c:strCache>
                <c:ptCount val="1"/>
                <c:pt idx="0">
                  <c:v>Surfactant</c:v>
                </c:pt>
              </c:strCache>
            </c:strRef>
          </c:tx>
          <c:spPr>
            <a:solidFill>
              <a:schemeClr val="accent1"/>
            </a:solidFill>
            <a:ln>
              <a:noFill/>
            </a:ln>
            <a:effectLst/>
          </c:spPr>
          <c:invertIfNegative val="0"/>
          <c:cat>
            <c:strRef>
              <c:f>'[Chart in Microsoft PowerPoint]Summary'!$A$18:$A$20</c:f>
              <c:strCache>
                <c:ptCount val="3"/>
                <c:pt idx="0">
                  <c:v>No PSS</c:v>
                </c:pt>
                <c:pt idx="1">
                  <c:v>Sequential Addition</c:v>
                </c:pt>
                <c:pt idx="2">
                  <c:v>Simultaneous Addition</c:v>
                </c:pt>
              </c:strCache>
            </c:strRef>
          </c:cat>
          <c:val>
            <c:numRef>
              <c:f>'[Chart in Microsoft PowerPoint]Summary'!$B$18:$B$20</c:f>
              <c:numCache>
                <c:formatCode>General</c:formatCode>
                <c:ptCount val="3"/>
                <c:pt idx="0">
                  <c:v>1.8</c:v>
                </c:pt>
                <c:pt idx="1">
                  <c:v>1.03</c:v>
                </c:pt>
                <c:pt idx="2">
                  <c:v>1.2</c:v>
                </c:pt>
              </c:numCache>
            </c:numRef>
          </c:val>
        </c:ser>
        <c:ser>
          <c:idx val="1"/>
          <c:order val="1"/>
          <c:tx>
            <c:v>70 KDa PSS</c:v>
          </c:tx>
          <c:spPr>
            <a:solidFill>
              <a:schemeClr val="accent2"/>
            </a:solidFill>
            <a:ln>
              <a:noFill/>
            </a:ln>
            <a:effectLst/>
          </c:spPr>
          <c:invertIfNegative val="0"/>
          <c:cat>
            <c:strRef>
              <c:f>'[Chart in Microsoft PowerPoint]Summary'!$A$18:$A$20</c:f>
              <c:strCache>
                <c:ptCount val="3"/>
                <c:pt idx="0">
                  <c:v>No PSS</c:v>
                </c:pt>
                <c:pt idx="1">
                  <c:v>Sequential Addition</c:v>
                </c:pt>
                <c:pt idx="2">
                  <c:v>Simultaneous Addition</c:v>
                </c:pt>
              </c:strCache>
            </c:strRef>
          </c:cat>
          <c:val>
            <c:numRef>
              <c:f>'[Chart in Microsoft PowerPoint]Summary'!$C$18:$C$20</c:f>
              <c:numCache>
                <c:formatCode>General</c:formatCode>
                <c:ptCount val="3"/>
                <c:pt idx="0">
                  <c:v>0</c:v>
                </c:pt>
                <c:pt idx="1">
                  <c:v>0.48</c:v>
                </c:pt>
                <c:pt idx="2">
                  <c:v>0.26</c:v>
                </c:pt>
              </c:numCache>
            </c:numRef>
          </c:val>
        </c:ser>
        <c:dLbls>
          <c:showLegendKey val="0"/>
          <c:showVal val="0"/>
          <c:showCatName val="0"/>
          <c:showSerName val="0"/>
          <c:showPercent val="0"/>
          <c:showBubbleSize val="0"/>
        </c:dLbls>
        <c:gapWidth val="219"/>
        <c:overlap val="-27"/>
        <c:axId val="220396936"/>
        <c:axId val="220397328"/>
      </c:barChart>
      <c:catAx>
        <c:axId val="220396936"/>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20397328"/>
        <c:crosses val="autoZero"/>
        <c:auto val="1"/>
        <c:lblAlgn val="ctr"/>
        <c:lblOffset val="100"/>
        <c:noMultiLvlLbl val="0"/>
      </c:catAx>
      <c:valAx>
        <c:axId val="220397328"/>
        <c:scaling>
          <c:orientation val="minMax"/>
        </c:scaling>
        <c:delete val="0"/>
        <c:axPos val="l"/>
        <c:title>
          <c:tx>
            <c:rich>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b="1" dirty="0">
                    <a:solidFill>
                      <a:schemeClr val="tx1"/>
                    </a:solidFill>
                  </a:rPr>
                  <a:t>Adsorption, </a:t>
                </a:r>
                <a:r>
                  <a:rPr lang="en-US" b="1" dirty="0" smtClean="0">
                    <a:solidFill>
                      <a:schemeClr val="tx1"/>
                    </a:solidFill>
                  </a:rPr>
                  <a:t>mg/g </a:t>
                </a:r>
                <a:r>
                  <a:rPr lang="en-US" b="1" dirty="0">
                    <a:solidFill>
                      <a:schemeClr val="tx1"/>
                    </a:solidFill>
                  </a:rPr>
                  <a:t>sand</a:t>
                </a:r>
              </a:p>
            </c:rich>
          </c:tx>
          <c:layout>
            <c:manualLayout>
              <c:xMode val="edge"/>
              <c:yMode val="edge"/>
              <c:x val="1.1990407673860911E-2"/>
              <c:y val="0.16482174103237096"/>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cross"/>
        <c:minorTickMark val="in"/>
        <c:tickLblPos val="nextTo"/>
        <c:spPr>
          <a:noFill/>
          <a:ln>
            <a:solidFill>
              <a:schemeClr val="tx1"/>
            </a:solidFill>
          </a:ln>
          <a:effectLst/>
        </c:spPr>
        <c:txPr>
          <a:bodyPr rot="-6000000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20396936"/>
        <c:crosses val="autoZero"/>
        <c:crossBetween val="between"/>
        <c:majorUnit val="1"/>
      </c:valAx>
      <c:spPr>
        <a:noFill/>
        <a:ln>
          <a:noFill/>
        </a:ln>
        <a:effectLst/>
      </c:spPr>
    </c:plotArea>
    <c:legend>
      <c:legendPos val="b"/>
      <c:layout>
        <c:manualLayout>
          <c:xMode val="edge"/>
          <c:yMode val="edge"/>
          <c:x val="0.31980271216098"/>
          <c:y val="0.199652230971129"/>
          <c:w val="0.47428346456692899"/>
          <c:h val="7.8125546806649196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ysClr val="window" lastClr="FFFFFF"/>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0">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tx1"/>
    </cs:fontRef>
    <cs:spPr>
      <a:ln w="9525" cap="rnd">
        <a:solidFill>
          <a:schemeClr val="phClr">
            <a:alpha val="50000"/>
          </a:scheme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15000"/>
            <a:lumOff val="8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0.48898</cdr:x>
      <cdr:y>0.11041</cdr:y>
    </cdr:from>
    <cdr:to>
      <cdr:x>0.53106</cdr:x>
      <cdr:y>0.17981</cdr:y>
    </cdr:to>
    <cdr:cxnSp macro="">
      <cdr:nvCxnSpPr>
        <cdr:cNvPr id="3" name="Straight Arrow Connector 2"/>
        <cdr:cNvCxnSpPr/>
      </cdr:nvCxnSpPr>
      <cdr:spPr>
        <a:xfrm xmlns:a="http://schemas.openxmlformats.org/drawingml/2006/main">
          <a:off x="3380511" y="484909"/>
          <a:ext cx="290945" cy="304800"/>
        </a:xfrm>
        <a:prstGeom xmlns:a="http://schemas.openxmlformats.org/drawingml/2006/main" prst="straightConnector1">
          <a:avLst/>
        </a:prstGeom>
        <a:ln xmlns:a="http://schemas.openxmlformats.org/drawingml/2006/main">
          <a:tailEnd type="triangle"/>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0.70741</cdr:x>
      <cdr:y>0.14196</cdr:y>
    </cdr:from>
    <cdr:to>
      <cdr:x>0.76954</cdr:x>
      <cdr:y>0.16719</cdr:y>
    </cdr:to>
    <cdr:cxnSp macro="">
      <cdr:nvCxnSpPr>
        <cdr:cNvPr id="5" name="Straight Arrow Connector 4"/>
        <cdr:cNvCxnSpPr/>
      </cdr:nvCxnSpPr>
      <cdr:spPr>
        <a:xfrm xmlns:a="http://schemas.openxmlformats.org/drawingml/2006/main" flipH="1" flipV="1">
          <a:off x="4890656" y="623455"/>
          <a:ext cx="429491" cy="110835"/>
        </a:xfrm>
        <a:prstGeom xmlns:a="http://schemas.openxmlformats.org/drawingml/2006/main" prst="straightConnector1">
          <a:avLst/>
        </a:prstGeom>
        <a:ln xmlns:a="http://schemas.openxmlformats.org/drawingml/2006/main">
          <a:tailEnd type="triangle"/>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0.39794</cdr:x>
      <cdr:y>0.42902</cdr:y>
    </cdr:from>
    <cdr:to>
      <cdr:x>0.46407</cdr:x>
      <cdr:y>0.43849</cdr:y>
    </cdr:to>
    <cdr:cxnSp macro="">
      <cdr:nvCxnSpPr>
        <cdr:cNvPr id="8" name="Straight Arrow Connector 7"/>
        <cdr:cNvCxnSpPr/>
      </cdr:nvCxnSpPr>
      <cdr:spPr>
        <a:xfrm xmlns:a="http://schemas.openxmlformats.org/drawingml/2006/main">
          <a:off x="2398290" y="1548974"/>
          <a:ext cx="398548" cy="34191"/>
        </a:xfrm>
        <a:prstGeom xmlns:a="http://schemas.openxmlformats.org/drawingml/2006/main" prst="straightConnector1">
          <a:avLst/>
        </a:prstGeom>
        <a:ln xmlns:a="http://schemas.openxmlformats.org/drawingml/2006/main">
          <a:tailEnd type="triangle"/>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0.67134</cdr:x>
      <cdr:y>0.37489</cdr:y>
    </cdr:from>
    <cdr:to>
      <cdr:x>0.67134</cdr:x>
      <cdr:y>0.44429</cdr:y>
    </cdr:to>
    <cdr:cxnSp macro="">
      <cdr:nvCxnSpPr>
        <cdr:cNvPr id="10" name="Straight Arrow Connector 9"/>
        <cdr:cNvCxnSpPr/>
      </cdr:nvCxnSpPr>
      <cdr:spPr>
        <a:xfrm xmlns:a="http://schemas.openxmlformats.org/drawingml/2006/main" flipV="1">
          <a:off x="4045983" y="1353534"/>
          <a:ext cx="0" cy="250569"/>
        </a:xfrm>
        <a:prstGeom xmlns:a="http://schemas.openxmlformats.org/drawingml/2006/main" prst="straightConnector1">
          <a:avLst/>
        </a:prstGeom>
        <a:ln xmlns:a="http://schemas.openxmlformats.org/drawingml/2006/main">
          <a:tailEnd type="triangle"/>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81F602006EA4C16A9F3206BB0D96450"/>
        <w:category>
          <w:name w:val="General"/>
          <w:gallery w:val="placeholder"/>
        </w:category>
        <w:types>
          <w:type w:val="bbPlcHdr"/>
        </w:types>
        <w:behaviors>
          <w:behavior w:val="content"/>
        </w:behaviors>
        <w:guid w:val="{9A9FE3DF-2FD5-432E-89C1-106E7172DE0E}"/>
      </w:docPartPr>
      <w:docPartBody>
        <w:p w:rsidR="00DD6093" w:rsidRDefault="00DD6093">
          <w:pPr>
            <w:pStyle w:val="A81F602006EA4C16A9F3206BB0D96450"/>
          </w:pPr>
          <w:r w:rsidRPr="001F1C68">
            <w:rPr>
              <w:rStyle w:val="PlaceholderText"/>
            </w:rPr>
            <w:t>Click here to enter text.</w:t>
          </w:r>
        </w:p>
      </w:docPartBody>
    </w:docPart>
    <w:docPart>
      <w:docPartPr>
        <w:name w:val="759BC30D3C1F4056B5956C77E5F08E9F"/>
        <w:category>
          <w:name w:val="General"/>
          <w:gallery w:val="placeholder"/>
        </w:category>
        <w:types>
          <w:type w:val="bbPlcHdr"/>
        </w:types>
        <w:behaviors>
          <w:behavior w:val="content"/>
        </w:behaviors>
        <w:guid w:val="{31553649-DD02-41C3-9BB1-C3F9804D0A87}"/>
      </w:docPartPr>
      <w:docPartBody>
        <w:p w:rsidR="00DD6093" w:rsidRDefault="00DD6093">
          <w:pPr>
            <w:pStyle w:val="759BC30D3C1F4056B5956C77E5F08E9F"/>
          </w:pPr>
          <w:r w:rsidRPr="001F1C68">
            <w:rPr>
              <w:rStyle w:val="PlaceholderText"/>
            </w:rPr>
            <w:t>Choose an item.</w:t>
          </w:r>
        </w:p>
      </w:docPartBody>
    </w:docPart>
    <w:docPart>
      <w:docPartPr>
        <w:name w:val="F1B82404F8FA4860B21733FA70F7B5FC"/>
        <w:category>
          <w:name w:val="General"/>
          <w:gallery w:val="placeholder"/>
        </w:category>
        <w:types>
          <w:type w:val="bbPlcHdr"/>
        </w:types>
        <w:behaviors>
          <w:behavior w:val="content"/>
        </w:behaviors>
        <w:guid w:val="{4B396190-3A2E-4CE2-B3B4-5D728BCF29B5}"/>
      </w:docPartPr>
      <w:docPartBody>
        <w:p w:rsidR="00DD6093" w:rsidRDefault="00DD6093">
          <w:pPr>
            <w:pStyle w:val="F1B82404F8FA4860B21733FA70F7B5FC"/>
          </w:pPr>
          <w:r w:rsidRPr="00AC7F25">
            <w:rPr>
              <w:rStyle w:val="PlaceholderText"/>
            </w:rPr>
            <w:t>Choose an item.</w:t>
          </w:r>
        </w:p>
      </w:docPartBody>
    </w:docPart>
    <w:docPart>
      <w:docPartPr>
        <w:name w:val="C1945CF0ED4049C18F4A68F0D792BBEB"/>
        <w:category>
          <w:name w:val="General"/>
          <w:gallery w:val="placeholder"/>
        </w:category>
        <w:types>
          <w:type w:val="bbPlcHdr"/>
        </w:types>
        <w:behaviors>
          <w:behavior w:val="content"/>
        </w:behaviors>
        <w:guid w:val="{06379067-A066-4495-8B77-EFE2DBC6C1D4}"/>
      </w:docPartPr>
      <w:docPartBody>
        <w:p w:rsidR="00DD6093" w:rsidRDefault="00DD6093">
          <w:pPr>
            <w:pStyle w:val="C1945CF0ED4049C18F4A68F0D792BBEB"/>
          </w:pPr>
          <w:r w:rsidRPr="00BB1A19">
            <w:rPr>
              <w:rStyle w:val="PlaceholderText"/>
            </w:rPr>
            <w:t>Click here to enter text.</w:t>
          </w:r>
        </w:p>
      </w:docPartBody>
    </w:docPart>
    <w:docPart>
      <w:docPartPr>
        <w:name w:val="D03C234346724BF78727F2B57D844BFF"/>
        <w:category>
          <w:name w:val="General"/>
          <w:gallery w:val="placeholder"/>
        </w:category>
        <w:types>
          <w:type w:val="bbPlcHdr"/>
        </w:types>
        <w:behaviors>
          <w:behavior w:val="content"/>
        </w:behaviors>
        <w:guid w:val="{9001A803-DBD3-47DA-B5AB-CF9A3771AE5E}"/>
      </w:docPartPr>
      <w:docPartBody>
        <w:p w:rsidR="00DD6093" w:rsidRDefault="00276951" w:rsidP="00276951">
          <w:pPr>
            <w:pStyle w:val="D03C234346724BF78727F2B57D844BFF2"/>
          </w:pPr>
          <w:r w:rsidRPr="00DB664C">
            <w:rPr>
              <w:rStyle w:val="PlaceholderText"/>
            </w:rPr>
            <w:t>[EXACT NAME OF YOUR ACADEMIC UNIT IN ALL CAPS]</w:t>
          </w:r>
        </w:p>
      </w:docPartBody>
    </w:docPart>
    <w:docPart>
      <w:docPartPr>
        <w:name w:val="FF296B929162474DB1A26C89C367C4FC"/>
        <w:category>
          <w:name w:val="General"/>
          <w:gallery w:val="placeholder"/>
        </w:category>
        <w:types>
          <w:type w:val="bbPlcHdr"/>
        </w:types>
        <w:behaviors>
          <w:behavior w:val="content"/>
        </w:behaviors>
        <w:guid w:val="{557C0362-C4AD-415A-A23F-938FF59C8A7E}"/>
      </w:docPartPr>
      <w:docPartBody>
        <w:p w:rsidR="00DD6093" w:rsidRDefault="00DD6093">
          <w:pPr>
            <w:pStyle w:val="FF296B929162474DB1A26C89C367C4FC"/>
          </w:pPr>
          <w:r w:rsidRPr="00AC7F25">
            <w:rPr>
              <w:rStyle w:val="PlaceholderText"/>
            </w:rPr>
            <w:t>Choose an item.</w:t>
          </w:r>
        </w:p>
      </w:docPartBody>
    </w:docPart>
    <w:docPart>
      <w:docPartPr>
        <w:name w:val="4E747200787E4E0C91EFDA8465C0B418"/>
        <w:category>
          <w:name w:val="General"/>
          <w:gallery w:val="placeholder"/>
        </w:category>
        <w:types>
          <w:type w:val="bbPlcHdr"/>
        </w:types>
        <w:behaviors>
          <w:behavior w:val="content"/>
        </w:behaviors>
        <w:guid w:val="{09CD0F20-44C0-4741-BE91-9EEA03AAF3BF}"/>
      </w:docPartPr>
      <w:docPartBody>
        <w:p w:rsidR="00DD6093" w:rsidRDefault="00DD6093">
          <w:pPr>
            <w:pStyle w:val="4E747200787E4E0C91EFDA8465C0B418"/>
          </w:pPr>
          <w:r w:rsidRPr="001F1C68">
            <w:rPr>
              <w:rStyle w:val="PlaceholderText"/>
            </w:rPr>
            <w:t>Click here to enter text.</w:t>
          </w:r>
        </w:p>
      </w:docPartBody>
    </w:docPart>
    <w:docPart>
      <w:docPartPr>
        <w:name w:val="B0B85ABE7B3F434EA51BA9771FBB6931"/>
        <w:category>
          <w:name w:val="General"/>
          <w:gallery w:val="placeholder"/>
        </w:category>
        <w:types>
          <w:type w:val="bbPlcHdr"/>
        </w:types>
        <w:behaviors>
          <w:behavior w:val="content"/>
        </w:behaviors>
        <w:guid w:val="{2C4CFC71-9795-470E-A4F8-DE2E5B629398}"/>
      </w:docPartPr>
      <w:docPartBody>
        <w:p w:rsidR="00DD6093" w:rsidRDefault="00DD6093">
          <w:pPr>
            <w:pStyle w:val="B0B85ABE7B3F434EA51BA9771FBB6931"/>
          </w:pPr>
          <w:r w:rsidRPr="00AC7F25">
            <w:rPr>
              <w:rStyle w:val="PlaceholderText"/>
            </w:rPr>
            <w:t>Choose an item.</w:t>
          </w:r>
        </w:p>
      </w:docPartBody>
    </w:docPart>
    <w:docPart>
      <w:docPartPr>
        <w:name w:val="91E92CC32A8647FC976FCB879BC11161"/>
        <w:category>
          <w:name w:val="General"/>
          <w:gallery w:val="placeholder"/>
        </w:category>
        <w:types>
          <w:type w:val="bbPlcHdr"/>
        </w:types>
        <w:behaviors>
          <w:behavior w:val="content"/>
        </w:behaviors>
        <w:guid w:val="{58A086DD-2B6C-4F37-A6A5-B6C2CC7F3131}"/>
      </w:docPartPr>
      <w:docPartBody>
        <w:p w:rsidR="00DD6093" w:rsidRDefault="00DD6093">
          <w:pPr>
            <w:pStyle w:val="91E92CC32A8647FC976FCB879BC11161"/>
          </w:pPr>
          <w:r w:rsidRPr="001F1C68">
            <w:rPr>
              <w:rStyle w:val="PlaceholderText"/>
            </w:rPr>
            <w:t>Click here to enter text.</w:t>
          </w:r>
        </w:p>
      </w:docPartBody>
    </w:docPart>
    <w:docPart>
      <w:docPartPr>
        <w:name w:val="3CBB864A9504463080A39DB16F6A8615"/>
        <w:category>
          <w:name w:val="General"/>
          <w:gallery w:val="placeholder"/>
        </w:category>
        <w:types>
          <w:type w:val="bbPlcHdr"/>
        </w:types>
        <w:behaviors>
          <w:behavior w:val="content"/>
        </w:behaviors>
        <w:guid w:val="{30EA6BD2-262E-4D9C-BAB9-23D14058F7D7}"/>
      </w:docPartPr>
      <w:docPartBody>
        <w:p w:rsidR="00DD6093" w:rsidRDefault="00DD6093">
          <w:pPr>
            <w:pStyle w:val="3CBB864A9504463080A39DB16F6A8615"/>
          </w:pPr>
          <w:r w:rsidRPr="00AC7F25">
            <w:rPr>
              <w:rStyle w:val="PlaceholderText"/>
            </w:rPr>
            <w:t>Choose an item.</w:t>
          </w:r>
        </w:p>
      </w:docPartBody>
    </w:docPart>
    <w:docPart>
      <w:docPartPr>
        <w:name w:val="CDE79C69F22A480D9D131BF115AF9F60"/>
        <w:category>
          <w:name w:val="General"/>
          <w:gallery w:val="placeholder"/>
        </w:category>
        <w:types>
          <w:type w:val="bbPlcHdr"/>
        </w:types>
        <w:behaviors>
          <w:behavior w:val="content"/>
        </w:behaviors>
        <w:guid w:val="{BCECD1E8-0C45-4174-90B1-72A7FFC3CFE2}"/>
      </w:docPartPr>
      <w:docPartBody>
        <w:p w:rsidR="00DD6093" w:rsidRDefault="00DD6093">
          <w:pPr>
            <w:pStyle w:val="CDE79C69F22A480D9D131BF115AF9F60"/>
          </w:pPr>
          <w:r w:rsidRPr="001F1C68">
            <w:rPr>
              <w:rStyle w:val="PlaceholderText"/>
            </w:rPr>
            <w:t>Click here to enter text.</w:t>
          </w:r>
        </w:p>
      </w:docPartBody>
    </w:docPart>
    <w:docPart>
      <w:docPartPr>
        <w:name w:val="6A6DE978A9E340799322029104930F95"/>
        <w:category>
          <w:name w:val="General"/>
          <w:gallery w:val="placeholder"/>
        </w:category>
        <w:types>
          <w:type w:val="bbPlcHdr"/>
        </w:types>
        <w:behaviors>
          <w:behavior w:val="content"/>
        </w:behaviors>
        <w:guid w:val="{B24F7ECF-9FED-45DA-AE71-5F2200062E82}"/>
      </w:docPartPr>
      <w:docPartBody>
        <w:p w:rsidR="00DD6093" w:rsidRDefault="00DD6093">
          <w:pPr>
            <w:pStyle w:val="6A6DE978A9E340799322029104930F95"/>
          </w:pPr>
          <w:r w:rsidRPr="00AC7F25">
            <w:rPr>
              <w:rStyle w:val="PlaceholderText"/>
            </w:rPr>
            <w:t>Choose an item.</w:t>
          </w:r>
        </w:p>
      </w:docPartBody>
    </w:docPart>
    <w:docPart>
      <w:docPartPr>
        <w:name w:val="7EC8D7C93170496D8C44606F111D3434"/>
        <w:category>
          <w:name w:val="General"/>
          <w:gallery w:val="placeholder"/>
        </w:category>
        <w:types>
          <w:type w:val="bbPlcHdr"/>
        </w:types>
        <w:behaviors>
          <w:behavior w:val="content"/>
        </w:behaviors>
        <w:guid w:val="{EAE15AF4-4F42-4350-AA70-1EA106D5C12D}"/>
      </w:docPartPr>
      <w:docPartBody>
        <w:p w:rsidR="00DD6093" w:rsidRDefault="00DD6093">
          <w:pPr>
            <w:pStyle w:val="7EC8D7C93170496D8C44606F111D3434"/>
          </w:pPr>
          <w:r w:rsidRPr="001F1C68">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no Pro">
    <w:altName w:val="Constantia"/>
    <w:panose1 w:val="00000000000000000000"/>
    <w:charset w:val="00"/>
    <w:family w:val="roman"/>
    <w:notTrueType/>
    <w:pitch w:val="variable"/>
    <w:sig w:usb0="00000001" w:usb1="00000001" w:usb2="00000000" w:usb3="00000000" w:csb0="0000019F"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DD6093"/>
    <w:rsid w:val="0000496B"/>
    <w:rsid w:val="001208A5"/>
    <w:rsid w:val="0015246B"/>
    <w:rsid w:val="00190672"/>
    <w:rsid w:val="001B2B89"/>
    <w:rsid w:val="001C22FA"/>
    <w:rsid w:val="001E1A0C"/>
    <w:rsid w:val="001E23A4"/>
    <w:rsid w:val="00227A63"/>
    <w:rsid w:val="00276951"/>
    <w:rsid w:val="00293081"/>
    <w:rsid w:val="003C6B28"/>
    <w:rsid w:val="00482575"/>
    <w:rsid w:val="004950C2"/>
    <w:rsid w:val="004C6074"/>
    <w:rsid w:val="004F61DB"/>
    <w:rsid w:val="00572AB3"/>
    <w:rsid w:val="005844EF"/>
    <w:rsid w:val="005902A4"/>
    <w:rsid w:val="006608A8"/>
    <w:rsid w:val="006B53FA"/>
    <w:rsid w:val="00753BAE"/>
    <w:rsid w:val="007878BF"/>
    <w:rsid w:val="00787914"/>
    <w:rsid w:val="007A04BC"/>
    <w:rsid w:val="008066AB"/>
    <w:rsid w:val="00875ABD"/>
    <w:rsid w:val="00885D7C"/>
    <w:rsid w:val="008C53C4"/>
    <w:rsid w:val="008E6DAE"/>
    <w:rsid w:val="00946184"/>
    <w:rsid w:val="00987E89"/>
    <w:rsid w:val="009A5027"/>
    <w:rsid w:val="00A325D5"/>
    <w:rsid w:val="00A343F1"/>
    <w:rsid w:val="00AF37F1"/>
    <w:rsid w:val="00B46CD3"/>
    <w:rsid w:val="00C10C88"/>
    <w:rsid w:val="00C738D6"/>
    <w:rsid w:val="00C95C75"/>
    <w:rsid w:val="00CA39D2"/>
    <w:rsid w:val="00D1360C"/>
    <w:rsid w:val="00D5420C"/>
    <w:rsid w:val="00D8029E"/>
    <w:rsid w:val="00DD6093"/>
    <w:rsid w:val="00E144A3"/>
    <w:rsid w:val="00EA2B62"/>
    <w:rsid w:val="00EC5B6D"/>
    <w:rsid w:val="00EF14E5"/>
    <w:rsid w:val="00EF2D61"/>
    <w:rsid w:val="00F80430"/>
    <w:rsid w:val="00FC0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0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6951"/>
    <w:rPr>
      <w:color w:val="808080"/>
    </w:rPr>
  </w:style>
  <w:style w:type="paragraph" w:customStyle="1" w:styleId="A81F602006EA4C16A9F3206BB0D96450">
    <w:name w:val="A81F602006EA4C16A9F3206BB0D96450"/>
    <w:rsid w:val="00DD6093"/>
  </w:style>
  <w:style w:type="paragraph" w:customStyle="1" w:styleId="759BC30D3C1F4056B5956C77E5F08E9F">
    <w:name w:val="759BC30D3C1F4056B5956C77E5F08E9F"/>
    <w:rsid w:val="00DD6093"/>
  </w:style>
  <w:style w:type="paragraph" w:customStyle="1" w:styleId="F1B82404F8FA4860B21733FA70F7B5FC">
    <w:name w:val="F1B82404F8FA4860B21733FA70F7B5FC"/>
    <w:rsid w:val="00DD6093"/>
  </w:style>
  <w:style w:type="paragraph" w:customStyle="1" w:styleId="C1945CF0ED4049C18F4A68F0D792BBEB">
    <w:name w:val="C1945CF0ED4049C18F4A68F0D792BBEB"/>
    <w:rsid w:val="00DD6093"/>
  </w:style>
  <w:style w:type="paragraph" w:customStyle="1" w:styleId="D03C234346724BF78727F2B57D844BFF">
    <w:name w:val="D03C234346724BF78727F2B57D844BFF"/>
    <w:rsid w:val="00DD6093"/>
  </w:style>
  <w:style w:type="paragraph" w:customStyle="1" w:styleId="FF296B929162474DB1A26C89C367C4FC">
    <w:name w:val="FF296B929162474DB1A26C89C367C4FC"/>
    <w:rsid w:val="00DD6093"/>
  </w:style>
  <w:style w:type="paragraph" w:customStyle="1" w:styleId="4E747200787E4E0C91EFDA8465C0B418">
    <w:name w:val="4E747200787E4E0C91EFDA8465C0B418"/>
    <w:rsid w:val="00DD6093"/>
  </w:style>
  <w:style w:type="paragraph" w:customStyle="1" w:styleId="B0B85ABE7B3F434EA51BA9771FBB6931">
    <w:name w:val="B0B85ABE7B3F434EA51BA9771FBB6931"/>
    <w:rsid w:val="00DD6093"/>
  </w:style>
  <w:style w:type="paragraph" w:customStyle="1" w:styleId="91E92CC32A8647FC976FCB879BC11161">
    <w:name w:val="91E92CC32A8647FC976FCB879BC11161"/>
    <w:rsid w:val="00DD6093"/>
  </w:style>
  <w:style w:type="paragraph" w:customStyle="1" w:styleId="3CBB864A9504463080A39DB16F6A8615">
    <w:name w:val="3CBB864A9504463080A39DB16F6A8615"/>
    <w:rsid w:val="00DD6093"/>
  </w:style>
  <w:style w:type="paragraph" w:customStyle="1" w:styleId="CDE79C69F22A480D9D131BF115AF9F60">
    <w:name w:val="CDE79C69F22A480D9D131BF115AF9F60"/>
    <w:rsid w:val="00DD6093"/>
  </w:style>
  <w:style w:type="paragraph" w:customStyle="1" w:styleId="6A6DE978A9E340799322029104930F95">
    <w:name w:val="6A6DE978A9E340799322029104930F95"/>
    <w:rsid w:val="00DD6093"/>
  </w:style>
  <w:style w:type="paragraph" w:customStyle="1" w:styleId="7EC8D7C93170496D8C44606F111D3434">
    <w:name w:val="7EC8D7C93170496D8C44606F111D3434"/>
    <w:rsid w:val="00DD6093"/>
  </w:style>
  <w:style w:type="paragraph" w:customStyle="1" w:styleId="A4B5D8509A9646659B7B7C98D1408844">
    <w:name w:val="A4B5D8509A9646659B7B7C98D1408844"/>
    <w:rsid w:val="00DD6093"/>
  </w:style>
  <w:style w:type="paragraph" w:customStyle="1" w:styleId="4B26DA9EEAD549C69B68B6D8A8528922">
    <w:name w:val="4B26DA9EEAD549C69B68B6D8A8528922"/>
    <w:rsid w:val="00DD6093"/>
  </w:style>
  <w:style w:type="paragraph" w:customStyle="1" w:styleId="D03C234346724BF78727F2B57D844BFF1">
    <w:name w:val="D03C234346724BF78727F2B57D844BFF1"/>
    <w:rsid w:val="00276951"/>
    <w:pPr>
      <w:spacing w:after="0" w:line="240" w:lineRule="auto"/>
    </w:pPr>
    <w:rPr>
      <w:rFonts w:eastAsia="Times New Roman" w:cs="Times New Roman"/>
      <w:sz w:val="24"/>
      <w:szCs w:val="32"/>
      <w:lang w:bidi="en-US"/>
    </w:rPr>
  </w:style>
  <w:style w:type="paragraph" w:customStyle="1" w:styleId="D03C234346724BF78727F2B57D844BFF2">
    <w:name w:val="D03C234346724BF78727F2B57D844BFF2"/>
    <w:rsid w:val="00276951"/>
    <w:pPr>
      <w:spacing w:after="0" w:line="240" w:lineRule="auto"/>
    </w:pPr>
    <w:rPr>
      <w:rFonts w:eastAsia="Times New Roman" w:cs="Times New Roman"/>
      <w:sz w:val="24"/>
      <w:szCs w:val="32"/>
      <w:lang w:bidi="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25D9F-1F28-4D2D-B1E8-44A5CEDB6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100</Pages>
  <Words>45088</Words>
  <Characters>257004</Characters>
  <Application>Microsoft Office Word</Application>
  <DocSecurity>0</DocSecurity>
  <Lines>2141</Lines>
  <Paragraphs>602</Paragraphs>
  <ScaleCrop>false</ScaleCrop>
  <HeadingPairs>
    <vt:vector size="2" baseType="variant">
      <vt:variant>
        <vt:lpstr>Title</vt:lpstr>
      </vt:variant>
      <vt:variant>
        <vt:i4>1</vt:i4>
      </vt:variant>
    </vt:vector>
  </HeadingPairs>
  <TitlesOfParts>
    <vt:vector size="1" baseType="lpstr">
      <vt:lpstr>Doctoral Dissertation Template</vt:lpstr>
    </vt:vector>
  </TitlesOfParts>
  <Company>OU</Company>
  <LinksUpToDate>false</LinksUpToDate>
  <CharactersWithSpaces>301490</CharactersWithSpaces>
  <SharedDoc>false</SharedDoc>
  <HLinks>
    <vt:vector size="108" baseType="variant">
      <vt:variant>
        <vt:i4>5111928</vt:i4>
      </vt:variant>
      <vt:variant>
        <vt:i4>105</vt:i4>
      </vt:variant>
      <vt:variant>
        <vt:i4>0</vt:i4>
      </vt:variant>
      <vt:variant>
        <vt:i4>5</vt:i4>
      </vt:variant>
      <vt:variant>
        <vt:lpwstr>mailto:gradinfo@ou.edu</vt:lpwstr>
      </vt:variant>
      <vt:variant>
        <vt:lpwstr/>
      </vt:variant>
      <vt:variant>
        <vt:i4>3932285</vt:i4>
      </vt:variant>
      <vt:variant>
        <vt:i4>102</vt:i4>
      </vt:variant>
      <vt:variant>
        <vt:i4>0</vt:i4>
      </vt:variant>
      <vt:variant>
        <vt:i4>5</vt:i4>
      </vt:variant>
      <vt:variant>
        <vt:lpwstr>http://gradweb.ou.edu/Current/Masters/ThesisPacket.pdf</vt:lpwstr>
      </vt:variant>
      <vt:variant>
        <vt:lpwstr/>
      </vt:variant>
      <vt:variant>
        <vt:i4>3276849</vt:i4>
      </vt:variant>
      <vt:variant>
        <vt:i4>99</vt:i4>
      </vt:variant>
      <vt:variant>
        <vt:i4>0</vt:i4>
      </vt:variant>
      <vt:variant>
        <vt:i4>5</vt:i4>
      </vt:variant>
      <vt:variant>
        <vt:lpwstr>http://gradweb.ou.edu/</vt:lpwstr>
      </vt:variant>
      <vt:variant>
        <vt:lpwstr/>
      </vt:variant>
      <vt:variant>
        <vt:i4>1179703</vt:i4>
      </vt:variant>
      <vt:variant>
        <vt:i4>92</vt:i4>
      </vt:variant>
      <vt:variant>
        <vt:i4>0</vt:i4>
      </vt:variant>
      <vt:variant>
        <vt:i4>5</vt:i4>
      </vt:variant>
      <vt:variant>
        <vt:lpwstr/>
      </vt:variant>
      <vt:variant>
        <vt:lpwstr>_Toc310605479</vt:lpwstr>
      </vt:variant>
      <vt:variant>
        <vt:i4>1179703</vt:i4>
      </vt:variant>
      <vt:variant>
        <vt:i4>86</vt:i4>
      </vt:variant>
      <vt:variant>
        <vt:i4>0</vt:i4>
      </vt:variant>
      <vt:variant>
        <vt:i4>5</vt:i4>
      </vt:variant>
      <vt:variant>
        <vt:lpwstr/>
      </vt:variant>
      <vt:variant>
        <vt:lpwstr>_Toc310605478</vt:lpwstr>
      </vt:variant>
      <vt:variant>
        <vt:i4>1179703</vt:i4>
      </vt:variant>
      <vt:variant>
        <vt:i4>80</vt:i4>
      </vt:variant>
      <vt:variant>
        <vt:i4>0</vt:i4>
      </vt:variant>
      <vt:variant>
        <vt:i4>5</vt:i4>
      </vt:variant>
      <vt:variant>
        <vt:lpwstr/>
      </vt:variant>
      <vt:variant>
        <vt:lpwstr>_Toc310605477</vt:lpwstr>
      </vt:variant>
      <vt:variant>
        <vt:i4>1179703</vt:i4>
      </vt:variant>
      <vt:variant>
        <vt:i4>74</vt:i4>
      </vt:variant>
      <vt:variant>
        <vt:i4>0</vt:i4>
      </vt:variant>
      <vt:variant>
        <vt:i4>5</vt:i4>
      </vt:variant>
      <vt:variant>
        <vt:lpwstr/>
      </vt:variant>
      <vt:variant>
        <vt:lpwstr>_Toc310605476</vt:lpwstr>
      </vt:variant>
      <vt:variant>
        <vt:i4>1179703</vt:i4>
      </vt:variant>
      <vt:variant>
        <vt:i4>68</vt:i4>
      </vt:variant>
      <vt:variant>
        <vt:i4>0</vt:i4>
      </vt:variant>
      <vt:variant>
        <vt:i4>5</vt:i4>
      </vt:variant>
      <vt:variant>
        <vt:lpwstr/>
      </vt:variant>
      <vt:variant>
        <vt:lpwstr>_Toc310605475</vt:lpwstr>
      </vt:variant>
      <vt:variant>
        <vt:i4>1179703</vt:i4>
      </vt:variant>
      <vt:variant>
        <vt:i4>62</vt:i4>
      </vt:variant>
      <vt:variant>
        <vt:i4>0</vt:i4>
      </vt:variant>
      <vt:variant>
        <vt:i4>5</vt:i4>
      </vt:variant>
      <vt:variant>
        <vt:lpwstr/>
      </vt:variant>
      <vt:variant>
        <vt:lpwstr>_Toc310605474</vt:lpwstr>
      </vt:variant>
      <vt:variant>
        <vt:i4>1179703</vt:i4>
      </vt:variant>
      <vt:variant>
        <vt:i4>56</vt:i4>
      </vt:variant>
      <vt:variant>
        <vt:i4>0</vt:i4>
      </vt:variant>
      <vt:variant>
        <vt:i4>5</vt:i4>
      </vt:variant>
      <vt:variant>
        <vt:lpwstr/>
      </vt:variant>
      <vt:variant>
        <vt:lpwstr>_Toc310605473</vt:lpwstr>
      </vt:variant>
      <vt:variant>
        <vt:i4>1179703</vt:i4>
      </vt:variant>
      <vt:variant>
        <vt:i4>50</vt:i4>
      </vt:variant>
      <vt:variant>
        <vt:i4>0</vt:i4>
      </vt:variant>
      <vt:variant>
        <vt:i4>5</vt:i4>
      </vt:variant>
      <vt:variant>
        <vt:lpwstr/>
      </vt:variant>
      <vt:variant>
        <vt:lpwstr>_Toc310605472</vt:lpwstr>
      </vt:variant>
      <vt:variant>
        <vt:i4>1179703</vt:i4>
      </vt:variant>
      <vt:variant>
        <vt:i4>44</vt:i4>
      </vt:variant>
      <vt:variant>
        <vt:i4>0</vt:i4>
      </vt:variant>
      <vt:variant>
        <vt:i4>5</vt:i4>
      </vt:variant>
      <vt:variant>
        <vt:lpwstr/>
      </vt:variant>
      <vt:variant>
        <vt:lpwstr>_Toc310605471</vt:lpwstr>
      </vt:variant>
      <vt:variant>
        <vt:i4>1179703</vt:i4>
      </vt:variant>
      <vt:variant>
        <vt:i4>38</vt:i4>
      </vt:variant>
      <vt:variant>
        <vt:i4>0</vt:i4>
      </vt:variant>
      <vt:variant>
        <vt:i4>5</vt:i4>
      </vt:variant>
      <vt:variant>
        <vt:lpwstr/>
      </vt:variant>
      <vt:variant>
        <vt:lpwstr>_Toc310605470</vt:lpwstr>
      </vt:variant>
      <vt:variant>
        <vt:i4>1245239</vt:i4>
      </vt:variant>
      <vt:variant>
        <vt:i4>32</vt:i4>
      </vt:variant>
      <vt:variant>
        <vt:i4>0</vt:i4>
      </vt:variant>
      <vt:variant>
        <vt:i4>5</vt:i4>
      </vt:variant>
      <vt:variant>
        <vt:lpwstr/>
      </vt:variant>
      <vt:variant>
        <vt:lpwstr>_Toc310605469</vt:lpwstr>
      </vt:variant>
      <vt:variant>
        <vt:i4>1245239</vt:i4>
      </vt:variant>
      <vt:variant>
        <vt:i4>26</vt:i4>
      </vt:variant>
      <vt:variant>
        <vt:i4>0</vt:i4>
      </vt:variant>
      <vt:variant>
        <vt:i4>5</vt:i4>
      </vt:variant>
      <vt:variant>
        <vt:lpwstr/>
      </vt:variant>
      <vt:variant>
        <vt:lpwstr>_Toc310605468</vt:lpwstr>
      </vt:variant>
      <vt:variant>
        <vt:i4>1245239</vt:i4>
      </vt:variant>
      <vt:variant>
        <vt:i4>20</vt:i4>
      </vt:variant>
      <vt:variant>
        <vt:i4>0</vt:i4>
      </vt:variant>
      <vt:variant>
        <vt:i4>5</vt:i4>
      </vt:variant>
      <vt:variant>
        <vt:lpwstr/>
      </vt:variant>
      <vt:variant>
        <vt:lpwstr>_Toc310605467</vt:lpwstr>
      </vt:variant>
      <vt:variant>
        <vt:i4>1245239</vt:i4>
      </vt:variant>
      <vt:variant>
        <vt:i4>14</vt:i4>
      </vt:variant>
      <vt:variant>
        <vt:i4>0</vt:i4>
      </vt:variant>
      <vt:variant>
        <vt:i4>5</vt:i4>
      </vt:variant>
      <vt:variant>
        <vt:lpwstr/>
      </vt:variant>
      <vt:variant>
        <vt:lpwstr>_Toc310605466</vt:lpwstr>
      </vt:variant>
      <vt:variant>
        <vt:i4>1245239</vt:i4>
      </vt:variant>
      <vt:variant>
        <vt:i4>8</vt:i4>
      </vt:variant>
      <vt:variant>
        <vt:i4>0</vt:i4>
      </vt:variant>
      <vt:variant>
        <vt:i4>5</vt:i4>
      </vt:variant>
      <vt:variant>
        <vt:lpwstr/>
      </vt:variant>
      <vt:variant>
        <vt:lpwstr>_Toc310605465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Doctoral Dissertation Template</dc:title>
  <dc:creator>OU Graduate College</dc:creator>
  <cp:lastModifiedBy>Manish Budhathoki</cp:lastModifiedBy>
  <cp:revision>5</cp:revision>
  <cp:lastPrinted>2015-08-13T17:20:00Z</cp:lastPrinted>
  <dcterms:created xsi:type="dcterms:W3CDTF">2015-08-13T17:19:00Z</dcterms:created>
  <dcterms:modified xsi:type="dcterms:W3CDTF">2015-08-13T17:23:00Z</dcterms:modified>
</cp:coreProperties>
</file>