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044" w:rsidRPr="00CD20B4" w:rsidRDefault="00410044" w:rsidP="00CD20B4">
      <w:pPr>
        <w:jc w:val="center"/>
        <w:rPr>
          <w:rFonts w:asciiTheme="minorHAnsi" w:hAnsiTheme="minorHAnsi" w:cstheme="minorHAnsi"/>
        </w:rPr>
      </w:pPr>
      <w:r w:rsidRPr="00CD20B4">
        <w:rPr>
          <w:rFonts w:asciiTheme="minorHAnsi" w:hAnsiTheme="minorHAnsi" w:cstheme="minorHAnsi"/>
          <w:caps/>
        </w:rPr>
        <w:t>University of Oklahoma</w:t>
      </w: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r w:rsidRPr="00E614FB">
        <w:rPr>
          <w:rFonts w:asciiTheme="minorHAnsi" w:hAnsiTheme="minorHAnsi" w:cstheme="minorHAnsi"/>
          <w:caps/>
        </w:rPr>
        <w:t>Graduate College</w:t>
      </w: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sdt>
      <w:sdtPr>
        <w:rPr>
          <w:rFonts w:asciiTheme="minorHAnsi" w:hAnsiTheme="minorHAnsi" w:cstheme="minorHAnsi"/>
          <w:caps/>
        </w:rPr>
        <w:alias w:val="Click to enter dissertation title"/>
        <w:tag w:val="Click to enter dissertation title"/>
        <w:id w:val="28311864"/>
        <w:lock w:val="sdtLocked"/>
        <w:placeholder>
          <w:docPart w:val="DefaultPlaceholder_22675703"/>
        </w:placeholder>
      </w:sdtPr>
      <w:sdtContent>
        <w:p w:rsidR="00410044" w:rsidRPr="00E614FB" w:rsidRDefault="000F21B4" w:rsidP="00410044">
          <w:pPr>
            <w:spacing w:after="0" w:line="480" w:lineRule="auto"/>
            <w:jc w:val="center"/>
            <w:rPr>
              <w:rFonts w:asciiTheme="minorHAnsi" w:hAnsiTheme="minorHAnsi" w:cstheme="minorHAnsi"/>
              <w:caps/>
            </w:rPr>
          </w:pPr>
          <w:proofErr w:type="gramStart"/>
          <w:r>
            <w:rPr>
              <w:rFonts w:asciiTheme="minorHAnsi" w:hAnsiTheme="minorHAnsi" w:cstheme="minorHAnsi"/>
              <w:caps/>
            </w:rPr>
            <w:t>THE HYDROLOGIC RESPONSES OF SEMIARID WATERSHEDS TO THE CULTIVATION OF SWITCHGRASS (</w:t>
          </w:r>
          <w:r w:rsidRPr="004F44E9">
            <w:rPr>
              <w:rFonts w:asciiTheme="minorHAnsi" w:hAnsiTheme="minorHAnsi" w:cstheme="minorHAnsi"/>
              <w:i/>
              <w:caps/>
            </w:rPr>
            <w:t>PANICUM VIRGATUM</w:t>
          </w:r>
          <w:r>
            <w:rPr>
              <w:rFonts w:asciiTheme="minorHAnsi" w:hAnsiTheme="minorHAnsi" w:cstheme="minorHAnsi"/>
              <w:caps/>
            </w:rPr>
            <w:t xml:space="preserve"> L.)</w:t>
          </w:r>
          <w:proofErr w:type="gramEnd"/>
        </w:p>
      </w:sdtContent>
    </w:sdt>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885CDF" w:rsidP="00410044">
      <w:pPr>
        <w:spacing w:after="0"/>
        <w:jc w:val="center"/>
        <w:rPr>
          <w:rFonts w:asciiTheme="minorHAnsi" w:hAnsiTheme="minorHAnsi" w:cstheme="minorHAnsi"/>
          <w:caps/>
        </w:rPr>
      </w:pPr>
      <w:sdt>
        <w:sdtPr>
          <w:rPr>
            <w:rFonts w:asciiTheme="minorHAnsi" w:hAnsiTheme="minorHAnsi" w:cstheme="minorHAnsi"/>
            <w:caps/>
          </w:rPr>
          <w:id w:val="7592848"/>
          <w:lock w:val="contentLocked"/>
          <w:placeholder>
            <w:docPart w:val="DefaultPlaceholder_22675703"/>
          </w:placeholder>
          <w:group/>
        </w:sdtPr>
        <w:sdtContent>
          <w:sdt>
            <w:sdtPr>
              <w:rPr>
                <w:rFonts w:asciiTheme="minorHAnsi" w:hAnsiTheme="minorHAnsi" w:cstheme="minorHAnsi"/>
                <w:caps/>
              </w:rPr>
              <w:id w:val="7592822"/>
              <w:lock w:val="contentLocked"/>
              <w:placeholder>
                <w:docPart w:val="DefaultPlaceholder_22675703"/>
              </w:placeholder>
              <w:group/>
            </w:sdtPr>
            <w:sdtContent>
              <w:r w:rsidR="00410044" w:rsidRPr="00E614FB">
                <w:rPr>
                  <w:rFonts w:asciiTheme="minorHAnsi" w:hAnsiTheme="minorHAnsi" w:cstheme="minorHAnsi"/>
                  <w:caps/>
                </w:rPr>
                <w:t>A</w:t>
              </w:r>
            </w:sdtContent>
          </w:sdt>
        </w:sdtContent>
      </w:sdt>
      <w:r w:rsidR="00410044" w:rsidRPr="00E614FB">
        <w:rPr>
          <w:rFonts w:asciiTheme="minorHAnsi" w:hAnsiTheme="minorHAnsi" w:cstheme="minorHAnsi"/>
          <w:caps/>
        </w:rPr>
        <w:t xml:space="preserve"> </w:t>
      </w:r>
      <w:sdt>
        <w:sdtPr>
          <w:rPr>
            <w:rFonts w:asciiTheme="minorHAnsi" w:hAnsiTheme="minorHAnsi" w:cstheme="minorHAnsi"/>
            <w:caps/>
          </w:rPr>
          <w:alias w:val="D.M.A. candidates use &quot;document,&quot; all others use &quot;dissertation&quot;"/>
          <w:tag w:val="D.M.A. candidates use &quot;document,&quot; all others use &quot;dissertation&quot;"/>
          <w:id w:val="31407963"/>
          <w:placeholder>
            <w:docPart w:val="DefaultPlaceholder_22675704"/>
          </w:placeholder>
          <w:dropDownList>
            <w:listItem w:displayText="[Dissertation/Document]" w:value="[Dissertation/Document]"/>
            <w:listItem w:displayText="Dissertation" w:value="Dissertation"/>
            <w:listItem w:displayText="Document" w:value="Document"/>
          </w:dropDownList>
        </w:sdtPr>
        <w:sdtContent>
          <w:r w:rsidR="000F21B4">
            <w:rPr>
              <w:rFonts w:asciiTheme="minorHAnsi" w:hAnsiTheme="minorHAnsi" w:cstheme="minorHAnsi"/>
              <w:caps/>
            </w:rPr>
            <w:t>Dissertation</w:t>
          </w:r>
        </w:sdtContent>
      </w:sdt>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r w:rsidRPr="00E614FB">
        <w:rPr>
          <w:rFonts w:asciiTheme="minorHAnsi" w:hAnsiTheme="minorHAnsi" w:cstheme="minorHAnsi"/>
          <w:caps/>
        </w:rPr>
        <w:t>submitted to the graduate faculty</w:t>
      </w: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roofErr w:type="gramStart"/>
      <w:r w:rsidRPr="00E614FB">
        <w:rPr>
          <w:rFonts w:asciiTheme="minorHAnsi" w:hAnsiTheme="minorHAnsi" w:cstheme="minorHAnsi"/>
        </w:rPr>
        <w:t>in</w:t>
      </w:r>
      <w:proofErr w:type="gramEnd"/>
      <w:r w:rsidRPr="00E614FB">
        <w:rPr>
          <w:rFonts w:asciiTheme="minorHAnsi" w:hAnsiTheme="minorHAnsi" w:cstheme="minorHAnsi"/>
        </w:rPr>
        <w:t xml:space="preserve"> partial fulfillment of the re</w:t>
      </w:r>
      <w:r w:rsidR="00E614FB" w:rsidRPr="00E614FB">
        <w:rPr>
          <w:rFonts w:asciiTheme="minorHAnsi" w:hAnsiTheme="minorHAnsi" w:cstheme="minorHAnsi"/>
        </w:rPr>
        <w:t>q</w:t>
      </w:r>
      <w:r w:rsidRPr="00E614FB">
        <w:rPr>
          <w:rFonts w:asciiTheme="minorHAnsi" w:hAnsiTheme="minorHAnsi" w:cstheme="minorHAnsi"/>
        </w:rPr>
        <w:t>uirements for the</w:t>
      </w: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r w:rsidRPr="00E614FB">
        <w:rPr>
          <w:rFonts w:asciiTheme="minorHAnsi" w:hAnsiTheme="minorHAnsi" w:cstheme="minorHAnsi"/>
        </w:rPr>
        <w:t>Degree of</w:t>
      </w:r>
    </w:p>
    <w:p w:rsidR="00410044" w:rsidRPr="00E614FB" w:rsidRDefault="00410044" w:rsidP="00410044">
      <w:pPr>
        <w:spacing w:after="0"/>
        <w:jc w:val="center"/>
        <w:rPr>
          <w:rFonts w:asciiTheme="minorHAnsi" w:hAnsiTheme="minorHAnsi" w:cstheme="minorHAnsi"/>
        </w:rPr>
      </w:pPr>
    </w:p>
    <w:sdt>
      <w:sdtPr>
        <w:rPr>
          <w:rFonts w:cstheme="minorHAnsi"/>
          <w:caps/>
        </w:rPr>
        <w:alias w:val="Select the exact name of your degree"/>
        <w:tag w:val="Exact name of your degree in ALL CAPS"/>
        <w:id w:val="8173860"/>
        <w:placeholder>
          <w:docPart w:val="FFD885F9F97444AA8B23E253B03CC215"/>
        </w:placeholder>
        <w:dropDownList>
          <w:listItem w:displayText="[DOCTOR OF...]" w:value="[DOCTOR OF...]"/>
          <w:listItem w:displayText="Doctor of Education" w:value="Doctor of Education"/>
          <w:listItem w:displayText="Doctor of Musical Arts" w:value="Doctor of Musical Arts"/>
          <w:listItem w:displayText="Doctor of Philosophy" w:value="Doctor of Philosophy"/>
        </w:dropDownList>
      </w:sdtPr>
      <w:sdtContent>
        <w:p w:rsidR="00BA2F37" w:rsidRPr="00E614FB" w:rsidRDefault="000F21B4" w:rsidP="00BA2F37">
          <w:pPr>
            <w:pStyle w:val="NoSpacing"/>
            <w:spacing w:line="480" w:lineRule="auto"/>
            <w:jc w:val="center"/>
            <w:rPr>
              <w:rFonts w:cstheme="minorHAnsi"/>
              <w:caps/>
            </w:rPr>
          </w:pPr>
          <w:r>
            <w:rPr>
              <w:rFonts w:cstheme="minorHAnsi"/>
              <w:caps/>
            </w:rPr>
            <w:t>Doctor of Philosophy</w:t>
          </w:r>
        </w:p>
      </w:sdtContent>
    </w:sdt>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sdt>
      <w:sdtPr>
        <w:rPr>
          <w:rFonts w:asciiTheme="minorHAnsi" w:hAnsiTheme="minorHAnsi" w:cstheme="minorHAnsi"/>
        </w:rPr>
        <w:id w:val="7592847"/>
        <w:lock w:val="contentLocked"/>
        <w:placeholder>
          <w:docPart w:val="DefaultPlaceholder_22675703"/>
        </w:placeholder>
        <w:group/>
      </w:sdtPr>
      <w:sdtContent>
        <w:p w:rsidR="00410044" w:rsidRPr="00E614FB" w:rsidRDefault="00410044" w:rsidP="00410044">
          <w:pPr>
            <w:spacing w:after="0"/>
            <w:jc w:val="center"/>
            <w:rPr>
              <w:rFonts w:asciiTheme="minorHAnsi" w:hAnsiTheme="minorHAnsi" w:cstheme="minorHAnsi"/>
            </w:rPr>
          </w:pPr>
          <w:r w:rsidRPr="00E614FB">
            <w:rPr>
              <w:rFonts w:asciiTheme="minorHAnsi" w:hAnsiTheme="minorHAnsi" w:cstheme="minorHAnsi"/>
            </w:rPr>
            <w:t>By</w:t>
          </w:r>
        </w:p>
      </w:sdtContent>
    </w:sdt>
    <w:p w:rsidR="00410044" w:rsidRPr="00E614FB" w:rsidRDefault="00410044" w:rsidP="00410044">
      <w:pPr>
        <w:spacing w:after="0"/>
        <w:jc w:val="center"/>
        <w:rPr>
          <w:rFonts w:asciiTheme="minorHAnsi" w:hAnsiTheme="minorHAnsi" w:cstheme="minorHAnsi"/>
          <w:caps/>
        </w:rPr>
      </w:pPr>
    </w:p>
    <w:p w:rsidR="00410044" w:rsidRPr="00E614FB" w:rsidRDefault="00885CDF" w:rsidP="00410044">
      <w:pPr>
        <w:spacing w:after="0"/>
        <w:jc w:val="center"/>
        <w:rPr>
          <w:rFonts w:asciiTheme="minorHAnsi" w:hAnsiTheme="minorHAnsi" w:cstheme="minorHAnsi"/>
          <w:caps/>
        </w:rPr>
      </w:pPr>
      <w:sdt>
        <w:sdtPr>
          <w:rPr>
            <w:rFonts w:asciiTheme="minorHAnsi" w:hAnsiTheme="minorHAnsi" w:cstheme="minorHAnsi"/>
            <w:caps/>
          </w:rPr>
          <w:alias w:val="Click to enter your name (must match University records)"/>
          <w:tag w:val="Click to enter your name (must match University records)"/>
          <w:id w:val="28311869"/>
          <w:lock w:val="sdtLocked"/>
          <w:placeholder>
            <w:docPart w:val="DefaultPlaceholder_22675703"/>
          </w:placeholder>
        </w:sdtPr>
        <w:sdtContent>
          <w:r w:rsidR="000F21B4">
            <w:rPr>
              <w:rFonts w:asciiTheme="minorHAnsi" w:hAnsiTheme="minorHAnsi" w:cstheme="minorHAnsi"/>
              <w:caps/>
            </w:rPr>
            <w:t>JUSTIN CHAMOY GOLDSTEIN</w:t>
          </w:r>
        </w:sdtContent>
      </w:sdt>
    </w:p>
    <w:sdt>
      <w:sdtPr>
        <w:rPr>
          <w:rFonts w:asciiTheme="minorHAnsi" w:hAnsiTheme="minorHAnsi" w:cstheme="minorHAnsi"/>
        </w:rPr>
        <w:id w:val="7592846"/>
        <w:lock w:val="contentLocked"/>
        <w:placeholder>
          <w:docPart w:val="DefaultPlaceholder_22675703"/>
        </w:placeholder>
        <w:group/>
      </w:sdtPr>
      <w:sdtContent>
        <w:p w:rsidR="00410044" w:rsidRPr="00E614FB" w:rsidRDefault="00410044" w:rsidP="00410044">
          <w:pPr>
            <w:spacing w:after="0"/>
            <w:jc w:val="center"/>
            <w:rPr>
              <w:rFonts w:asciiTheme="minorHAnsi" w:hAnsiTheme="minorHAnsi" w:cstheme="minorHAnsi"/>
            </w:rPr>
          </w:pPr>
          <w:r w:rsidRPr="00E614FB">
            <w:rPr>
              <w:rFonts w:asciiTheme="minorHAnsi" w:hAnsiTheme="minorHAnsi" w:cstheme="minorHAnsi"/>
            </w:rPr>
            <w:t>Norman, Oklahoma</w:t>
          </w:r>
        </w:p>
      </w:sdtContent>
    </w:sdt>
    <w:sdt>
      <w:sdtPr>
        <w:rPr>
          <w:rFonts w:asciiTheme="minorHAnsi" w:hAnsiTheme="minorHAnsi" w:cstheme="minorHAnsi"/>
        </w:rPr>
        <w:alias w:val="Click to enter the year you are depositing the dissertation"/>
        <w:tag w:val="Click to enter the year you are depositing the dissertation"/>
        <w:id w:val="28311870"/>
        <w:placeholder>
          <w:docPart w:val="DefaultPlaceholder_22675703"/>
        </w:placeholder>
      </w:sdtPr>
      <w:sdtContent>
        <w:p w:rsidR="00410044" w:rsidRPr="00E614FB" w:rsidRDefault="000F21B4" w:rsidP="00286C75">
          <w:pPr>
            <w:spacing w:after="0"/>
            <w:jc w:val="center"/>
            <w:rPr>
              <w:rFonts w:asciiTheme="minorHAnsi" w:hAnsiTheme="minorHAnsi" w:cstheme="minorHAnsi"/>
            </w:rPr>
          </w:pPr>
          <w:r>
            <w:rPr>
              <w:rFonts w:asciiTheme="minorHAnsi" w:hAnsiTheme="minorHAnsi" w:cstheme="minorHAnsi"/>
            </w:rPr>
            <w:t>2013</w:t>
          </w:r>
        </w:p>
      </w:sdtContent>
    </w:sdt>
    <w:p w:rsidR="00410044" w:rsidRPr="00E614FB" w:rsidRDefault="00410044">
      <w:pPr>
        <w:rPr>
          <w:rFonts w:asciiTheme="minorHAnsi" w:hAnsiTheme="minorHAnsi" w:cstheme="minorHAnsi"/>
        </w:rPr>
      </w:pPr>
      <w:r w:rsidRPr="00E614FB">
        <w:rPr>
          <w:rFonts w:asciiTheme="minorHAnsi" w:hAnsiTheme="minorHAnsi" w:cstheme="minorHAnsi"/>
        </w:rPr>
        <w:br w:type="page"/>
      </w:r>
    </w:p>
    <w:p w:rsidR="00410044" w:rsidRPr="00E614FB" w:rsidRDefault="00410044" w:rsidP="00410044">
      <w:pPr>
        <w:spacing w:after="0"/>
        <w:jc w:val="center"/>
        <w:rPr>
          <w:rFonts w:asciiTheme="minorHAnsi" w:hAnsiTheme="minorHAnsi" w:cstheme="minorHAnsi"/>
          <w:caps/>
        </w:rPr>
      </w:pPr>
    </w:p>
    <w:p w:rsidR="00410044" w:rsidRDefault="00410044" w:rsidP="00410044">
      <w:pPr>
        <w:spacing w:after="0"/>
        <w:jc w:val="center"/>
        <w:rPr>
          <w:rFonts w:asciiTheme="minorHAnsi" w:hAnsiTheme="minorHAnsi" w:cstheme="minorHAnsi"/>
          <w:caps/>
        </w:rPr>
      </w:pPr>
    </w:p>
    <w:p w:rsidR="00013381" w:rsidRDefault="00013381" w:rsidP="00410044">
      <w:pPr>
        <w:spacing w:after="0"/>
        <w:jc w:val="center"/>
        <w:rPr>
          <w:rFonts w:asciiTheme="minorHAnsi" w:hAnsiTheme="minorHAnsi" w:cstheme="minorHAnsi"/>
          <w:caps/>
        </w:rPr>
      </w:pPr>
    </w:p>
    <w:p w:rsidR="00013381" w:rsidRPr="00E614FB" w:rsidRDefault="00013381"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sdt>
      <w:sdtPr>
        <w:rPr>
          <w:rFonts w:asciiTheme="minorHAnsi" w:hAnsiTheme="minorHAnsi" w:cstheme="minorHAnsi"/>
          <w:caps/>
        </w:rPr>
        <w:alias w:val="Click to enter dissertation title"/>
        <w:tag w:val="Click to enter dissertation title"/>
        <w:id w:val="28311875"/>
        <w:lock w:val="sdtLocked"/>
        <w:placeholder>
          <w:docPart w:val="DefaultPlaceholder_22675703"/>
        </w:placeholder>
      </w:sdtPr>
      <w:sdtContent>
        <w:p w:rsidR="00410044" w:rsidRPr="00E614FB" w:rsidRDefault="000F21B4" w:rsidP="00410044">
          <w:pPr>
            <w:spacing w:after="0"/>
            <w:jc w:val="center"/>
            <w:rPr>
              <w:rFonts w:asciiTheme="minorHAnsi" w:hAnsiTheme="minorHAnsi" w:cstheme="minorHAnsi"/>
              <w:caps/>
            </w:rPr>
          </w:pPr>
          <w:proofErr w:type="gramStart"/>
          <w:r>
            <w:rPr>
              <w:rFonts w:asciiTheme="minorHAnsi" w:hAnsiTheme="minorHAnsi" w:cstheme="minorHAnsi"/>
              <w:caps/>
            </w:rPr>
            <w:t>THE HYDROLOGIC RESPONSES OF SEMIARID WATERSHEDS TO THE CULTIVATION OF SWITCHGRASS (</w:t>
          </w:r>
          <w:r w:rsidRPr="00632D37">
            <w:rPr>
              <w:rFonts w:asciiTheme="minorHAnsi" w:hAnsiTheme="minorHAnsi" w:cstheme="minorHAnsi"/>
              <w:i/>
              <w:caps/>
            </w:rPr>
            <w:t>PANICUM VIRGATUM L.</w:t>
          </w:r>
          <w:r>
            <w:rPr>
              <w:rFonts w:asciiTheme="minorHAnsi" w:hAnsiTheme="minorHAnsi" w:cstheme="minorHAnsi"/>
              <w:caps/>
            </w:rPr>
            <w:t>)</w:t>
          </w:r>
          <w:proofErr w:type="gramEnd"/>
        </w:p>
      </w:sdtContent>
    </w:sdt>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345F8B" w:rsidRPr="00E614FB" w:rsidRDefault="00410044" w:rsidP="00345F8B">
      <w:pPr>
        <w:spacing w:after="0"/>
        <w:jc w:val="center"/>
        <w:rPr>
          <w:rFonts w:asciiTheme="minorHAnsi" w:hAnsiTheme="minorHAnsi" w:cstheme="minorHAnsi"/>
          <w:caps/>
        </w:rPr>
      </w:pPr>
      <w:r w:rsidRPr="00E614FB">
        <w:rPr>
          <w:rFonts w:asciiTheme="minorHAnsi" w:hAnsiTheme="minorHAnsi" w:cstheme="minorHAnsi"/>
          <w:caps/>
        </w:rPr>
        <w:t xml:space="preserve">A </w:t>
      </w:r>
      <w:sdt>
        <w:sdtPr>
          <w:rPr>
            <w:rFonts w:asciiTheme="minorHAnsi" w:hAnsiTheme="minorHAnsi" w:cstheme="minorHAnsi"/>
            <w:caps/>
          </w:rPr>
          <w:alias w:val="D.M.A. candidates use &quot;document,&quot; all others use &quot;dissertation&quot;"/>
          <w:tag w:val="D.M.A. candidates use &quot;document,&quot; all others use &quot;dissertation&quot;"/>
          <w:id w:val="7592825"/>
          <w:placeholder>
            <w:docPart w:val="DefaultPlaceholder_22675704"/>
          </w:placeholder>
          <w:dropDownList>
            <w:listItem w:displayText="[DISSERTATION/DOCUMENT]" w:value="[DISSERTATION/DOCUMENT]"/>
            <w:listItem w:displayText="Dissertation" w:value="Dissertation"/>
            <w:listItem w:displayText="Document" w:value="Document"/>
          </w:dropDownList>
        </w:sdtPr>
        <w:sdtContent>
          <w:r w:rsidR="00CD20B4">
            <w:rPr>
              <w:rFonts w:asciiTheme="minorHAnsi" w:hAnsiTheme="minorHAnsi" w:cstheme="minorHAnsi"/>
              <w:caps/>
            </w:rPr>
            <w:t>Dissertation</w:t>
          </w:r>
        </w:sdtContent>
      </w:sdt>
      <w:r w:rsidRPr="00E614FB">
        <w:rPr>
          <w:rFonts w:asciiTheme="minorHAnsi" w:hAnsiTheme="minorHAnsi" w:cstheme="minorHAnsi"/>
          <w:caps/>
        </w:rPr>
        <w:t xml:space="preserve"> </w:t>
      </w:r>
      <w:sdt>
        <w:sdtPr>
          <w:rPr>
            <w:rFonts w:asciiTheme="minorHAnsi" w:hAnsiTheme="minorHAnsi" w:cstheme="minorHAnsi"/>
            <w:caps/>
          </w:rPr>
          <w:id w:val="7592826"/>
          <w:lock w:val="contentLocked"/>
          <w:placeholder>
            <w:docPart w:val="DefaultPlaceholder_22675703"/>
          </w:placeholder>
          <w:group/>
        </w:sdtPr>
        <w:sdtContent>
          <w:r w:rsidRPr="00E614FB">
            <w:rPr>
              <w:rFonts w:asciiTheme="minorHAnsi" w:hAnsiTheme="minorHAnsi" w:cstheme="minorHAnsi"/>
              <w:caps/>
            </w:rPr>
            <w:t>approved for the</w:t>
          </w:r>
        </w:sdtContent>
      </w:sdt>
    </w:p>
    <w:sdt>
      <w:sdtPr>
        <w:rPr>
          <w:rFonts w:asciiTheme="minorHAnsi" w:hAnsiTheme="minorHAnsi" w:cstheme="minorHAnsi"/>
          <w:caps/>
        </w:rPr>
        <w:alias w:val="Select the exact name of your academic unit"/>
        <w:tag w:val="Select the exact name of your academic unit"/>
        <w:id w:val="28311811"/>
        <w:placeholder>
          <w:docPart w:val="384EB1281DD84DB6A4A7221152EDBB7C"/>
        </w:placeholder>
        <w:dropDownList>
          <w:listItem w:displayText="[Exact name of your academic unit in all caps]" w:value="[Exact name of your academic unit in all caps]"/>
          <w:listItem w:displayText="School of Aerospace and Mechanical Engineering" w:value="School of Aerospace and Mechanical Engineering"/>
          <w:listItem w:displayText="Department of Anthropology" w:value="Department of Anthropology"/>
          <w:listItem w:displayText="School of Art and Art History" w:value="School of Art and Art History"/>
          <w:listItem w:displayText="Department of Bioengineering" w:value="Department of Bioengineering"/>
          <w:listItem w:displayText="Department of Biology" w:value="Department of Biology"/>
          <w:listItem w:displayText="Michael F. Price College of Business" w:value="Michael F. Price College of Business"/>
          <w:listItem w:displayText="Department of Chemistry and Biochemistry" w:value="Department of Chemistry and Biochemistry"/>
          <w:listItem w:displayText="School of Chemical, Biological and Materials Engineering" w:value="School of Chemical, Biological and Materials Engineering"/>
          <w:listItem w:displayText="School of Civil Engineering and Environmental Science" w:value="School of Civil Engineering and Environmental Science"/>
          <w:listItem w:displayText="Department of Communication" w:value="Department of Communication"/>
          <w:listItem w:displayText="School of Computer Science" w:value="School of Computer Science"/>
          <w:listItem w:displayText="Department of Economics" w:value="Department of Economics"/>
          <w:listItem w:displayText="Department of Educational Leadership and Policy Studies" w:value="Department of Educational Leadership and Policy Studies"/>
          <w:listItem w:displayText="Department of Educational Psychology" w:value="Department of Educational Psychology"/>
          <w:listItem w:displayText="School of Electrical and Computer Engineering" w:value="School of Electrical and Computer Engineering"/>
          <w:listItem w:displayText="Department of Engineering" w:value="Department of Engineering"/>
          <w:listItem w:displayText="Department of Engineering Physics" w:value="Department of Engineering Physics"/>
          <w:listItem w:displayText="Department of English" w:value="Department of English"/>
          <w:listItem w:displayText="Department of Geography and Environmental Sustainability" w:value="Department of Geography and Environmental Sustainability"/>
          <w:listItem w:displayText="ConocoPhillips School of Geology and Geophysics" w:value="ConocoPhillips School of Geology and Geophysics"/>
          <w:listItem w:displayText="Graduate College" w:value="Graduate College"/>
          <w:listItem w:displayText="Department of Health and Exercise Science" w:value="Department of Health and Exercise Science"/>
          <w:listItem w:displayText="Department of History" w:value="Department of History"/>
          <w:listItem w:displayText="Department of History of Science" w:value="Department of History of Science"/>
          <w:listItem w:displayText="School of Industrial and Systems Engineering" w:value="School of Industrial and Systems Engineering"/>
          <w:listItem w:displayText="Department of Instructional Leadership and Academic Curriculum" w:value="Department of Instructional Leadership and Academic Curriculum"/>
          <w:listItem w:displayText="Gaylord College of Journalism and Mass Communication" w:value="Gaylord College of Journalism and Mass Communication"/>
          <w:listItem w:displayText="Department of Mathematics" w:value="Department of Mathematics"/>
          <w:listItem w:displayText="School of Meteorology" w:value="School of Meteorology"/>
          <w:listItem w:displayText="Department of Microbiology and Plant Biology" w:value="Department of Microbiology and Plant Biology"/>
          <w:listItem w:displayText="Department of Modern Languages, Literatures, and Linguistics" w:value="Department of Modern Languages, Literatures, and Linguistics"/>
          <w:listItem w:displayText="School of Music" w:value="School of Music"/>
          <w:listItem w:displayText="Mewbourne School of Petroleum and Geological Engineering" w:value="Mewbourne School of Petroleum and Geological Engineering"/>
          <w:listItem w:displayText="Department of Philosophy" w:value="Department of Philosophy"/>
          <w:listItem w:displayText="Homer L. Dodge Department of Physics and Astronomy" w:value="Homer L. Dodge Department of Physics and Astronomy"/>
          <w:listItem w:displayText="Department of Political Science" w:value="Department of Political Science"/>
          <w:listItem w:displayText="Department of Psychology" w:value="Department of Psychology"/>
          <w:listItem w:displayText="Department of Sociology" w:value="Department of Sociology"/>
        </w:dropDownList>
      </w:sdtPr>
      <w:sdtContent>
        <w:p w:rsidR="00345F8B" w:rsidRPr="00E614FB" w:rsidRDefault="00CD20B4" w:rsidP="00345F8B">
          <w:pPr>
            <w:spacing w:after="0"/>
            <w:jc w:val="center"/>
            <w:rPr>
              <w:rFonts w:asciiTheme="minorHAnsi" w:hAnsiTheme="minorHAnsi" w:cstheme="minorHAnsi"/>
              <w:caps/>
            </w:rPr>
          </w:pPr>
          <w:r>
            <w:rPr>
              <w:rFonts w:asciiTheme="minorHAnsi" w:hAnsiTheme="minorHAnsi" w:cstheme="minorHAnsi"/>
              <w:caps/>
            </w:rPr>
            <w:t>Department of Geography and Environmental Sustainability</w:t>
          </w:r>
        </w:p>
      </w:sdtContent>
    </w:sdt>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sdt>
      <w:sdtPr>
        <w:rPr>
          <w:rFonts w:asciiTheme="minorHAnsi" w:hAnsiTheme="minorHAnsi" w:cstheme="minorHAnsi"/>
          <w:caps/>
        </w:rPr>
        <w:id w:val="7592827"/>
        <w:lock w:val="contentLocked"/>
        <w:placeholder>
          <w:docPart w:val="DefaultPlaceholder_22675703"/>
        </w:placeholder>
        <w:group/>
      </w:sdtPr>
      <w:sdtContent>
        <w:p w:rsidR="00410044" w:rsidRPr="00E614FB" w:rsidRDefault="00410044" w:rsidP="00410044">
          <w:pPr>
            <w:spacing w:after="0"/>
            <w:jc w:val="center"/>
            <w:rPr>
              <w:rFonts w:asciiTheme="minorHAnsi" w:hAnsiTheme="minorHAnsi" w:cstheme="minorHAnsi"/>
              <w:caps/>
            </w:rPr>
          </w:pPr>
          <w:r w:rsidRPr="00E614FB">
            <w:rPr>
              <w:rFonts w:asciiTheme="minorHAnsi" w:hAnsiTheme="minorHAnsi" w:cstheme="minorHAnsi"/>
              <w:caps/>
            </w:rPr>
            <w:t>By</w:t>
          </w:r>
        </w:p>
      </w:sdtContent>
    </w:sdt>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p w:rsidR="00410044" w:rsidRPr="00E614FB" w:rsidRDefault="00410044" w:rsidP="00410044">
      <w:pPr>
        <w:spacing w:after="0"/>
        <w:jc w:val="center"/>
        <w:rPr>
          <w:rFonts w:asciiTheme="minorHAnsi" w:hAnsiTheme="minorHAnsi" w:cstheme="minorHAnsi"/>
          <w:caps/>
        </w:rPr>
      </w:pPr>
    </w:p>
    <w:sdt>
      <w:sdtPr>
        <w:rPr>
          <w:rFonts w:asciiTheme="minorHAnsi" w:hAnsiTheme="minorHAnsi" w:cstheme="minorHAnsi"/>
          <w:caps/>
        </w:rPr>
        <w:id w:val="7592828"/>
        <w:lock w:val="contentLocked"/>
        <w:placeholder>
          <w:docPart w:val="DefaultPlaceholder_22675703"/>
        </w:placeholder>
        <w:group/>
      </w:sdtPr>
      <w:sdtContent>
        <w:p w:rsidR="00410044" w:rsidRPr="00E614FB" w:rsidRDefault="00410044" w:rsidP="00410044">
          <w:pPr>
            <w:spacing w:after="0"/>
            <w:jc w:val="right"/>
            <w:rPr>
              <w:rFonts w:asciiTheme="minorHAnsi" w:hAnsiTheme="minorHAnsi" w:cstheme="minorHAnsi"/>
              <w:caps/>
            </w:rPr>
          </w:pPr>
          <w:r w:rsidRPr="00E614FB">
            <w:rPr>
              <w:rFonts w:asciiTheme="minorHAnsi" w:hAnsiTheme="minorHAnsi" w:cstheme="minorHAnsi"/>
              <w:caps/>
            </w:rPr>
            <w:t>______________________________</w:t>
          </w:r>
        </w:p>
      </w:sdtContent>
    </w:sdt>
    <w:p w:rsidR="00410044" w:rsidRPr="00E614FB" w:rsidRDefault="00885CDF" w:rsidP="00410044">
      <w:pPr>
        <w:spacing w:after="0"/>
        <w:jc w:val="right"/>
        <w:rPr>
          <w:rFonts w:asciiTheme="minorHAnsi" w:hAnsiTheme="minorHAnsi" w:cstheme="minorHAnsi"/>
        </w:rPr>
      </w:pPr>
      <w:sdt>
        <w:sdtPr>
          <w:rPr>
            <w:rFonts w:asciiTheme="minorHAnsi" w:hAnsiTheme="minorHAnsi" w:cstheme="minorHAnsi"/>
          </w:rPr>
          <w:id w:val="7592835"/>
          <w:lock w:val="contentLocked"/>
          <w:placeholder>
            <w:docPart w:val="DefaultPlaceholder_22675703"/>
          </w:placeholder>
          <w:group/>
        </w:sdtPr>
        <w:sdtContent>
          <w:r w:rsidR="00224CAB" w:rsidRPr="00E614FB">
            <w:rPr>
              <w:rFonts w:asciiTheme="minorHAnsi" w:hAnsiTheme="minorHAnsi" w:cstheme="minorHAnsi"/>
            </w:rPr>
            <w:t>Dr.</w:t>
          </w:r>
        </w:sdtContent>
      </w:sdt>
      <w:r w:rsidR="00224CAB" w:rsidRPr="00E614FB">
        <w:rPr>
          <w:rFonts w:asciiTheme="minorHAnsi" w:hAnsiTheme="minorHAnsi" w:cstheme="minorHAnsi"/>
        </w:rPr>
        <w:t xml:space="preserve"> </w:t>
      </w:r>
      <w:sdt>
        <w:sdtPr>
          <w:rPr>
            <w:rFonts w:asciiTheme="minorHAnsi" w:hAnsiTheme="minorHAnsi" w:cstheme="minorHAnsi"/>
          </w:rPr>
          <w:alias w:val="Click to enter committee chair name"/>
          <w:tag w:val="committee chair"/>
          <w:id w:val="28311840"/>
          <w:lock w:val="sdtLocked"/>
          <w:placeholder>
            <w:docPart w:val="DefaultPlaceholder_22675703"/>
          </w:placeholder>
        </w:sdtPr>
        <w:sdtContent>
          <w:r w:rsidR="000F21B4">
            <w:rPr>
              <w:rFonts w:asciiTheme="minorHAnsi" w:hAnsiTheme="minorHAnsi" w:cstheme="minorHAnsi"/>
            </w:rPr>
            <w:t>Aondover Tarhule</w:t>
          </w:r>
        </w:sdtContent>
      </w:sdt>
      <w:sdt>
        <w:sdtPr>
          <w:rPr>
            <w:rFonts w:asciiTheme="minorHAnsi" w:hAnsiTheme="minorHAnsi" w:cstheme="minorHAnsi"/>
          </w:rPr>
          <w:id w:val="7592829"/>
          <w:lock w:val="contentLocked"/>
          <w:placeholder>
            <w:docPart w:val="DefaultPlaceholder_22675703"/>
          </w:placeholder>
          <w:group/>
        </w:sdtPr>
        <w:sdtContent>
          <w:r w:rsidR="00410044" w:rsidRPr="00E614FB">
            <w:rPr>
              <w:rFonts w:asciiTheme="minorHAnsi" w:hAnsiTheme="minorHAnsi" w:cstheme="minorHAnsi"/>
            </w:rPr>
            <w:t>, Chair</w:t>
          </w:r>
        </w:sdtContent>
      </w:sdt>
    </w:p>
    <w:p w:rsidR="00410044" w:rsidRPr="00E614FB" w:rsidRDefault="00410044" w:rsidP="00410044">
      <w:pPr>
        <w:spacing w:after="0"/>
        <w:jc w:val="right"/>
        <w:rPr>
          <w:rFonts w:asciiTheme="minorHAnsi" w:hAnsiTheme="minorHAnsi" w:cstheme="minorHAnsi"/>
        </w:rPr>
      </w:pPr>
    </w:p>
    <w:p w:rsidR="00410044" w:rsidRPr="00E614FB" w:rsidRDefault="00410044" w:rsidP="00410044">
      <w:pPr>
        <w:spacing w:after="0"/>
        <w:jc w:val="right"/>
        <w:rPr>
          <w:rFonts w:asciiTheme="minorHAnsi" w:hAnsiTheme="minorHAnsi" w:cstheme="minorHAnsi"/>
        </w:rPr>
      </w:pPr>
    </w:p>
    <w:sdt>
      <w:sdtPr>
        <w:rPr>
          <w:rFonts w:asciiTheme="minorHAnsi" w:hAnsiTheme="minorHAnsi" w:cstheme="minorHAnsi"/>
        </w:rPr>
        <w:id w:val="7592830"/>
        <w:lock w:val="contentLocked"/>
        <w:placeholder>
          <w:docPart w:val="DefaultPlaceholder_22675703"/>
        </w:placeholder>
        <w:group/>
      </w:sdtPr>
      <w:sdtContent>
        <w:p w:rsidR="00410044" w:rsidRPr="00E614FB" w:rsidRDefault="00410044" w:rsidP="00410044">
          <w:pPr>
            <w:spacing w:after="0"/>
            <w:jc w:val="right"/>
            <w:rPr>
              <w:rFonts w:asciiTheme="minorHAnsi" w:hAnsiTheme="minorHAnsi" w:cstheme="minorHAnsi"/>
            </w:rPr>
          </w:pPr>
          <w:r w:rsidRPr="00E614FB">
            <w:rPr>
              <w:rFonts w:asciiTheme="minorHAnsi" w:hAnsiTheme="minorHAnsi" w:cstheme="minorHAnsi"/>
            </w:rPr>
            <w:t>______________________________</w:t>
          </w:r>
        </w:p>
      </w:sdtContent>
    </w:sdt>
    <w:p w:rsidR="00410044" w:rsidRPr="00E614FB" w:rsidRDefault="00885CDF" w:rsidP="00410044">
      <w:pPr>
        <w:spacing w:after="0"/>
        <w:jc w:val="right"/>
        <w:rPr>
          <w:rFonts w:asciiTheme="minorHAnsi" w:hAnsiTheme="minorHAnsi" w:cstheme="minorHAnsi"/>
        </w:rPr>
      </w:pPr>
      <w:sdt>
        <w:sdtPr>
          <w:rPr>
            <w:rFonts w:asciiTheme="minorHAnsi" w:hAnsiTheme="minorHAnsi" w:cstheme="minorHAnsi"/>
          </w:rPr>
          <w:alias w:val="Select the appropriate prefix"/>
          <w:tag w:val="Prefix"/>
          <w:id w:val="28311845"/>
          <w:placeholder>
            <w:docPart w:val="DefaultPlaceholder_22675704"/>
          </w:placeholder>
          <w:dropDownList>
            <w:listItem w:displayText="[Prefix]" w:value="[Prefix]"/>
            <w:listItem w:displayText="Dr." w:value="Dr."/>
            <w:listItem w:displayText="Mr." w:value="Mr."/>
            <w:listItem w:displayText="Mrs." w:value="Mrs."/>
            <w:listItem w:displayText="Ms." w:value="Ms."/>
          </w:dropDownList>
        </w:sdtPr>
        <w:sdtContent>
          <w:r w:rsidR="000F21B4">
            <w:rPr>
              <w:rFonts w:asciiTheme="minorHAnsi" w:hAnsiTheme="minorHAnsi" w:cstheme="minorHAnsi"/>
            </w:rPr>
            <w:t>Dr.</w:t>
          </w:r>
        </w:sdtContent>
      </w:sdt>
      <w:r w:rsidR="00410044" w:rsidRPr="00E614FB">
        <w:rPr>
          <w:rFonts w:asciiTheme="minorHAnsi" w:hAnsiTheme="minorHAnsi" w:cstheme="minorHAnsi"/>
        </w:rPr>
        <w:t xml:space="preserve"> </w:t>
      </w:r>
      <w:sdt>
        <w:sdtPr>
          <w:rPr>
            <w:rFonts w:asciiTheme="minorHAnsi" w:hAnsiTheme="minorHAnsi" w:cstheme="minorHAnsi"/>
          </w:rPr>
          <w:alias w:val="Click to enter 2nd member name"/>
          <w:tag w:val="2nd member"/>
          <w:id w:val="28311849"/>
          <w:lock w:val="sdtLocked"/>
          <w:placeholder>
            <w:docPart w:val="DefaultPlaceholder_22675703"/>
          </w:placeholder>
        </w:sdtPr>
        <w:sdtContent>
          <w:r w:rsidR="000F21B4">
            <w:rPr>
              <w:rFonts w:asciiTheme="minorHAnsi" w:hAnsiTheme="minorHAnsi" w:cstheme="minorHAnsi"/>
            </w:rPr>
            <w:t>John Greene</w:t>
          </w:r>
        </w:sdtContent>
      </w:sdt>
    </w:p>
    <w:p w:rsidR="00825684" w:rsidRPr="00E614FB" w:rsidRDefault="00825684" w:rsidP="00825684">
      <w:pPr>
        <w:spacing w:after="0"/>
        <w:jc w:val="right"/>
        <w:rPr>
          <w:rFonts w:asciiTheme="minorHAnsi" w:hAnsiTheme="minorHAnsi" w:cstheme="minorHAnsi"/>
        </w:rPr>
      </w:pPr>
    </w:p>
    <w:p w:rsidR="00825684" w:rsidRPr="00E614FB" w:rsidRDefault="00825684" w:rsidP="00825684">
      <w:pPr>
        <w:spacing w:after="0"/>
        <w:jc w:val="right"/>
        <w:rPr>
          <w:rFonts w:asciiTheme="minorHAnsi" w:hAnsiTheme="minorHAnsi" w:cstheme="minorHAnsi"/>
        </w:rPr>
      </w:pPr>
    </w:p>
    <w:sdt>
      <w:sdtPr>
        <w:rPr>
          <w:rFonts w:asciiTheme="minorHAnsi" w:hAnsiTheme="minorHAnsi" w:cstheme="minorHAnsi"/>
        </w:rPr>
        <w:id w:val="7592831"/>
        <w:lock w:val="contentLocked"/>
        <w:placeholder>
          <w:docPart w:val="DefaultPlaceholder_22675703"/>
        </w:placeholder>
        <w:group/>
      </w:sdtPr>
      <w:sdtContent>
        <w:p w:rsidR="00825684" w:rsidRPr="00E614FB" w:rsidRDefault="00825684" w:rsidP="00825684">
          <w:pPr>
            <w:spacing w:after="0"/>
            <w:jc w:val="right"/>
            <w:rPr>
              <w:rFonts w:asciiTheme="minorHAnsi" w:hAnsiTheme="minorHAnsi" w:cstheme="minorHAnsi"/>
            </w:rPr>
          </w:pPr>
          <w:r w:rsidRPr="00E614FB">
            <w:rPr>
              <w:rFonts w:asciiTheme="minorHAnsi" w:hAnsiTheme="minorHAnsi" w:cstheme="minorHAnsi"/>
            </w:rPr>
            <w:t>______________________________</w:t>
          </w:r>
        </w:p>
      </w:sdtContent>
    </w:sdt>
    <w:p w:rsidR="00825684" w:rsidRPr="00E614FB" w:rsidRDefault="00885CDF" w:rsidP="00825684">
      <w:pPr>
        <w:spacing w:after="0"/>
        <w:jc w:val="right"/>
        <w:rPr>
          <w:rFonts w:asciiTheme="minorHAnsi" w:hAnsiTheme="minorHAnsi" w:cstheme="minorHAnsi"/>
        </w:rPr>
      </w:pPr>
      <w:sdt>
        <w:sdtPr>
          <w:rPr>
            <w:rFonts w:asciiTheme="minorHAnsi" w:hAnsiTheme="minorHAnsi" w:cstheme="minorHAnsi"/>
          </w:rPr>
          <w:alias w:val="Select the appropriate prefix"/>
          <w:tag w:val="Prefix"/>
          <w:id w:val="28311857"/>
          <w:placeholder>
            <w:docPart w:val="5012952D2F334927B97B3ABCDDF5CA5D"/>
          </w:placeholder>
          <w:dropDownList>
            <w:listItem w:displayText="[Prefix]" w:value="[Prefix]"/>
            <w:listItem w:displayText="Dr." w:value="Dr."/>
            <w:listItem w:displayText="Mr." w:value="Mr."/>
            <w:listItem w:displayText="Mrs." w:value="Mrs."/>
            <w:listItem w:displayText="Ms." w:value="Ms."/>
          </w:dropDownList>
        </w:sdtPr>
        <w:sdtContent>
          <w:r w:rsidR="000F21B4">
            <w:rPr>
              <w:rFonts w:asciiTheme="minorHAnsi" w:hAnsiTheme="minorHAnsi" w:cstheme="minorHAnsi"/>
            </w:rPr>
            <w:t>Dr.</w:t>
          </w:r>
        </w:sdtContent>
      </w:sdt>
      <w:r w:rsidR="00825684" w:rsidRPr="00E614FB">
        <w:rPr>
          <w:rFonts w:asciiTheme="minorHAnsi" w:hAnsiTheme="minorHAnsi" w:cstheme="minorHAnsi"/>
        </w:rPr>
        <w:t xml:space="preserve"> </w:t>
      </w:r>
      <w:sdt>
        <w:sdtPr>
          <w:rPr>
            <w:rFonts w:asciiTheme="minorHAnsi" w:hAnsiTheme="minorHAnsi" w:cstheme="minorHAnsi"/>
          </w:rPr>
          <w:alias w:val="Click to enter 3rd member name"/>
          <w:tag w:val="3rd member"/>
          <w:id w:val="28311858"/>
          <w:placeholder>
            <w:docPart w:val="5FAB1FB5E15348DABA0AA160ACC9FF74"/>
          </w:placeholder>
        </w:sdtPr>
        <w:sdtContent>
          <w:r w:rsidR="000F21B4">
            <w:rPr>
              <w:rFonts w:asciiTheme="minorHAnsi" w:hAnsiTheme="minorHAnsi" w:cstheme="minorHAnsi"/>
            </w:rPr>
            <w:t>Bruce Hoagland</w:t>
          </w:r>
        </w:sdtContent>
      </w:sdt>
    </w:p>
    <w:p w:rsidR="00825684" w:rsidRPr="00E614FB" w:rsidRDefault="00825684" w:rsidP="00825684">
      <w:pPr>
        <w:spacing w:after="0"/>
        <w:jc w:val="right"/>
        <w:rPr>
          <w:rFonts w:asciiTheme="minorHAnsi" w:hAnsiTheme="minorHAnsi" w:cstheme="minorHAnsi"/>
        </w:rPr>
      </w:pPr>
    </w:p>
    <w:p w:rsidR="00825684" w:rsidRPr="00E614FB" w:rsidRDefault="00825684" w:rsidP="00825684">
      <w:pPr>
        <w:spacing w:after="0"/>
        <w:jc w:val="right"/>
        <w:rPr>
          <w:rFonts w:asciiTheme="minorHAnsi" w:hAnsiTheme="minorHAnsi" w:cstheme="minorHAnsi"/>
        </w:rPr>
      </w:pPr>
    </w:p>
    <w:sdt>
      <w:sdtPr>
        <w:rPr>
          <w:rFonts w:asciiTheme="minorHAnsi" w:hAnsiTheme="minorHAnsi" w:cstheme="minorHAnsi"/>
        </w:rPr>
        <w:id w:val="7592832"/>
        <w:lock w:val="contentLocked"/>
        <w:placeholder>
          <w:docPart w:val="DefaultPlaceholder_22675703"/>
        </w:placeholder>
        <w:group/>
      </w:sdtPr>
      <w:sdtContent>
        <w:p w:rsidR="00825684" w:rsidRPr="00E614FB" w:rsidRDefault="00825684" w:rsidP="00825684">
          <w:pPr>
            <w:spacing w:after="0"/>
            <w:jc w:val="right"/>
            <w:rPr>
              <w:rFonts w:asciiTheme="minorHAnsi" w:hAnsiTheme="minorHAnsi" w:cstheme="minorHAnsi"/>
            </w:rPr>
          </w:pPr>
          <w:r w:rsidRPr="00E614FB">
            <w:rPr>
              <w:rFonts w:asciiTheme="minorHAnsi" w:hAnsiTheme="minorHAnsi" w:cstheme="minorHAnsi"/>
            </w:rPr>
            <w:t>______________________________</w:t>
          </w:r>
        </w:p>
      </w:sdtContent>
    </w:sdt>
    <w:p w:rsidR="00825684" w:rsidRPr="00E614FB" w:rsidRDefault="00885CDF" w:rsidP="00825684">
      <w:pPr>
        <w:spacing w:after="0"/>
        <w:jc w:val="right"/>
        <w:rPr>
          <w:rFonts w:asciiTheme="minorHAnsi" w:hAnsiTheme="minorHAnsi" w:cstheme="minorHAnsi"/>
        </w:rPr>
      </w:pPr>
      <w:sdt>
        <w:sdtPr>
          <w:rPr>
            <w:rFonts w:asciiTheme="minorHAnsi" w:hAnsiTheme="minorHAnsi" w:cstheme="minorHAnsi"/>
          </w:rPr>
          <w:alias w:val="Select the appropriate prefix"/>
          <w:tag w:val="Prefix"/>
          <w:id w:val="28311859"/>
          <w:placeholder>
            <w:docPart w:val="2613775B354B424AB754EC5C5EDF9F93"/>
          </w:placeholder>
          <w:dropDownList>
            <w:listItem w:displayText="[Prefix]" w:value="[Prefix]"/>
            <w:listItem w:displayText="Dr." w:value="Dr."/>
            <w:listItem w:displayText="Mr." w:value="Mr."/>
            <w:listItem w:displayText="Mrs." w:value="Mrs."/>
            <w:listItem w:displayText="Ms." w:value="Ms."/>
          </w:dropDownList>
        </w:sdtPr>
        <w:sdtContent>
          <w:r w:rsidR="000F21B4">
            <w:rPr>
              <w:rFonts w:asciiTheme="minorHAnsi" w:hAnsiTheme="minorHAnsi" w:cstheme="minorHAnsi"/>
            </w:rPr>
            <w:t>Dr.</w:t>
          </w:r>
        </w:sdtContent>
      </w:sdt>
      <w:r w:rsidR="00825684" w:rsidRPr="00E614FB">
        <w:rPr>
          <w:rFonts w:asciiTheme="minorHAnsi" w:hAnsiTheme="minorHAnsi" w:cstheme="minorHAnsi"/>
        </w:rPr>
        <w:t xml:space="preserve"> </w:t>
      </w:r>
      <w:sdt>
        <w:sdtPr>
          <w:rPr>
            <w:rFonts w:asciiTheme="minorHAnsi" w:hAnsiTheme="minorHAnsi" w:cstheme="minorHAnsi"/>
          </w:rPr>
          <w:alias w:val="Click to enter 4th member name"/>
          <w:tag w:val="4th member"/>
          <w:id w:val="28311860"/>
          <w:placeholder>
            <w:docPart w:val="7A19CBBEBA334B5EB6066CBA073C5C45"/>
          </w:placeholder>
        </w:sdtPr>
        <w:sdtContent>
          <w:r w:rsidR="000F21B4">
            <w:rPr>
              <w:rFonts w:asciiTheme="minorHAnsi" w:hAnsiTheme="minorHAnsi" w:cstheme="minorHAnsi"/>
            </w:rPr>
            <w:t>Jason Julian</w:t>
          </w:r>
        </w:sdtContent>
      </w:sdt>
    </w:p>
    <w:p w:rsidR="00825684" w:rsidRPr="00E614FB" w:rsidRDefault="00825684" w:rsidP="00825684">
      <w:pPr>
        <w:spacing w:after="0"/>
        <w:jc w:val="right"/>
        <w:rPr>
          <w:rFonts w:asciiTheme="minorHAnsi" w:hAnsiTheme="minorHAnsi" w:cstheme="minorHAnsi"/>
        </w:rPr>
      </w:pPr>
    </w:p>
    <w:p w:rsidR="00825684" w:rsidRPr="00E614FB" w:rsidRDefault="00825684" w:rsidP="00825684">
      <w:pPr>
        <w:spacing w:after="0"/>
        <w:jc w:val="right"/>
        <w:rPr>
          <w:rFonts w:asciiTheme="minorHAnsi" w:hAnsiTheme="minorHAnsi" w:cstheme="minorHAnsi"/>
        </w:rPr>
      </w:pPr>
    </w:p>
    <w:sdt>
      <w:sdtPr>
        <w:rPr>
          <w:rFonts w:asciiTheme="minorHAnsi" w:hAnsiTheme="minorHAnsi" w:cstheme="minorHAnsi"/>
        </w:rPr>
        <w:id w:val="7592833"/>
        <w:lock w:val="contentLocked"/>
        <w:placeholder>
          <w:docPart w:val="DefaultPlaceholder_22675703"/>
        </w:placeholder>
        <w:group/>
      </w:sdtPr>
      <w:sdtContent>
        <w:p w:rsidR="00825684" w:rsidRPr="00E614FB" w:rsidRDefault="00825684" w:rsidP="00825684">
          <w:pPr>
            <w:spacing w:after="0"/>
            <w:jc w:val="right"/>
            <w:rPr>
              <w:rFonts w:asciiTheme="minorHAnsi" w:hAnsiTheme="minorHAnsi" w:cstheme="minorHAnsi"/>
            </w:rPr>
          </w:pPr>
          <w:r w:rsidRPr="00E614FB">
            <w:rPr>
              <w:rFonts w:asciiTheme="minorHAnsi" w:hAnsiTheme="minorHAnsi" w:cstheme="minorHAnsi"/>
            </w:rPr>
            <w:t>______________________________</w:t>
          </w:r>
        </w:p>
      </w:sdtContent>
    </w:sdt>
    <w:p w:rsidR="00825684" w:rsidRPr="00E614FB" w:rsidRDefault="00885CDF" w:rsidP="00825684">
      <w:pPr>
        <w:spacing w:after="0"/>
        <w:jc w:val="right"/>
        <w:rPr>
          <w:rFonts w:asciiTheme="minorHAnsi" w:hAnsiTheme="minorHAnsi" w:cstheme="minorHAnsi"/>
        </w:rPr>
      </w:pPr>
      <w:sdt>
        <w:sdtPr>
          <w:rPr>
            <w:rFonts w:asciiTheme="minorHAnsi" w:hAnsiTheme="minorHAnsi" w:cstheme="minorHAnsi"/>
          </w:rPr>
          <w:alias w:val="Select the appropriate prefix"/>
          <w:tag w:val="Prefix"/>
          <w:id w:val="28311861"/>
          <w:placeholder>
            <w:docPart w:val="40DEB334B1214EAB8BECEA2C35410828"/>
          </w:placeholder>
          <w:dropDownList>
            <w:listItem w:displayText="[Prefix]" w:value="[Prefix]"/>
            <w:listItem w:displayText="Dr." w:value="Dr."/>
            <w:listItem w:displayText="Mr." w:value="Mr."/>
            <w:listItem w:displayText="Mrs." w:value="Mrs."/>
            <w:listItem w:displayText="Ms." w:value="Ms."/>
          </w:dropDownList>
        </w:sdtPr>
        <w:sdtContent>
          <w:r w:rsidR="000F21B4">
            <w:rPr>
              <w:rFonts w:asciiTheme="minorHAnsi" w:hAnsiTheme="minorHAnsi" w:cstheme="minorHAnsi"/>
            </w:rPr>
            <w:t>Dr.</w:t>
          </w:r>
        </w:sdtContent>
      </w:sdt>
      <w:r w:rsidR="00825684" w:rsidRPr="00E614FB">
        <w:rPr>
          <w:rFonts w:asciiTheme="minorHAnsi" w:hAnsiTheme="minorHAnsi" w:cstheme="minorHAnsi"/>
        </w:rPr>
        <w:t xml:space="preserve"> </w:t>
      </w:r>
      <w:sdt>
        <w:sdtPr>
          <w:rPr>
            <w:rFonts w:asciiTheme="minorHAnsi" w:hAnsiTheme="minorHAnsi" w:cstheme="minorHAnsi"/>
          </w:rPr>
          <w:alias w:val="Click to enter 5th member name"/>
          <w:tag w:val="5th member"/>
          <w:id w:val="28311862"/>
          <w:placeholder>
            <w:docPart w:val="F4E1D8E92F2F42A49593A2DCA94FDE4B"/>
          </w:placeholder>
        </w:sdtPr>
        <w:sdtContent>
          <w:r w:rsidR="00CD20B4">
            <w:rPr>
              <w:rFonts w:asciiTheme="minorHAnsi" w:hAnsiTheme="minorHAnsi" w:cstheme="minorHAnsi"/>
            </w:rPr>
            <w:t>Yang Hong</w:t>
          </w:r>
        </w:sdtContent>
      </w:sdt>
    </w:p>
    <w:p w:rsidR="00224CAB" w:rsidRPr="00E614FB" w:rsidRDefault="00224CAB" w:rsidP="00224CAB">
      <w:pPr>
        <w:spacing w:after="0"/>
        <w:jc w:val="right"/>
        <w:rPr>
          <w:rFonts w:asciiTheme="minorHAnsi" w:hAnsiTheme="minorHAnsi" w:cstheme="minorHAnsi"/>
        </w:rPr>
      </w:pPr>
    </w:p>
    <w:p w:rsidR="00224CAB" w:rsidRPr="00E614FB" w:rsidRDefault="00224CAB" w:rsidP="00224CAB">
      <w:pPr>
        <w:spacing w:after="0"/>
        <w:jc w:val="right"/>
        <w:rPr>
          <w:rFonts w:asciiTheme="minorHAnsi" w:hAnsiTheme="minorHAnsi" w:cstheme="minorHAnsi"/>
        </w:rPr>
      </w:pPr>
    </w:p>
    <w:p w:rsidR="00224CAB" w:rsidRPr="00E614FB" w:rsidRDefault="00224CAB" w:rsidP="00224CAB">
      <w:pPr>
        <w:spacing w:after="0"/>
        <w:jc w:val="right"/>
        <w:rPr>
          <w:rFonts w:asciiTheme="minorHAnsi" w:hAnsiTheme="minorHAnsi" w:cstheme="minorHAnsi"/>
        </w:rPr>
      </w:pPr>
    </w:p>
    <w:p w:rsidR="00410044" w:rsidRPr="00E614FB" w:rsidRDefault="00410044">
      <w:pPr>
        <w:rPr>
          <w:rFonts w:asciiTheme="minorHAnsi" w:hAnsiTheme="minorHAnsi" w:cstheme="minorHAnsi"/>
        </w:rPr>
      </w:pPr>
      <w:r w:rsidRPr="00E614FB">
        <w:rPr>
          <w:rFonts w:asciiTheme="minorHAnsi" w:hAnsiTheme="minorHAnsi" w:cstheme="minorHAnsi"/>
        </w:rPr>
        <w:br w:type="page"/>
      </w: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410044" w:rsidP="00410044">
      <w:pPr>
        <w:spacing w:after="0"/>
        <w:jc w:val="center"/>
        <w:rPr>
          <w:rFonts w:asciiTheme="minorHAnsi" w:hAnsiTheme="minorHAnsi" w:cstheme="minorHAnsi"/>
        </w:rPr>
      </w:pPr>
    </w:p>
    <w:p w:rsidR="00410044" w:rsidRPr="00E614FB" w:rsidRDefault="00885CDF" w:rsidP="00410044">
      <w:pPr>
        <w:spacing w:after="0"/>
        <w:jc w:val="center"/>
        <w:rPr>
          <w:rFonts w:asciiTheme="minorHAnsi" w:hAnsiTheme="minorHAnsi" w:cstheme="minorHAnsi"/>
        </w:rPr>
      </w:pPr>
      <w:sdt>
        <w:sdtPr>
          <w:rPr>
            <w:rFonts w:asciiTheme="minorHAnsi" w:hAnsiTheme="minorHAnsi" w:cstheme="minorHAnsi"/>
          </w:rPr>
          <w:id w:val="7592836"/>
          <w:lock w:val="contentLocked"/>
          <w:placeholder>
            <w:docPart w:val="DefaultPlaceholder_22675703"/>
          </w:placeholder>
          <w:group/>
        </w:sdtPr>
        <w:sdtContent>
          <w:r w:rsidR="00410044" w:rsidRPr="00E614FB">
            <w:rPr>
              <w:rFonts w:asciiTheme="minorHAnsi" w:hAnsiTheme="minorHAnsi" w:cstheme="minorHAnsi"/>
            </w:rPr>
            <w:t>© Copyright by</w:t>
          </w:r>
        </w:sdtContent>
      </w:sdt>
      <w:r w:rsidR="00410044" w:rsidRPr="00E614FB">
        <w:rPr>
          <w:rFonts w:asciiTheme="minorHAnsi" w:hAnsiTheme="minorHAnsi" w:cstheme="minorHAnsi"/>
        </w:rPr>
        <w:t xml:space="preserve"> </w:t>
      </w:r>
      <w:sdt>
        <w:sdtPr>
          <w:rPr>
            <w:rFonts w:asciiTheme="minorHAnsi" w:hAnsiTheme="minorHAnsi" w:cstheme="minorHAnsi"/>
            <w:caps/>
          </w:rPr>
          <w:alias w:val="Click to enter your name (must match University records)"/>
          <w:tag w:val="Click to enter your name (must match University records)"/>
          <w:id w:val="28311881"/>
          <w:lock w:val="sdtLocked"/>
          <w:placeholder>
            <w:docPart w:val="DefaultPlaceholder_22675703"/>
          </w:placeholder>
        </w:sdtPr>
        <w:sdtContent>
          <w:r w:rsidR="00CD20B4">
            <w:rPr>
              <w:rFonts w:asciiTheme="minorHAnsi" w:hAnsiTheme="minorHAnsi" w:cstheme="minorHAnsi"/>
              <w:caps/>
            </w:rPr>
            <w:t>Justin chamoy goldstein</w:t>
          </w:r>
        </w:sdtContent>
      </w:sdt>
      <w:r w:rsidR="00410044" w:rsidRPr="00E614FB">
        <w:rPr>
          <w:rFonts w:asciiTheme="minorHAnsi" w:hAnsiTheme="minorHAnsi" w:cstheme="minorHAnsi"/>
        </w:rPr>
        <w:t xml:space="preserve"> </w:t>
      </w:r>
      <w:sdt>
        <w:sdtPr>
          <w:rPr>
            <w:rFonts w:asciiTheme="minorHAnsi" w:hAnsiTheme="minorHAnsi" w:cstheme="minorHAnsi"/>
          </w:rPr>
          <w:alias w:val="Click to enter the year you are depositing the dissertation"/>
          <w:tag w:val="Click to enter the year you are depositing the dissertation"/>
          <w:id w:val="28311882"/>
          <w:lock w:val="sdtLocked"/>
          <w:placeholder>
            <w:docPart w:val="DefaultPlaceholder_22675703"/>
          </w:placeholder>
        </w:sdtPr>
        <w:sdtContent>
          <w:r w:rsidR="00CD20B4">
            <w:rPr>
              <w:rFonts w:asciiTheme="minorHAnsi" w:hAnsiTheme="minorHAnsi" w:cstheme="minorHAnsi"/>
            </w:rPr>
            <w:t>2013</w:t>
          </w:r>
        </w:sdtContent>
      </w:sdt>
    </w:p>
    <w:p w:rsidR="00410044" w:rsidRPr="00E614FB" w:rsidRDefault="00410044" w:rsidP="00410044">
      <w:pPr>
        <w:spacing w:after="0"/>
        <w:jc w:val="center"/>
        <w:rPr>
          <w:rFonts w:asciiTheme="minorHAnsi" w:hAnsiTheme="minorHAnsi" w:cstheme="minorHAnsi"/>
        </w:rPr>
      </w:pPr>
      <w:r w:rsidRPr="00E614FB">
        <w:rPr>
          <w:rFonts w:asciiTheme="minorHAnsi" w:hAnsiTheme="minorHAnsi" w:cstheme="minorHAnsi"/>
        </w:rPr>
        <w:t>All Rights Reserved.</w:t>
      </w:r>
    </w:p>
    <w:p w:rsidR="000C7091" w:rsidRDefault="000C7091">
      <w:pPr>
        <w:rPr>
          <w:rFonts w:asciiTheme="minorHAnsi" w:hAnsiTheme="minorHAnsi" w:cstheme="minorHAnsi"/>
        </w:rPr>
      </w:pPr>
    </w:p>
    <w:p w:rsidR="007868F4" w:rsidRDefault="007868F4">
      <w:pPr>
        <w:rPr>
          <w:rFonts w:asciiTheme="minorHAnsi" w:hAnsiTheme="minorHAnsi" w:cstheme="minorHAnsi"/>
        </w:rPr>
        <w:sectPr w:rsidR="007868F4" w:rsidSect="004750FF">
          <w:footerReference w:type="default" r:id="rId9"/>
          <w:footnotePr>
            <w:numFmt w:val="chicago"/>
          </w:footnotePr>
          <w:pgSz w:w="12240" w:h="15840"/>
          <w:pgMar w:top="1440" w:right="1440" w:bottom="1440" w:left="2304" w:header="720" w:footer="720" w:gutter="0"/>
          <w:pgNumType w:fmt="lowerRoman" w:start="1"/>
          <w:cols w:space="720"/>
          <w:docGrid w:linePitch="360"/>
        </w:sectPr>
      </w:pPr>
    </w:p>
    <w:p w:rsidR="00CD20B4" w:rsidRPr="00AA75E2" w:rsidRDefault="00AA75E2" w:rsidP="0053279C">
      <w:pPr>
        <w:pStyle w:val="Heading1"/>
        <w:jc w:val="center"/>
        <w:rPr>
          <w:sz w:val="24"/>
          <w:szCs w:val="24"/>
        </w:rPr>
      </w:pPr>
      <w:bookmarkStart w:id="0" w:name="_Toc364501611"/>
      <w:bookmarkStart w:id="1" w:name="_Toc368046143"/>
      <w:r>
        <w:rPr>
          <w:sz w:val="24"/>
          <w:szCs w:val="24"/>
        </w:rPr>
        <w:lastRenderedPageBreak/>
        <w:t>Acknowledgements</w:t>
      </w:r>
      <w:bookmarkEnd w:id="0"/>
      <w:bookmarkEnd w:id="1"/>
    </w:p>
    <w:p w:rsidR="004706BF" w:rsidRDefault="00A003A7" w:rsidP="00CD20B4">
      <w:pPr>
        <w:spacing w:line="480" w:lineRule="auto"/>
      </w:pPr>
      <w:r>
        <w:t xml:space="preserve">     </w:t>
      </w:r>
      <w:r w:rsidR="004706BF">
        <w:t xml:space="preserve">I am grateful to G-d Almighty for providing the ability to research and to write a dissertation.  </w:t>
      </w:r>
    </w:p>
    <w:p w:rsidR="00CD20B4" w:rsidRDefault="004706BF" w:rsidP="00CD20B4">
      <w:pPr>
        <w:spacing w:line="480" w:lineRule="auto"/>
      </w:pPr>
      <w:r>
        <w:t xml:space="preserve">     </w:t>
      </w:r>
      <w:r w:rsidR="0011676D">
        <w:t>I thank many individuals whose academic knowledge and support</w:t>
      </w:r>
      <w:r w:rsidR="00CD20B4">
        <w:t xml:space="preserve"> </w:t>
      </w:r>
      <w:r w:rsidR="0011676D">
        <w:t>allowed</w:t>
      </w:r>
      <w:r w:rsidR="00CD20B4">
        <w:t xml:space="preserve"> me to complete and defend this dissertation.  I am grateful to my advisor</w:t>
      </w:r>
      <w:r w:rsidR="00A003A7">
        <w:t xml:space="preserve">, </w:t>
      </w:r>
      <w:r w:rsidR="00CD20B4">
        <w:rPr>
          <w:i/>
        </w:rPr>
        <w:t>Aondover Tarhule</w:t>
      </w:r>
      <w:r w:rsidR="00CD20B4">
        <w:t>,</w:t>
      </w:r>
      <w:r w:rsidR="004C2D48">
        <w:t xml:space="preserve"> for his scholarly input, mentorship, and instruction for tackling</w:t>
      </w:r>
      <w:r w:rsidR="00CD20B4">
        <w:t xml:space="preserve"> the inevitable “crises” that emerge during one’s doctoral research.  </w:t>
      </w:r>
      <w:r w:rsidR="004C2D48">
        <w:t>He always</w:t>
      </w:r>
      <w:r w:rsidR="00CD20B4">
        <w:t xml:space="preserve"> kept me calm, relaxed, and optimistic about the future of the research.  Despite Dr. Tarhule’s extremely busy </w:t>
      </w:r>
      <w:r w:rsidR="004C2D48">
        <w:t>schedule</w:t>
      </w:r>
      <w:r w:rsidR="00CD20B4">
        <w:t xml:space="preserve">, he always kept his door open for my frequent visits, a fact that is emblematic of true </w:t>
      </w:r>
      <w:r w:rsidR="004149D0">
        <w:t>mentor</w:t>
      </w:r>
      <w:r w:rsidR="00CD20B4">
        <w:t>-</w:t>
      </w:r>
      <w:r w:rsidR="004149D0">
        <w:t>student</w:t>
      </w:r>
      <w:r w:rsidR="00CD20B4">
        <w:t xml:space="preserve"> relationship for which I am very grateful.  </w:t>
      </w:r>
      <w:r w:rsidR="004C2D48">
        <w:t>I am also grateful to t</w:t>
      </w:r>
      <w:r w:rsidR="00CD20B4">
        <w:t xml:space="preserve">he </w:t>
      </w:r>
      <w:r w:rsidR="000807FB">
        <w:t>other committee members</w:t>
      </w:r>
      <w:r w:rsidR="00CD20B4">
        <w:t xml:space="preserve">, consisting of Professors </w:t>
      </w:r>
      <w:r w:rsidR="00634BBB">
        <w:rPr>
          <w:i/>
        </w:rPr>
        <w:t xml:space="preserve">John </w:t>
      </w:r>
      <w:r w:rsidR="00CD20B4">
        <w:rPr>
          <w:i/>
        </w:rPr>
        <w:t>Greene, Bruce Hoagland, Jason Julian</w:t>
      </w:r>
      <w:r w:rsidR="00CD20B4">
        <w:t xml:space="preserve"> (OU Department of Geography and Environmental Sustainability) and </w:t>
      </w:r>
      <w:r w:rsidR="00CD20B4">
        <w:rPr>
          <w:i/>
        </w:rPr>
        <w:t>Yang Hong</w:t>
      </w:r>
      <w:r w:rsidR="00CD20B4">
        <w:t xml:space="preserve"> (OU School of Civil Enginee</w:t>
      </w:r>
      <w:r w:rsidR="004C2D48">
        <w:t xml:space="preserve">ring and Environmental Science), for providing excellent scholarly </w:t>
      </w:r>
      <w:r w:rsidR="00FC3D5F">
        <w:t xml:space="preserve">input and </w:t>
      </w:r>
      <w:r w:rsidR="004C2D48">
        <w:t>feedback</w:t>
      </w:r>
      <w:r w:rsidR="00CD20B4">
        <w:t>.  I</w:t>
      </w:r>
      <w:r w:rsidR="00FC3D5F">
        <w:t xml:space="preserve"> thank the faculty and staff of</w:t>
      </w:r>
      <w:r w:rsidR="00CD20B4">
        <w:t xml:space="preserve"> the University of Oklahoma Department of Geography and Environmental Sustainability for providing a caring atmosphere which maximized my research potential.  I am also especially grateful to the department’s former IT administrator </w:t>
      </w:r>
      <w:r w:rsidR="00CD20B4">
        <w:rPr>
          <w:i/>
        </w:rPr>
        <w:t>Chris Cook</w:t>
      </w:r>
      <w:r w:rsidR="00CD20B4">
        <w:t xml:space="preserve"> for accommodating my numerous </w:t>
      </w:r>
      <w:r w:rsidR="004C2D48">
        <w:t>computing</w:t>
      </w:r>
      <w:r w:rsidR="00CD20B4">
        <w:t xml:space="preserve"> needs </w:t>
      </w:r>
      <w:r w:rsidR="00877475">
        <w:t>which emerged during</w:t>
      </w:r>
      <w:r w:rsidR="00CD20B4">
        <w:t xml:space="preserve"> my research.   </w:t>
      </w:r>
    </w:p>
    <w:p w:rsidR="00CD20B4" w:rsidRDefault="00CD20B4" w:rsidP="00CD20B4">
      <w:pPr>
        <w:spacing w:line="480" w:lineRule="auto"/>
      </w:pPr>
      <w:r>
        <w:t xml:space="preserve">    This dissertation would be incomplete without thanking </w:t>
      </w:r>
      <w:r w:rsidRPr="004876AE">
        <w:rPr>
          <w:i/>
        </w:rPr>
        <w:t>Michael Kearney</w:t>
      </w:r>
      <w:r>
        <w:t xml:space="preserve">, my M.A. advisor at the University of Maryland, College Park, for </w:t>
      </w:r>
      <w:r w:rsidR="000807FB">
        <w:t xml:space="preserve">introducing me to the vigors of self-directed research in the physical sciences and for </w:t>
      </w:r>
      <w:r>
        <w:t xml:space="preserve">encouraging my pursuit of the Ph.D. </w:t>
      </w:r>
      <w:r w:rsidR="000807FB">
        <w:t xml:space="preserve">  My exposure to hydrologic modeling began during my M.A. research which used MATLAB and GIS to investigate the impact of the theoretical removal of surface </w:t>
      </w:r>
      <w:r w:rsidR="000807FB">
        <w:lastRenderedPageBreak/>
        <w:t xml:space="preserve">ice on the West Antarctic Ice Sheet to subglacial flow.  During that research, I was lucky to </w:t>
      </w:r>
      <w:r w:rsidR="00877475">
        <w:t>be</w:t>
      </w:r>
      <w:r w:rsidR="000807FB">
        <w:t xml:space="preserve"> mentored by </w:t>
      </w:r>
      <w:r w:rsidR="000807FB">
        <w:rPr>
          <w:i/>
        </w:rPr>
        <w:t>Robert Bindschadler</w:t>
      </w:r>
      <w:r w:rsidR="000807FB">
        <w:t xml:space="preserve"> (NASA Goddard Space Flight Center) and </w:t>
      </w:r>
      <w:r w:rsidR="000807FB">
        <w:rPr>
          <w:i/>
        </w:rPr>
        <w:t>Patricia Vornberger</w:t>
      </w:r>
      <w:r w:rsidR="000807FB">
        <w:t xml:space="preserve"> (SAIC Corporation).  This exposure to hydrologic modeling continued my first year at OU while enrolled in courses taught by </w:t>
      </w:r>
      <w:r w:rsidR="000807FB">
        <w:rPr>
          <w:i/>
        </w:rPr>
        <w:t>Tohren Kibbey</w:t>
      </w:r>
      <w:r w:rsidR="000807FB">
        <w:t xml:space="preserve"> and </w:t>
      </w:r>
      <w:r w:rsidR="000807FB">
        <w:rPr>
          <w:i/>
        </w:rPr>
        <w:t>Baxter Vieux</w:t>
      </w:r>
      <w:r w:rsidR="000807FB">
        <w:t xml:space="preserve"> in the OU School of Civil Engineering and Environmental Science.  </w:t>
      </w:r>
      <w:r w:rsidR="000807FB" w:rsidRPr="000807FB">
        <w:t xml:space="preserve">Everyone who has taught me hydrologic modeling has a share in this dissertation.  </w:t>
      </w:r>
    </w:p>
    <w:p w:rsidR="00CD20B4" w:rsidRDefault="000807FB" w:rsidP="00CD20B4">
      <w:pPr>
        <w:spacing w:line="480" w:lineRule="auto"/>
      </w:pPr>
      <w:r>
        <w:t xml:space="preserve">      During my doctoral research</w:t>
      </w:r>
      <w:r w:rsidR="00CD20B4">
        <w:t xml:space="preserve">, I was assisted by individuals too numerous to identify.  However, I would like to single out four individuals outside OU to whom I am especially </w:t>
      </w:r>
      <w:r w:rsidR="008C774D">
        <w:t xml:space="preserve">grateful for their assistance.  </w:t>
      </w:r>
      <w:r w:rsidR="00CD20B4">
        <w:t xml:space="preserve">First, </w:t>
      </w:r>
      <w:r w:rsidR="00CD20B4">
        <w:rPr>
          <w:i/>
        </w:rPr>
        <w:t>Raghavan Srinivasan</w:t>
      </w:r>
      <w:r w:rsidR="00CD20B4">
        <w:t xml:space="preserve"> (Texas A&amp;M University) taught me the intricacies of the SWAT </w:t>
      </w:r>
      <w:r w:rsidR="001C7E21">
        <w:t xml:space="preserve">hydrologic </w:t>
      </w:r>
      <w:r w:rsidR="00CD20B4">
        <w:t>model, and provided invaluable advice regarding calibration techniques and the simulation of crop management in SWAT.  In doing so, he went greatly exceeded the “call of duty” as the instructor for the SWAT workshops I attended.  Dr. Srinivasan’s efforts were instrumental in allowing me to reach this point, and I will always be grateful for the tremendous amount of time he spent in answering the myriad of questions which arose during this research w</w:t>
      </w:r>
      <w:r w:rsidR="008C774D">
        <w:t xml:space="preserve">hich I was unable to resolve.  </w:t>
      </w:r>
      <w:r w:rsidR="00CD20B4">
        <w:t xml:space="preserve">Second, </w:t>
      </w:r>
      <w:r w:rsidR="00CD20B4" w:rsidRPr="00A41D7E">
        <w:rPr>
          <w:i/>
        </w:rPr>
        <w:t>David Brauer</w:t>
      </w:r>
      <w:r w:rsidR="00CD20B4">
        <w:t xml:space="preserve"> (Ogallala Aquifer </w:t>
      </w:r>
      <w:r w:rsidR="00E63F9B">
        <w:t>Program</w:t>
      </w:r>
      <w:r w:rsidR="00CD20B4">
        <w:t xml:space="preserve">, USDA-ARS) was instrumental in demonstrating the applicability of SWAT to the Great Plains region, a region that sometimes tests the assumptions on which the SWAT model is based.  He also provided me with keen insights into agricultural practices in this region and their impact on hydrology.  Because of his experience working in the Southern Great Plains from his office in Bushland, TX, he provided me site-specific values for simulation parameters which are not easily available in the literature.  I would relish the opportunity to collaborate with Dr. Brauer </w:t>
      </w:r>
      <w:r w:rsidR="00CD20B4">
        <w:lastRenderedPageBreak/>
        <w:t>on one or more of his projects, and we already have established a good working relationship.</w:t>
      </w:r>
      <w:r w:rsidR="008C774D">
        <w:t xml:space="preserve">  Third,</w:t>
      </w:r>
      <w:r w:rsidR="00CD20B4">
        <w:t xml:space="preserve"> </w:t>
      </w:r>
      <w:r w:rsidR="00CD20B4">
        <w:rPr>
          <w:i/>
        </w:rPr>
        <w:t>Mr. Harold Crowley</w:t>
      </w:r>
      <w:r w:rsidR="00CD20B4">
        <w:t xml:space="preserve"> (Arkansas Red River Basin Forecast Center, National Weather Service) provided me the necessary xmrg rainfall data (</w:t>
      </w:r>
      <w:r w:rsidR="004C2D48">
        <w:t>C</w:t>
      </w:r>
      <w:r w:rsidR="00CD20B4">
        <w:t xml:space="preserve">hapter 4) for my analysis.  Even more importantly, he introduced me to the procedures for estimating precipitation from radar data.  Finally, he </w:t>
      </w:r>
      <w:r w:rsidR="00877475">
        <w:t>demonstrated</w:t>
      </w:r>
      <w:r w:rsidR="00CD20B4">
        <w:t xml:space="preserve"> the </w:t>
      </w:r>
      <w:r w:rsidR="00CD20B4" w:rsidRPr="00903326">
        <w:t>prevalence of radar “holes” in the Great Plains, a complication which mandated my revising my initial research questions and watershed</w:t>
      </w:r>
      <w:r w:rsidR="00877475">
        <w:t>, and which served as the basis for the poster I presented at the Next Generation Climate Data Products Workshop in Boulder, CO in July 2013 (</w:t>
      </w:r>
      <w:r w:rsidR="00877475" w:rsidRPr="00877475">
        <w:rPr>
          <w:i/>
        </w:rPr>
        <w:t>https://www2.image.ucar.edu/sites/default/files/event/workshop/files/Goldstein_IMAGe.pdf</w:t>
      </w:r>
      <w:r w:rsidR="00877475">
        <w:t xml:space="preserve">)!  </w:t>
      </w:r>
      <w:r w:rsidR="00CD20B4">
        <w:t xml:space="preserve">Last but definitely not least, I appreciate the assistance provided by </w:t>
      </w:r>
      <w:r w:rsidR="00877475">
        <w:t xml:space="preserve">my U.S Global Change Research Program </w:t>
      </w:r>
      <w:r w:rsidR="00CD20B4">
        <w:t xml:space="preserve">colleague </w:t>
      </w:r>
      <w:r w:rsidR="00CD20B4" w:rsidRPr="00877475">
        <w:rPr>
          <w:i/>
        </w:rPr>
        <w:t>Chris Weaver</w:t>
      </w:r>
      <w:r w:rsidR="00CD20B4">
        <w:t xml:space="preserve"> (EPA).  Chris assisted me with understanding and interpreting climate model outputs.  </w:t>
      </w:r>
      <w:r w:rsidR="00F03AC6">
        <w:t>He</w:t>
      </w:r>
      <w:r w:rsidR="00CD20B4">
        <w:t xml:space="preserve"> was all too happy to sit down with me </w:t>
      </w:r>
      <w:r>
        <w:t xml:space="preserve">to discuss my research, to answer questions about climate models, and to </w:t>
      </w:r>
      <w:r w:rsidR="00CD20B4">
        <w:t>discuss results.  I am proud to count Chris as a true friend and an outstanding colleague.</w:t>
      </w:r>
      <w:r w:rsidR="004F07EF">
        <w:t xml:space="preserve">  I am also grateful to my colleagues at the National Coordination Office of the U</w:t>
      </w:r>
      <w:r w:rsidR="0037704B">
        <w:t>.</w:t>
      </w:r>
      <w:r w:rsidR="004F07EF">
        <w:t>S</w:t>
      </w:r>
      <w:r w:rsidR="0037704B">
        <w:t>.</w:t>
      </w:r>
      <w:r w:rsidR="004F07EF">
        <w:t xml:space="preserve"> Global Change Research Program for their emotional support this past year.</w:t>
      </w:r>
      <w:r w:rsidR="00CD20B4">
        <w:t xml:space="preserve"> </w:t>
      </w:r>
    </w:p>
    <w:p w:rsidR="00CD20B4" w:rsidRPr="00BA043A" w:rsidRDefault="00CD20B4" w:rsidP="00CD20B4">
      <w:pPr>
        <w:pStyle w:val="HTMLPreformatted"/>
        <w:spacing w:line="480" w:lineRule="auto"/>
        <w:rPr>
          <w:rFonts w:ascii="Times New Roman" w:hAnsi="Times New Roman" w:cs="Times New Roman"/>
          <w:i/>
          <w:sz w:val="24"/>
          <w:szCs w:val="24"/>
        </w:rPr>
      </w:pPr>
      <w:r>
        <w:rPr>
          <w:rFonts w:ascii="Times New Roman" w:hAnsi="Times New Roman" w:cs="Times New Roman"/>
          <w:sz w:val="24"/>
          <w:szCs w:val="24"/>
        </w:rPr>
        <w:t xml:space="preserve">     </w:t>
      </w:r>
      <w:r w:rsidRPr="00940768">
        <w:rPr>
          <w:rFonts w:ascii="Times New Roman" w:hAnsi="Times New Roman" w:cs="Times New Roman"/>
          <w:sz w:val="24"/>
          <w:szCs w:val="24"/>
        </w:rPr>
        <w:t xml:space="preserve">I also could not have </w:t>
      </w:r>
      <w:r>
        <w:rPr>
          <w:rFonts w:ascii="Times New Roman" w:hAnsi="Times New Roman" w:cs="Times New Roman"/>
          <w:sz w:val="24"/>
          <w:szCs w:val="24"/>
        </w:rPr>
        <w:t xml:space="preserve">completed this research without the assistance of all the extremely kind and helpful individuals on the Swat-User and Arcswat-user google </w:t>
      </w:r>
      <w:r w:rsidR="000807FB">
        <w:rPr>
          <w:rFonts w:ascii="Times New Roman" w:hAnsi="Times New Roman" w:cs="Times New Roman"/>
          <w:sz w:val="24"/>
          <w:szCs w:val="24"/>
        </w:rPr>
        <w:t>listserves</w:t>
      </w:r>
      <w:r>
        <w:rPr>
          <w:rFonts w:ascii="Times New Roman" w:hAnsi="Times New Roman" w:cs="Times New Roman"/>
          <w:sz w:val="24"/>
          <w:szCs w:val="24"/>
        </w:rPr>
        <w:t xml:space="preserve">.  No question of mine was too difficult </w:t>
      </w:r>
      <w:proofErr w:type="gramStart"/>
      <w:r>
        <w:rPr>
          <w:rFonts w:ascii="Times New Roman" w:hAnsi="Times New Roman" w:cs="Times New Roman"/>
          <w:sz w:val="24"/>
          <w:szCs w:val="24"/>
        </w:rPr>
        <w:t>nor</w:t>
      </w:r>
      <w:proofErr w:type="gramEnd"/>
      <w:r>
        <w:rPr>
          <w:rFonts w:ascii="Times New Roman" w:hAnsi="Times New Roman" w:cs="Times New Roman"/>
          <w:sz w:val="24"/>
          <w:szCs w:val="24"/>
        </w:rPr>
        <w:t xml:space="preserve"> too dumb for the extremely enthusiastic individuals worldwide who assisted me </w:t>
      </w:r>
      <w:r w:rsidR="000807FB">
        <w:rPr>
          <w:rFonts w:ascii="Times New Roman" w:hAnsi="Times New Roman" w:cs="Times New Roman"/>
          <w:sz w:val="24"/>
          <w:szCs w:val="24"/>
        </w:rPr>
        <w:t>with questions about the SWAT model</w:t>
      </w:r>
      <w:r w:rsidRPr="00FB1219">
        <w:rPr>
          <w:rFonts w:ascii="Times New Roman" w:hAnsi="Times New Roman" w:cs="Times New Roman"/>
          <w:sz w:val="24"/>
          <w:szCs w:val="24"/>
        </w:rPr>
        <w:t xml:space="preserve">.  This dissertation was also truly an international effort.  In an indication of the age in which we live, assistance for this project was provided by individuals </w:t>
      </w:r>
      <w:r>
        <w:rPr>
          <w:rFonts w:ascii="Times New Roman" w:hAnsi="Times New Roman" w:cs="Times New Roman"/>
          <w:sz w:val="24"/>
          <w:szCs w:val="24"/>
        </w:rPr>
        <w:t xml:space="preserve">residing in or visiting Burkina Faso, Nigeria, Switzerland, </w:t>
      </w:r>
      <w:r w:rsidRPr="00FB1219">
        <w:rPr>
          <w:rFonts w:ascii="Times New Roman" w:hAnsi="Times New Roman" w:cs="Times New Roman"/>
          <w:sz w:val="24"/>
          <w:szCs w:val="24"/>
        </w:rPr>
        <w:t>France</w:t>
      </w:r>
      <w:r>
        <w:rPr>
          <w:rFonts w:ascii="Times New Roman" w:hAnsi="Times New Roman" w:cs="Times New Roman"/>
          <w:sz w:val="24"/>
          <w:szCs w:val="24"/>
        </w:rPr>
        <w:t>, and Turkey.</w:t>
      </w:r>
      <w:r>
        <w:rPr>
          <w:sz w:val="24"/>
          <w:szCs w:val="24"/>
        </w:rPr>
        <w:t xml:space="preserve"> </w:t>
      </w:r>
    </w:p>
    <w:p w:rsidR="0011676D" w:rsidRDefault="00AA3F19" w:rsidP="00CD20B4">
      <w:pPr>
        <w:spacing w:line="480" w:lineRule="auto"/>
        <w:rPr>
          <w:iCs/>
        </w:rPr>
      </w:pPr>
      <w:r>
        <w:lastRenderedPageBreak/>
        <w:t xml:space="preserve">     </w:t>
      </w:r>
      <w:r w:rsidR="00CD20B4" w:rsidRPr="00172120">
        <w:t xml:space="preserve">With regards to data, I also </w:t>
      </w:r>
      <w:r w:rsidR="00CD20B4" w:rsidRPr="00172120">
        <w:rPr>
          <w:iCs/>
        </w:rPr>
        <w:t>acknowledge the modeling groups, the Program for Climate Model Diagnosis and Intercomparison (PCMDI) and the WCRP's Working Group on Coupled Modelling (WGCM) for their roles in making available the WCRP CMIP3 multi-model dataset. Support of this dataset is provided by the Office of Scienc</w:t>
      </w:r>
      <w:r w:rsidR="0011676D">
        <w:rPr>
          <w:iCs/>
        </w:rPr>
        <w:t xml:space="preserve">e, U.S. Department of Energy.  </w:t>
      </w:r>
    </w:p>
    <w:p w:rsidR="00CD20B4" w:rsidRPr="0011676D" w:rsidRDefault="0011676D" w:rsidP="00CD20B4">
      <w:pPr>
        <w:spacing w:line="480" w:lineRule="auto"/>
        <w:rPr>
          <w:iCs/>
        </w:rPr>
      </w:pPr>
      <w:r>
        <w:rPr>
          <w:iCs/>
        </w:rPr>
        <w:t xml:space="preserve">    </w:t>
      </w:r>
      <w:r w:rsidR="00A003A7">
        <w:rPr>
          <w:iCs/>
        </w:rPr>
        <w:t xml:space="preserve">  T</w:t>
      </w:r>
      <w:r w:rsidR="004F07EF">
        <w:rPr>
          <w:iCs/>
        </w:rPr>
        <w:t xml:space="preserve">his “acknowledgements” section would not be complete without a mention of my family.  </w:t>
      </w:r>
      <w:r w:rsidR="00CD20B4">
        <w:t xml:space="preserve">I would </w:t>
      </w:r>
      <w:r w:rsidR="000807FB">
        <w:t>not have reached this point</w:t>
      </w:r>
      <w:r w:rsidR="00CD20B4">
        <w:t xml:space="preserve"> without their emotional support and const</w:t>
      </w:r>
      <w:r w:rsidR="00AA3F19">
        <w:t xml:space="preserve">ant insistence that I finish this degree.  </w:t>
      </w:r>
      <w:r w:rsidR="00CD20B4">
        <w:t>This dissertation is a tribute to them.</w:t>
      </w:r>
      <w:r w:rsidR="00CD20B4">
        <w:br w:type="page"/>
      </w:r>
    </w:p>
    <w:p w:rsidR="00CD20B4" w:rsidRPr="00AA75E2" w:rsidRDefault="00AA75E2" w:rsidP="00CD20B4">
      <w:pPr>
        <w:jc w:val="center"/>
        <w:rPr>
          <w:b/>
          <w:sz w:val="28"/>
          <w:szCs w:val="28"/>
        </w:rPr>
      </w:pPr>
      <w:r w:rsidRPr="00AA75E2">
        <w:rPr>
          <w:b/>
          <w:sz w:val="28"/>
          <w:szCs w:val="28"/>
        </w:rPr>
        <w:lastRenderedPageBreak/>
        <w:t>Table of Contents</w:t>
      </w:r>
    </w:p>
    <w:sdt>
      <w:sdtPr>
        <w:rPr>
          <w:rFonts w:ascii="Times New Roman" w:eastAsiaTheme="minorHAnsi" w:hAnsi="Times New Roman" w:cs="Arial"/>
          <w:b w:val="0"/>
          <w:bCs w:val="0"/>
          <w:color w:val="auto"/>
          <w:sz w:val="24"/>
          <w:szCs w:val="24"/>
          <w:lang w:eastAsia="en-US"/>
        </w:rPr>
        <w:id w:val="-404691280"/>
        <w:docPartObj>
          <w:docPartGallery w:val="Table of Contents"/>
          <w:docPartUnique/>
        </w:docPartObj>
      </w:sdtPr>
      <w:sdtEndPr>
        <w:rPr>
          <w:noProof/>
        </w:rPr>
      </w:sdtEndPr>
      <w:sdtContent>
        <w:p w:rsidR="008E2626" w:rsidRDefault="008E2626">
          <w:pPr>
            <w:pStyle w:val="TOCHeading"/>
          </w:pPr>
        </w:p>
        <w:p w:rsidR="00C40497" w:rsidRDefault="000A6E34">
          <w:pPr>
            <w:pStyle w:val="TOC1"/>
            <w:tabs>
              <w:tab w:val="right" w:leader="dot" w:pos="8486"/>
            </w:tabs>
            <w:rPr>
              <w:noProof/>
              <w:sz w:val="22"/>
              <w:lang w:eastAsia="en-US"/>
            </w:rPr>
          </w:pPr>
          <w:r>
            <w:fldChar w:fldCharType="begin"/>
          </w:r>
          <w:r>
            <w:instrText xml:space="preserve"> TOC \o "1-3" \u </w:instrText>
          </w:r>
          <w:r>
            <w:fldChar w:fldCharType="separate"/>
          </w:r>
          <w:r w:rsidR="00C40497">
            <w:rPr>
              <w:noProof/>
            </w:rPr>
            <w:t>Acknowledgements</w:t>
          </w:r>
          <w:r w:rsidR="00C40497">
            <w:rPr>
              <w:noProof/>
            </w:rPr>
            <w:tab/>
          </w:r>
          <w:r w:rsidR="00C40497">
            <w:rPr>
              <w:noProof/>
            </w:rPr>
            <w:fldChar w:fldCharType="begin"/>
          </w:r>
          <w:r w:rsidR="00C40497">
            <w:rPr>
              <w:noProof/>
            </w:rPr>
            <w:instrText xml:space="preserve"> PAGEREF _Toc368046143 \h </w:instrText>
          </w:r>
          <w:r w:rsidR="00C40497">
            <w:rPr>
              <w:noProof/>
            </w:rPr>
          </w:r>
          <w:r w:rsidR="00C40497">
            <w:rPr>
              <w:noProof/>
            </w:rPr>
            <w:fldChar w:fldCharType="separate"/>
          </w:r>
          <w:r w:rsidR="00C40497">
            <w:rPr>
              <w:noProof/>
            </w:rPr>
            <w:t>iv</w:t>
          </w:r>
          <w:r w:rsidR="00C40497">
            <w:rPr>
              <w:noProof/>
            </w:rPr>
            <w:fldChar w:fldCharType="end"/>
          </w:r>
        </w:p>
        <w:p w:rsidR="00C40497" w:rsidRDefault="00C40497">
          <w:pPr>
            <w:pStyle w:val="TOC1"/>
            <w:tabs>
              <w:tab w:val="right" w:leader="dot" w:pos="8486"/>
            </w:tabs>
            <w:rPr>
              <w:noProof/>
              <w:sz w:val="22"/>
              <w:lang w:eastAsia="en-US"/>
            </w:rPr>
          </w:pPr>
          <w:r>
            <w:rPr>
              <w:noProof/>
            </w:rPr>
            <w:t>List of Tables</w:t>
          </w:r>
          <w:r>
            <w:rPr>
              <w:noProof/>
            </w:rPr>
            <w:tab/>
          </w:r>
          <w:r>
            <w:rPr>
              <w:noProof/>
            </w:rPr>
            <w:fldChar w:fldCharType="begin"/>
          </w:r>
          <w:r>
            <w:rPr>
              <w:noProof/>
            </w:rPr>
            <w:instrText xml:space="preserve"> PAGEREF _Toc368046144 \h </w:instrText>
          </w:r>
          <w:r>
            <w:rPr>
              <w:noProof/>
            </w:rPr>
          </w:r>
          <w:r>
            <w:rPr>
              <w:noProof/>
            </w:rPr>
            <w:fldChar w:fldCharType="separate"/>
          </w:r>
          <w:r>
            <w:rPr>
              <w:noProof/>
            </w:rPr>
            <w:t>xii</w:t>
          </w:r>
          <w:r>
            <w:rPr>
              <w:noProof/>
            </w:rPr>
            <w:fldChar w:fldCharType="end"/>
          </w:r>
        </w:p>
        <w:p w:rsidR="00C40497" w:rsidRDefault="00C40497">
          <w:pPr>
            <w:pStyle w:val="TOC1"/>
            <w:tabs>
              <w:tab w:val="right" w:leader="dot" w:pos="8486"/>
            </w:tabs>
            <w:rPr>
              <w:noProof/>
              <w:sz w:val="22"/>
              <w:lang w:eastAsia="en-US"/>
            </w:rPr>
          </w:pPr>
          <w:r>
            <w:rPr>
              <w:noProof/>
            </w:rPr>
            <w:t>List of Figures</w:t>
          </w:r>
          <w:r>
            <w:rPr>
              <w:noProof/>
            </w:rPr>
            <w:tab/>
          </w:r>
          <w:r>
            <w:rPr>
              <w:noProof/>
            </w:rPr>
            <w:fldChar w:fldCharType="begin"/>
          </w:r>
          <w:r>
            <w:rPr>
              <w:noProof/>
            </w:rPr>
            <w:instrText xml:space="preserve"> PAGEREF _Toc368046145 \h </w:instrText>
          </w:r>
          <w:r>
            <w:rPr>
              <w:noProof/>
            </w:rPr>
          </w:r>
          <w:r>
            <w:rPr>
              <w:noProof/>
            </w:rPr>
            <w:fldChar w:fldCharType="separate"/>
          </w:r>
          <w:r>
            <w:rPr>
              <w:noProof/>
            </w:rPr>
            <w:t>xiv</w:t>
          </w:r>
          <w:r>
            <w:rPr>
              <w:noProof/>
            </w:rPr>
            <w:fldChar w:fldCharType="end"/>
          </w:r>
        </w:p>
        <w:p w:rsidR="00C40497" w:rsidRDefault="00C40497">
          <w:pPr>
            <w:pStyle w:val="TOC1"/>
            <w:tabs>
              <w:tab w:val="right" w:leader="dot" w:pos="8486"/>
            </w:tabs>
            <w:rPr>
              <w:noProof/>
              <w:sz w:val="22"/>
              <w:lang w:eastAsia="en-US"/>
            </w:rPr>
          </w:pPr>
          <w:r>
            <w:rPr>
              <w:noProof/>
            </w:rPr>
            <w:t>Abstract</w:t>
          </w:r>
          <w:r>
            <w:rPr>
              <w:noProof/>
            </w:rPr>
            <w:tab/>
          </w:r>
          <w:r>
            <w:rPr>
              <w:noProof/>
            </w:rPr>
            <w:fldChar w:fldCharType="begin"/>
          </w:r>
          <w:r>
            <w:rPr>
              <w:noProof/>
            </w:rPr>
            <w:instrText xml:space="preserve"> PAGEREF _Toc368046146 \h </w:instrText>
          </w:r>
          <w:r>
            <w:rPr>
              <w:noProof/>
            </w:rPr>
          </w:r>
          <w:r>
            <w:rPr>
              <w:noProof/>
            </w:rPr>
            <w:fldChar w:fldCharType="separate"/>
          </w:r>
          <w:r>
            <w:rPr>
              <w:noProof/>
            </w:rPr>
            <w:t>xvii</w:t>
          </w:r>
          <w:r>
            <w:rPr>
              <w:noProof/>
            </w:rPr>
            <w:fldChar w:fldCharType="end"/>
          </w:r>
        </w:p>
        <w:p w:rsidR="00C40497" w:rsidRDefault="00C40497">
          <w:pPr>
            <w:pStyle w:val="TOC1"/>
            <w:tabs>
              <w:tab w:val="right" w:leader="dot" w:pos="8486"/>
            </w:tabs>
            <w:rPr>
              <w:noProof/>
              <w:sz w:val="22"/>
              <w:lang w:eastAsia="en-US"/>
            </w:rPr>
          </w:pPr>
          <w:r>
            <w:rPr>
              <w:noProof/>
            </w:rPr>
            <w:t>Chapter 1: Research Overview and Introduction to the Dissertation</w:t>
          </w:r>
          <w:r>
            <w:rPr>
              <w:noProof/>
            </w:rPr>
            <w:tab/>
          </w:r>
          <w:r>
            <w:rPr>
              <w:noProof/>
            </w:rPr>
            <w:fldChar w:fldCharType="begin"/>
          </w:r>
          <w:r>
            <w:rPr>
              <w:noProof/>
            </w:rPr>
            <w:instrText xml:space="preserve"> PAGEREF _Toc368046147 \h </w:instrText>
          </w:r>
          <w:r>
            <w:rPr>
              <w:noProof/>
            </w:rPr>
          </w:r>
          <w:r>
            <w:rPr>
              <w:noProof/>
            </w:rPr>
            <w:fldChar w:fldCharType="separate"/>
          </w:r>
          <w:r>
            <w:rPr>
              <w:noProof/>
            </w:rPr>
            <w:t>1</w:t>
          </w:r>
          <w:r>
            <w:rPr>
              <w:noProof/>
            </w:rPr>
            <w:fldChar w:fldCharType="end"/>
          </w:r>
        </w:p>
        <w:p w:rsidR="00C40497" w:rsidRDefault="00C40497">
          <w:pPr>
            <w:pStyle w:val="TOC2"/>
            <w:tabs>
              <w:tab w:val="right" w:leader="dot" w:pos="8486"/>
            </w:tabs>
            <w:rPr>
              <w:sz w:val="22"/>
              <w:lang w:eastAsia="en-US"/>
            </w:rPr>
          </w:pPr>
          <w:r>
            <w:t>1.1: Overview of the Importance of Biofuels</w:t>
          </w:r>
          <w:r>
            <w:tab/>
          </w:r>
          <w:r>
            <w:fldChar w:fldCharType="begin"/>
          </w:r>
          <w:r>
            <w:instrText xml:space="preserve"> PAGEREF _Toc368046148 \h </w:instrText>
          </w:r>
          <w:r>
            <w:fldChar w:fldCharType="separate"/>
          </w:r>
          <w:r>
            <w:t>1</w:t>
          </w:r>
          <w:r>
            <w:fldChar w:fldCharType="end"/>
          </w:r>
        </w:p>
        <w:p w:rsidR="00C40497" w:rsidRDefault="00C40497">
          <w:pPr>
            <w:pStyle w:val="TOC2"/>
            <w:tabs>
              <w:tab w:val="right" w:leader="dot" w:pos="8486"/>
            </w:tabs>
            <w:rPr>
              <w:sz w:val="22"/>
              <w:lang w:eastAsia="en-US"/>
            </w:rPr>
          </w:pPr>
          <w:r>
            <w:t>1.2: Cellulosic Biofuels</w:t>
          </w:r>
          <w:r>
            <w:tab/>
          </w:r>
          <w:r>
            <w:fldChar w:fldCharType="begin"/>
          </w:r>
          <w:r>
            <w:instrText xml:space="preserve"> PAGEREF _Toc368046149 \h </w:instrText>
          </w:r>
          <w:r>
            <w:fldChar w:fldCharType="separate"/>
          </w:r>
          <w:r>
            <w:t>2</w:t>
          </w:r>
          <w:r>
            <w:fldChar w:fldCharType="end"/>
          </w:r>
        </w:p>
        <w:p w:rsidR="00C40497" w:rsidRDefault="00C40497">
          <w:pPr>
            <w:pStyle w:val="TOC2"/>
            <w:tabs>
              <w:tab w:val="right" w:leader="dot" w:pos="8486"/>
            </w:tabs>
            <w:rPr>
              <w:sz w:val="22"/>
              <w:lang w:eastAsia="en-US"/>
            </w:rPr>
          </w:pPr>
          <w:r>
            <w:t>1.3: Research Objectives and Contribution</w:t>
          </w:r>
          <w:r>
            <w:tab/>
          </w:r>
          <w:r>
            <w:fldChar w:fldCharType="begin"/>
          </w:r>
          <w:r>
            <w:instrText xml:space="preserve"> PAGEREF _Toc368046150 \h </w:instrText>
          </w:r>
          <w:r>
            <w:fldChar w:fldCharType="separate"/>
          </w:r>
          <w:r>
            <w:t>6</w:t>
          </w:r>
          <w:r>
            <w:fldChar w:fldCharType="end"/>
          </w:r>
        </w:p>
        <w:p w:rsidR="00C40497" w:rsidRDefault="00C40497">
          <w:pPr>
            <w:pStyle w:val="TOC2"/>
            <w:tabs>
              <w:tab w:val="right" w:leader="dot" w:pos="8486"/>
            </w:tabs>
            <w:rPr>
              <w:sz w:val="22"/>
              <w:lang w:eastAsia="en-US"/>
            </w:rPr>
          </w:pPr>
          <w:r>
            <w:t>1.4: Organization of the Dissertation</w:t>
          </w:r>
          <w:r>
            <w:tab/>
          </w:r>
          <w:r>
            <w:fldChar w:fldCharType="begin"/>
          </w:r>
          <w:r>
            <w:instrText xml:space="preserve"> PAGEREF _Toc368046151 \h </w:instrText>
          </w:r>
          <w:r>
            <w:fldChar w:fldCharType="separate"/>
          </w:r>
          <w:r>
            <w:t>8</w:t>
          </w:r>
          <w:r>
            <w:fldChar w:fldCharType="end"/>
          </w:r>
        </w:p>
        <w:p w:rsidR="00C40497" w:rsidRDefault="00C40497">
          <w:pPr>
            <w:pStyle w:val="TOC2"/>
            <w:tabs>
              <w:tab w:val="right" w:leader="dot" w:pos="8486"/>
            </w:tabs>
            <w:rPr>
              <w:sz w:val="22"/>
              <w:lang w:eastAsia="en-US"/>
            </w:rPr>
          </w:pPr>
          <w:r>
            <w:t>1.5: Description of the SWAT Hydrologic Model</w:t>
          </w:r>
          <w:r>
            <w:tab/>
          </w:r>
          <w:r>
            <w:fldChar w:fldCharType="begin"/>
          </w:r>
          <w:r>
            <w:instrText xml:space="preserve"> PAGEREF _Toc368046152 \h </w:instrText>
          </w:r>
          <w:r>
            <w:fldChar w:fldCharType="separate"/>
          </w:r>
          <w:r>
            <w:t>10</w:t>
          </w:r>
          <w:r>
            <w:fldChar w:fldCharType="end"/>
          </w:r>
        </w:p>
        <w:p w:rsidR="00C40497" w:rsidRDefault="00C40497">
          <w:pPr>
            <w:pStyle w:val="TOC2"/>
            <w:tabs>
              <w:tab w:val="right" w:leader="dot" w:pos="8486"/>
            </w:tabs>
            <w:rPr>
              <w:sz w:val="22"/>
              <w:lang w:eastAsia="en-US"/>
            </w:rPr>
          </w:pPr>
          <w:r>
            <w:t>1.6: Limitations to this Study</w:t>
          </w:r>
          <w:r>
            <w:tab/>
          </w:r>
          <w:r>
            <w:fldChar w:fldCharType="begin"/>
          </w:r>
          <w:r>
            <w:instrText xml:space="preserve"> PAGEREF _Toc368046153 \h </w:instrText>
          </w:r>
          <w:r>
            <w:fldChar w:fldCharType="separate"/>
          </w:r>
          <w:r>
            <w:t>12</w:t>
          </w:r>
          <w:r>
            <w:fldChar w:fldCharType="end"/>
          </w:r>
        </w:p>
        <w:p w:rsidR="00C40497" w:rsidRDefault="00C40497">
          <w:pPr>
            <w:pStyle w:val="TOC2"/>
            <w:tabs>
              <w:tab w:val="right" w:leader="dot" w:pos="8486"/>
            </w:tabs>
            <w:rPr>
              <w:sz w:val="22"/>
              <w:lang w:eastAsia="en-US"/>
            </w:rPr>
          </w:pPr>
          <w:r>
            <w:t>References</w:t>
          </w:r>
          <w:r>
            <w:tab/>
          </w:r>
          <w:r>
            <w:fldChar w:fldCharType="begin"/>
          </w:r>
          <w:r>
            <w:instrText xml:space="preserve"> PAGEREF _Toc368046154 \h </w:instrText>
          </w:r>
          <w:r>
            <w:fldChar w:fldCharType="separate"/>
          </w:r>
          <w:r>
            <w:t>14</w:t>
          </w:r>
          <w:r>
            <w:fldChar w:fldCharType="end"/>
          </w:r>
        </w:p>
        <w:p w:rsidR="00C40497" w:rsidRDefault="00C40497">
          <w:pPr>
            <w:pStyle w:val="TOC1"/>
            <w:tabs>
              <w:tab w:val="right" w:leader="dot" w:pos="8486"/>
            </w:tabs>
            <w:rPr>
              <w:noProof/>
              <w:sz w:val="22"/>
              <w:lang w:eastAsia="en-US"/>
            </w:rPr>
          </w:pPr>
          <w:r>
            <w:rPr>
              <w:noProof/>
            </w:rPr>
            <w:t>Chapter 2: Evolving Perspectives on Land Use in the US Great Plains</w:t>
          </w:r>
          <w:r>
            <w:rPr>
              <w:noProof/>
            </w:rPr>
            <w:tab/>
          </w:r>
          <w:r>
            <w:rPr>
              <w:noProof/>
            </w:rPr>
            <w:fldChar w:fldCharType="begin"/>
          </w:r>
          <w:r>
            <w:rPr>
              <w:noProof/>
            </w:rPr>
            <w:instrText xml:space="preserve"> PAGEREF _Toc368046155 \h </w:instrText>
          </w:r>
          <w:r>
            <w:rPr>
              <w:noProof/>
            </w:rPr>
          </w:r>
          <w:r>
            <w:rPr>
              <w:noProof/>
            </w:rPr>
            <w:fldChar w:fldCharType="separate"/>
          </w:r>
          <w:r>
            <w:rPr>
              <w:noProof/>
            </w:rPr>
            <w:t>19</w:t>
          </w:r>
          <w:r>
            <w:rPr>
              <w:noProof/>
            </w:rPr>
            <w:fldChar w:fldCharType="end"/>
          </w:r>
        </w:p>
        <w:p w:rsidR="00C40497" w:rsidRDefault="00C40497">
          <w:pPr>
            <w:pStyle w:val="TOC2"/>
            <w:tabs>
              <w:tab w:val="right" w:leader="dot" w:pos="8486"/>
            </w:tabs>
            <w:rPr>
              <w:sz w:val="22"/>
              <w:lang w:eastAsia="en-US"/>
            </w:rPr>
          </w:pPr>
          <w:r>
            <w:t>Abstract</w:t>
          </w:r>
          <w:r>
            <w:tab/>
          </w:r>
          <w:r>
            <w:fldChar w:fldCharType="begin"/>
          </w:r>
          <w:r>
            <w:instrText xml:space="preserve"> PAGEREF _Toc368046156 \h </w:instrText>
          </w:r>
          <w:r>
            <w:fldChar w:fldCharType="separate"/>
          </w:r>
          <w:r>
            <w:t>20</w:t>
          </w:r>
          <w:r>
            <w:fldChar w:fldCharType="end"/>
          </w:r>
        </w:p>
        <w:p w:rsidR="00C40497" w:rsidRDefault="00C40497">
          <w:pPr>
            <w:pStyle w:val="TOC2"/>
            <w:tabs>
              <w:tab w:val="right" w:leader="dot" w:pos="8486"/>
            </w:tabs>
            <w:rPr>
              <w:sz w:val="22"/>
              <w:lang w:eastAsia="en-US"/>
            </w:rPr>
          </w:pPr>
          <w:r>
            <w:t>2.1: The Great Plains As “The Great American Desert”</w:t>
          </w:r>
          <w:r>
            <w:tab/>
          </w:r>
          <w:r>
            <w:fldChar w:fldCharType="begin"/>
          </w:r>
          <w:r>
            <w:instrText xml:space="preserve"> PAGEREF _Toc368046157 \h </w:instrText>
          </w:r>
          <w:r>
            <w:fldChar w:fldCharType="separate"/>
          </w:r>
          <w:r>
            <w:t>22</w:t>
          </w:r>
          <w:r>
            <w:fldChar w:fldCharType="end"/>
          </w:r>
        </w:p>
        <w:p w:rsidR="00C40497" w:rsidRDefault="00C40497">
          <w:pPr>
            <w:pStyle w:val="TOC2"/>
            <w:tabs>
              <w:tab w:val="right" w:leader="dot" w:pos="8486"/>
            </w:tabs>
            <w:rPr>
              <w:sz w:val="22"/>
              <w:lang w:eastAsia="en-US"/>
            </w:rPr>
          </w:pPr>
          <w:r>
            <w:t>2.2: Land Use Change I: Settling the “Desert”</w:t>
          </w:r>
          <w:r>
            <w:tab/>
          </w:r>
          <w:r>
            <w:fldChar w:fldCharType="begin"/>
          </w:r>
          <w:r>
            <w:instrText xml:space="preserve"> PAGEREF _Toc368046158 \h </w:instrText>
          </w:r>
          <w:r>
            <w:fldChar w:fldCharType="separate"/>
          </w:r>
          <w:r>
            <w:t>24</w:t>
          </w:r>
          <w:r>
            <w:fldChar w:fldCharType="end"/>
          </w:r>
        </w:p>
        <w:p w:rsidR="00C40497" w:rsidRDefault="00C40497">
          <w:pPr>
            <w:pStyle w:val="TOC2"/>
            <w:tabs>
              <w:tab w:val="right" w:leader="dot" w:pos="8486"/>
            </w:tabs>
            <w:rPr>
              <w:sz w:val="22"/>
              <w:lang w:eastAsia="en-US"/>
            </w:rPr>
          </w:pPr>
          <w:r>
            <w:t>2.3: Land Use Change II: Adaptation to Drought</w:t>
          </w:r>
          <w:r>
            <w:tab/>
          </w:r>
          <w:r>
            <w:fldChar w:fldCharType="begin"/>
          </w:r>
          <w:r>
            <w:instrText xml:space="preserve"> PAGEREF _Toc368046159 \h </w:instrText>
          </w:r>
          <w:r>
            <w:fldChar w:fldCharType="separate"/>
          </w:r>
          <w:r>
            <w:t>26</w:t>
          </w:r>
          <w:r>
            <w:fldChar w:fldCharType="end"/>
          </w:r>
        </w:p>
        <w:p w:rsidR="00C40497" w:rsidRDefault="00C40497">
          <w:pPr>
            <w:pStyle w:val="TOC2"/>
            <w:tabs>
              <w:tab w:val="right" w:leader="dot" w:pos="8486"/>
            </w:tabs>
            <w:rPr>
              <w:sz w:val="22"/>
              <w:lang w:eastAsia="en-US"/>
            </w:rPr>
          </w:pPr>
          <w:r>
            <w:t>2.4: Land Use Change III: Impact of Water Resources and Land Use</w:t>
          </w:r>
          <w:r>
            <w:tab/>
          </w:r>
          <w:r>
            <w:fldChar w:fldCharType="begin"/>
          </w:r>
          <w:r>
            <w:instrText xml:space="preserve"> PAGEREF _Toc368046160 \h </w:instrText>
          </w:r>
          <w:r>
            <w:fldChar w:fldCharType="separate"/>
          </w:r>
          <w:r>
            <w:t>28</w:t>
          </w:r>
          <w:r>
            <w:fldChar w:fldCharType="end"/>
          </w:r>
        </w:p>
        <w:p w:rsidR="00C40497" w:rsidRDefault="00C40497">
          <w:pPr>
            <w:pStyle w:val="TOC2"/>
            <w:tabs>
              <w:tab w:val="right" w:leader="dot" w:pos="8486"/>
            </w:tabs>
            <w:rPr>
              <w:sz w:val="22"/>
              <w:lang w:eastAsia="en-US"/>
            </w:rPr>
          </w:pPr>
          <w:r>
            <w:lastRenderedPageBreak/>
            <w:t>2.5: Perspectives on the Future of the Great Plains</w:t>
          </w:r>
          <w:r>
            <w:tab/>
          </w:r>
          <w:r>
            <w:fldChar w:fldCharType="begin"/>
          </w:r>
          <w:r>
            <w:instrText xml:space="preserve"> PAGEREF _Toc368046161 \h </w:instrText>
          </w:r>
          <w:r>
            <w:fldChar w:fldCharType="separate"/>
          </w:r>
          <w:r>
            <w:t>29</w:t>
          </w:r>
          <w:r>
            <w:fldChar w:fldCharType="end"/>
          </w:r>
        </w:p>
        <w:p w:rsidR="00C40497" w:rsidRDefault="00C40497">
          <w:pPr>
            <w:pStyle w:val="TOC3"/>
            <w:tabs>
              <w:tab w:val="right" w:leader="dot" w:pos="8486"/>
            </w:tabs>
            <w:rPr>
              <w:noProof/>
              <w:sz w:val="22"/>
              <w:lang w:eastAsia="en-US"/>
            </w:rPr>
          </w:pPr>
          <w:r w:rsidRPr="00FD6082">
            <w:rPr>
              <w:noProof/>
            </w:rPr>
            <w:t>2.5.1: Perspectives I: The Prairies Shall Return</w:t>
          </w:r>
          <w:r>
            <w:rPr>
              <w:noProof/>
            </w:rPr>
            <w:tab/>
          </w:r>
          <w:r>
            <w:rPr>
              <w:noProof/>
            </w:rPr>
            <w:fldChar w:fldCharType="begin"/>
          </w:r>
          <w:r>
            <w:rPr>
              <w:noProof/>
            </w:rPr>
            <w:instrText xml:space="preserve"> PAGEREF _Toc368046162 \h </w:instrText>
          </w:r>
          <w:r>
            <w:rPr>
              <w:noProof/>
            </w:rPr>
          </w:r>
          <w:r>
            <w:rPr>
              <w:noProof/>
            </w:rPr>
            <w:fldChar w:fldCharType="separate"/>
          </w:r>
          <w:r>
            <w:rPr>
              <w:noProof/>
            </w:rPr>
            <w:t>31</w:t>
          </w:r>
          <w:r>
            <w:rPr>
              <w:noProof/>
            </w:rPr>
            <w:fldChar w:fldCharType="end"/>
          </w:r>
        </w:p>
        <w:p w:rsidR="00C40497" w:rsidRDefault="00C40497">
          <w:pPr>
            <w:pStyle w:val="TOC3"/>
            <w:tabs>
              <w:tab w:val="right" w:leader="dot" w:pos="8486"/>
            </w:tabs>
            <w:rPr>
              <w:noProof/>
              <w:sz w:val="22"/>
              <w:lang w:eastAsia="en-US"/>
            </w:rPr>
          </w:pPr>
          <w:r w:rsidRPr="00FD6082">
            <w:rPr>
              <w:noProof/>
            </w:rPr>
            <w:t>2.5.2: Perspectives II: The Great American Promise</w:t>
          </w:r>
          <w:r>
            <w:rPr>
              <w:noProof/>
            </w:rPr>
            <w:tab/>
          </w:r>
          <w:r>
            <w:rPr>
              <w:noProof/>
            </w:rPr>
            <w:fldChar w:fldCharType="begin"/>
          </w:r>
          <w:r>
            <w:rPr>
              <w:noProof/>
            </w:rPr>
            <w:instrText xml:space="preserve"> PAGEREF _Toc368046163 \h </w:instrText>
          </w:r>
          <w:r>
            <w:rPr>
              <w:noProof/>
            </w:rPr>
          </w:r>
          <w:r>
            <w:rPr>
              <w:noProof/>
            </w:rPr>
            <w:fldChar w:fldCharType="separate"/>
          </w:r>
          <w:r>
            <w:rPr>
              <w:noProof/>
            </w:rPr>
            <w:t>34</w:t>
          </w:r>
          <w:r>
            <w:rPr>
              <w:noProof/>
            </w:rPr>
            <w:fldChar w:fldCharType="end"/>
          </w:r>
        </w:p>
        <w:p w:rsidR="00C40497" w:rsidRDefault="00C40497">
          <w:pPr>
            <w:pStyle w:val="TOC3"/>
            <w:tabs>
              <w:tab w:val="right" w:leader="dot" w:pos="8486"/>
            </w:tabs>
            <w:rPr>
              <w:noProof/>
              <w:sz w:val="22"/>
              <w:lang w:eastAsia="en-US"/>
            </w:rPr>
          </w:pPr>
          <w:r w:rsidRPr="00FD6082">
            <w:rPr>
              <w:noProof/>
            </w:rPr>
            <w:t>2.5.3: Perspectives III: An Agricultural, Resource, Extraction, and Production Hub</w:t>
          </w:r>
          <w:r>
            <w:rPr>
              <w:noProof/>
            </w:rPr>
            <w:tab/>
          </w:r>
          <w:r>
            <w:rPr>
              <w:noProof/>
            </w:rPr>
            <w:fldChar w:fldCharType="begin"/>
          </w:r>
          <w:r>
            <w:rPr>
              <w:noProof/>
            </w:rPr>
            <w:instrText xml:space="preserve"> PAGEREF _Toc368046164 \h </w:instrText>
          </w:r>
          <w:r>
            <w:rPr>
              <w:noProof/>
            </w:rPr>
          </w:r>
          <w:r>
            <w:rPr>
              <w:noProof/>
            </w:rPr>
            <w:fldChar w:fldCharType="separate"/>
          </w:r>
          <w:r>
            <w:rPr>
              <w:noProof/>
            </w:rPr>
            <w:t>35</w:t>
          </w:r>
          <w:r>
            <w:rPr>
              <w:noProof/>
            </w:rPr>
            <w:fldChar w:fldCharType="end"/>
          </w:r>
        </w:p>
        <w:p w:rsidR="00C40497" w:rsidRDefault="00C40497">
          <w:pPr>
            <w:pStyle w:val="TOC3"/>
            <w:tabs>
              <w:tab w:val="right" w:leader="dot" w:pos="8486"/>
            </w:tabs>
            <w:rPr>
              <w:noProof/>
              <w:sz w:val="22"/>
              <w:lang w:eastAsia="en-US"/>
            </w:rPr>
          </w:pPr>
          <w:r w:rsidRPr="00FD6082">
            <w:rPr>
              <w:noProof/>
            </w:rPr>
            <w:t>2.5.4: Quantitative Analysis I: Population Projections</w:t>
          </w:r>
          <w:r>
            <w:rPr>
              <w:noProof/>
            </w:rPr>
            <w:tab/>
          </w:r>
          <w:r>
            <w:rPr>
              <w:noProof/>
            </w:rPr>
            <w:fldChar w:fldCharType="begin"/>
          </w:r>
          <w:r>
            <w:rPr>
              <w:noProof/>
            </w:rPr>
            <w:instrText xml:space="preserve"> PAGEREF _Toc368046165 \h </w:instrText>
          </w:r>
          <w:r>
            <w:rPr>
              <w:noProof/>
            </w:rPr>
          </w:r>
          <w:r>
            <w:rPr>
              <w:noProof/>
            </w:rPr>
            <w:fldChar w:fldCharType="separate"/>
          </w:r>
          <w:r>
            <w:rPr>
              <w:noProof/>
            </w:rPr>
            <w:t>39</w:t>
          </w:r>
          <w:r>
            <w:rPr>
              <w:noProof/>
            </w:rPr>
            <w:fldChar w:fldCharType="end"/>
          </w:r>
        </w:p>
        <w:p w:rsidR="00C40497" w:rsidRDefault="00C40497">
          <w:pPr>
            <w:pStyle w:val="TOC3"/>
            <w:tabs>
              <w:tab w:val="right" w:leader="dot" w:pos="8486"/>
            </w:tabs>
            <w:rPr>
              <w:noProof/>
              <w:sz w:val="22"/>
              <w:lang w:eastAsia="en-US"/>
            </w:rPr>
          </w:pPr>
          <w:r w:rsidRPr="00FD6082">
            <w:rPr>
              <w:noProof/>
            </w:rPr>
            <w:t>2.5.5: Quantitative Analysis II: Land Use Projections</w:t>
          </w:r>
          <w:r>
            <w:rPr>
              <w:noProof/>
            </w:rPr>
            <w:tab/>
          </w:r>
          <w:r>
            <w:rPr>
              <w:noProof/>
            </w:rPr>
            <w:fldChar w:fldCharType="begin"/>
          </w:r>
          <w:r>
            <w:rPr>
              <w:noProof/>
            </w:rPr>
            <w:instrText xml:space="preserve"> PAGEREF _Toc368046166 \h </w:instrText>
          </w:r>
          <w:r>
            <w:rPr>
              <w:noProof/>
            </w:rPr>
          </w:r>
          <w:r>
            <w:rPr>
              <w:noProof/>
            </w:rPr>
            <w:fldChar w:fldCharType="separate"/>
          </w:r>
          <w:r>
            <w:rPr>
              <w:noProof/>
            </w:rPr>
            <w:t>42</w:t>
          </w:r>
          <w:r>
            <w:rPr>
              <w:noProof/>
            </w:rPr>
            <w:fldChar w:fldCharType="end"/>
          </w:r>
        </w:p>
        <w:p w:rsidR="00C40497" w:rsidRDefault="00C40497">
          <w:pPr>
            <w:pStyle w:val="TOC3"/>
            <w:tabs>
              <w:tab w:val="right" w:leader="dot" w:pos="8486"/>
            </w:tabs>
            <w:rPr>
              <w:noProof/>
              <w:sz w:val="22"/>
              <w:lang w:eastAsia="en-US"/>
            </w:rPr>
          </w:pPr>
          <w:r w:rsidRPr="00FD6082">
            <w:rPr>
              <w:noProof/>
            </w:rPr>
            <w:t>2.5.6: Implications Of Climate Change Vis-à-vis Scenarios</w:t>
          </w:r>
          <w:r>
            <w:rPr>
              <w:noProof/>
            </w:rPr>
            <w:tab/>
          </w:r>
          <w:r>
            <w:rPr>
              <w:noProof/>
            </w:rPr>
            <w:fldChar w:fldCharType="begin"/>
          </w:r>
          <w:r>
            <w:rPr>
              <w:noProof/>
            </w:rPr>
            <w:instrText xml:space="preserve"> PAGEREF _Toc368046167 \h </w:instrText>
          </w:r>
          <w:r>
            <w:rPr>
              <w:noProof/>
            </w:rPr>
          </w:r>
          <w:r>
            <w:rPr>
              <w:noProof/>
            </w:rPr>
            <w:fldChar w:fldCharType="separate"/>
          </w:r>
          <w:r>
            <w:rPr>
              <w:noProof/>
            </w:rPr>
            <w:t>44</w:t>
          </w:r>
          <w:r>
            <w:rPr>
              <w:noProof/>
            </w:rPr>
            <w:fldChar w:fldCharType="end"/>
          </w:r>
        </w:p>
        <w:p w:rsidR="00C40497" w:rsidRDefault="00C40497">
          <w:pPr>
            <w:pStyle w:val="TOC2"/>
            <w:tabs>
              <w:tab w:val="right" w:leader="dot" w:pos="8486"/>
            </w:tabs>
            <w:rPr>
              <w:sz w:val="22"/>
              <w:lang w:eastAsia="en-US"/>
            </w:rPr>
          </w:pPr>
          <w:r>
            <w:t>2.6: Conclusions: The Great Plains: An Uncertain Future</w:t>
          </w:r>
          <w:r>
            <w:tab/>
          </w:r>
          <w:r>
            <w:fldChar w:fldCharType="begin"/>
          </w:r>
          <w:r>
            <w:instrText xml:space="preserve"> PAGEREF _Toc368046168 \h </w:instrText>
          </w:r>
          <w:r>
            <w:fldChar w:fldCharType="separate"/>
          </w:r>
          <w:r>
            <w:t>45</w:t>
          </w:r>
          <w:r>
            <w:fldChar w:fldCharType="end"/>
          </w:r>
        </w:p>
        <w:p w:rsidR="00C40497" w:rsidRDefault="00C40497">
          <w:pPr>
            <w:pStyle w:val="TOC2"/>
            <w:tabs>
              <w:tab w:val="right" w:leader="dot" w:pos="8486"/>
            </w:tabs>
            <w:rPr>
              <w:sz w:val="22"/>
              <w:lang w:eastAsia="en-US"/>
            </w:rPr>
          </w:pPr>
          <w:r>
            <w:t>Acknowledgements</w:t>
          </w:r>
          <w:r>
            <w:tab/>
          </w:r>
          <w:r>
            <w:fldChar w:fldCharType="begin"/>
          </w:r>
          <w:r>
            <w:instrText xml:space="preserve"> PAGEREF _Toc368046169 \h </w:instrText>
          </w:r>
          <w:r>
            <w:fldChar w:fldCharType="separate"/>
          </w:r>
          <w:r>
            <w:t>46</w:t>
          </w:r>
          <w:r>
            <w:fldChar w:fldCharType="end"/>
          </w:r>
        </w:p>
        <w:p w:rsidR="00C40497" w:rsidRDefault="00C40497">
          <w:pPr>
            <w:pStyle w:val="TOC2"/>
            <w:tabs>
              <w:tab w:val="right" w:leader="dot" w:pos="8486"/>
            </w:tabs>
            <w:rPr>
              <w:sz w:val="22"/>
              <w:lang w:eastAsia="en-US"/>
            </w:rPr>
          </w:pPr>
          <w:r>
            <w:t>References</w:t>
          </w:r>
          <w:r>
            <w:tab/>
          </w:r>
          <w:r>
            <w:fldChar w:fldCharType="begin"/>
          </w:r>
          <w:r>
            <w:instrText xml:space="preserve"> PAGEREF _Toc368046170 \h </w:instrText>
          </w:r>
          <w:r>
            <w:fldChar w:fldCharType="separate"/>
          </w:r>
          <w:r>
            <w:t>46</w:t>
          </w:r>
          <w:r>
            <w:fldChar w:fldCharType="end"/>
          </w:r>
        </w:p>
        <w:p w:rsidR="00C40497" w:rsidRDefault="00C40497">
          <w:pPr>
            <w:pStyle w:val="TOC1"/>
            <w:tabs>
              <w:tab w:val="right" w:leader="dot" w:pos="8486"/>
            </w:tabs>
            <w:rPr>
              <w:noProof/>
              <w:sz w:val="22"/>
              <w:lang w:eastAsia="en-US"/>
            </w:rPr>
          </w:pPr>
          <w:r>
            <w:rPr>
              <w:noProof/>
            </w:rPr>
            <w:t>Chapter 3: Simulating the hydrologic response of a semiarid watershed to switchgrass cultivation</w:t>
          </w:r>
          <w:r>
            <w:rPr>
              <w:noProof/>
            </w:rPr>
            <w:tab/>
          </w:r>
          <w:r>
            <w:rPr>
              <w:noProof/>
            </w:rPr>
            <w:fldChar w:fldCharType="begin"/>
          </w:r>
          <w:r>
            <w:rPr>
              <w:noProof/>
            </w:rPr>
            <w:instrText xml:space="preserve"> PAGEREF _Toc368046171 \h </w:instrText>
          </w:r>
          <w:r>
            <w:rPr>
              <w:noProof/>
            </w:rPr>
          </w:r>
          <w:r>
            <w:rPr>
              <w:noProof/>
            </w:rPr>
            <w:fldChar w:fldCharType="separate"/>
          </w:r>
          <w:r>
            <w:rPr>
              <w:noProof/>
            </w:rPr>
            <w:t>54</w:t>
          </w:r>
          <w:r>
            <w:rPr>
              <w:noProof/>
            </w:rPr>
            <w:fldChar w:fldCharType="end"/>
          </w:r>
        </w:p>
        <w:p w:rsidR="00C40497" w:rsidRDefault="00C40497">
          <w:pPr>
            <w:pStyle w:val="TOC2"/>
            <w:tabs>
              <w:tab w:val="right" w:leader="dot" w:pos="8486"/>
            </w:tabs>
            <w:rPr>
              <w:sz w:val="22"/>
              <w:lang w:eastAsia="en-US"/>
            </w:rPr>
          </w:pPr>
          <w:r>
            <w:t>Abstract</w:t>
          </w:r>
          <w:r>
            <w:tab/>
          </w:r>
          <w:r>
            <w:fldChar w:fldCharType="begin"/>
          </w:r>
          <w:r>
            <w:instrText xml:space="preserve"> PAGEREF _Toc368046172 \h </w:instrText>
          </w:r>
          <w:r>
            <w:fldChar w:fldCharType="separate"/>
          </w:r>
          <w:r>
            <w:t>55</w:t>
          </w:r>
          <w:r>
            <w:fldChar w:fldCharType="end"/>
          </w:r>
        </w:p>
        <w:p w:rsidR="00C40497" w:rsidRDefault="00C40497">
          <w:pPr>
            <w:pStyle w:val="TOC2"/>
            <w:tabs>
              <w:tab w:val="right" w:leader="dot" w:pos="8486"/>
            </w:tabs>
            <w:rPr>
              <w:sz w:val="22"/>
              <w:lang w:eastAsia="en-US"/>
            </w:rPr>
          </w:pPr>
          <w:r>
            <w:t>3.1: Introduction</w:t>
          </w:r>
          <w:r>
            <w:tab/>
          </w:r>
          <w:r>
            <w:fldChar w:fldCharType="begin"/>
          </w:r>
          <w:r>
            <w:instrText xml:space="preserve"> PAGEREF _Toc368046173 \h </w:instrText>
          </w:r>
          <w:r>
            <w:fldChar w:fldCharType="separate"/>
          </w:r>
          <w:r>
            <w:t>56</w:t>
          </w:r>
          <w:r>
            <w:fldChar w:fldCharType="end"/>
          </w:r>
        </w:p>
        <w:p w:rsidR="00C40497" w:rsidRDefault="00C40497">
          <w:pPr>
            <w:pStyle w:val="TOC2"/>
            <w:tabs>
              <w:tab w:val="right" w:leader="dot" w:pos="8486"/>
            </w:tabs>
            <w:rPr>
              <w:sz w:val="22"/>
              <w:lang w:eastAsia="en-US"/>
            </w:rPr>
          </w:pPr>
          <w:r>
            <w:t>3.2: Study Area</w:t>
          </w:r>
          <w:r>
            <w:tab/>
          </w:r>
          <w:r>
            <w:fldChar w:fldCharType="begin"/>
          </w:r>
          <w:r>
            <w:instrText xml:space="preserve"> PAGEREF _Toc368046174 \h </w:instrText>
          </w:r>
          <w:r>
            <w:fldChar w:fldCharType="separate"/>
          </w:r>
          <w:r>
            <w:t>62</w:t>
          </w:r>
          <w:r>
            <w:fldChar w:fldCharType="end"/>
          </w:r>
        </w:p>
        <w:p w:rsidR="00C40497" w:rsidRDefault="00C40497">
          <w:pPr>
            <w:pStyle w:val="TOC2"/>
            <w:tabs>
              <w:tab w:val="right" w:leader="dot" w:pos="8486"/>
            </w:tabs>
            <w:rPr>
              <w:sz w:val="22"/>
              <w:lang w:eastAsia="en-US"/>
            </w:rPr>
          </w:pPr>
          <w:r>
            <w:t>3.3: Model Description and Methods</w:t>
          </w:r>
          <w:r>
            <w:tab/>
          </w:r>
          <w:r>
            <w:fldChar w:fldCharType="begin"/>
          </w:r>
          <w:r>
            <w:instrText xml:space="preserve"> PAGEREF _Toc368046175 \h </w:instrText>
          </w:r>
          <w:r>
            <w:fldChar w:fldCharType="separate"/>
          </w:r>
          <w:r>
            <w:t>65</w:t>
          </w:r>
          <w:r>
            <w:fldChar w:fldCharType="end"/>
          </w:r>
        </w:p>
        <w:p w:rsidR="00C40497" w:rsidRDefault="00C40497">
          <w:pPr>
            <w:pStyle w:val="TOC2"/>
            <w:tabs>
              <w:tab w:val="right" w:leader="dot" w:pos="8486"/>
            </w:tabs>
            <w:rPr>
              <w:sz w:val="22"/>
              <w:lang w:eastAsia="en-US"/>
            </w:rPr>
          </w:pPr>
          <w:r>
            <w:t>3.4: Results</w:t>
          </w:r>
          <w:r>
            <w:tab/>
          </w:r>
          <w:r>
            <w:fldChar w:fldCharType="begin"/>
          </w:r>
          <w:r>
            <w:instrText xml:space="preserve"> PAGEREF _Toc368046176 \h </w:instrText>
          </w:r>
          <w:r>
            <w:fldChar w:fldCharType="separate"/>
          </w:r>
          <w:r>
            <w:t>69</w:t>
          </w:r>
          <w:r>
            <w:fldChar w:fldCharType="end"/>
          </w:r>
        </w:p>
        <w:p w:rsidR="00C40497" w:rsidRDefault="00C40497">
          <w:pPr>
            <w:pStyle w:val="TOC3"/>
            <w:tabs>
              <w:tab w:val="right" w:leader="dot" w:pos="8486"/>
            </w:tabs>
            <w:rPr>
              <w:noProof/>
              <w:sz w:val="22"/>
              <w:lang w:eastAsia="en-US"/>
            </w:rPr>
          </w:pPr>
          <w:r w:rsidRPr="00FD6082">
            <w:rPr>
              <w:noProof/>
            </w:rPr>
            <w:t>3.4.1: Calibration</w:t>
          </w:r>
          <w:r>
            <w:rPr>
              <w:noProof/>
            </w:rPr>
            <w:tab/>
          </w:r>
          <w:r>
            <w:rPr>
              <w:noProof/>
            </w:rPr>
            <w:fldChar w:fldCharType="begin"/>
          </w:r>
          <w:r>
            <w:rPr>
              <w:noProof/>
            </w:rPr>
            <w:instrText xml:space="preserve"> PAGEREF _Toc368046177 \h </w:instrText>
          </w:r>
          <w:r>
            <w:rPr>
              <w:noProof/>
            </w:rPr>
          </w:r>
          <w:r>
            <w:rPr>
              <w:noProof/>
            </w:rPr>
            <w:fldChar w:fldCharType="separate"/>
          </w:r>
          <w:r>
            <w:rPr>
              <w:noProof/>
            </w:rPr>
            <w:t>69</w:t>
          </w:r>
          <w:r>
            <w:rPr>
              <w:noProof/>
            </w:rPr>
            <w:fldChar w:fldCharType="end"/>
          </w:r>
        </w:p>
        <w:p w:rsidR="00C40497" w:rsidRDefault="00C40497">
          <w:pPr>
            <w:pStyle w:val="TOC3"/>
            <w:tabs>
              <w:tab w:val="right" w:leader="dot" w:pos="8486"/>
            </w:tabs>
            <w:rPr>
              <w:noProof/>
              <w:sz w:val="22"/>
              <w:lang w:eastAsia="en-US"/>
            </w:rPr>
          </w:pPr>
          <w:r w:rsidRPr="00FD6082">
            <w:rPr>
              <w:noProof/>
            </w:rPr>
            <w:t>3.4.2: Spring and summer discharge</w:t>
          </w:r>
          <w:r>
            <w:rPr>
              <w:noProof/>
            </w:rPr>
            <w:tab/>
          </w:r>
          <w:r>
            <w:rPr>
              <w:noProof/>
            </w:rPr>
            <w:fldChar w:fldCharType="begin"/>
          </w:r>
          <w:r>
            <w:rPr>
              <w:noProof/>
            </w:rPr>
            <w:instrText xml:space="preserve"> PAGEREF _Toc368046178 \h </w:instrText>
          </w:r>
          <w:r>
            <w:rPr>
              <w:noProof/>
            </w:rPr>
          </w:r>
          <w:r>
            <w:rPr>
              <w:noProof/>
            </w:rPr>
            <w:fldChar w:fldCharType="separate"/>
          </w:r>
          <w:r>
            <w:rPr>
              <w:noProof/>
            </w:rPr>
            <w:t>75</w:t>
          </w:r>
          <w:r>
            <w:rPr>
              <w:noProof/>
            </w:rPr>
            <w:fldChar w:fldCharType="end"/>
          </w:r>
        </w:p>
        <w:p w:rsidR="00C40497" w:rsidRDefault="00C40497">
          <w:pPr>
            <w:pStyle w:val="TOC3"/>
            <w:tabs>
              <w:tab w:val="right" w:leader="dot" w:pos="8486"/>
            </w:tabs>
            <w:rPr>
              <w:noProof/>
              <w:sz w:val="22"/>
              <w:lang w:eastAsia="en-US"/>
            </w:rPr>
          </w:pPr>
          <w:r w:rsidRPr="00FD6082">
            <w:rPr>
              <w:noProof/>
            </w:rPr>
            <w:lastRenderedPageBreak/>
            <w:t>3.4.3: Spring and summer eT</w:t>
          </w:r>
          <w:r>
            <w:rPr>
              <w:noProof/>
            </w:rPr>
            <w:tab/>
          </w:r>
          <w:r>
            <w:rPr>
              <w:noProof/>
            </w:rPr>
            <w:fldChar w:fldCharType="begin"/>
          </w:r>
          <w:r>
            <w:rPr>
              <w:noProof/>
            </w:rPr>
            <w:instrText xml:space="preserve"> PAGEREF _Toc368046179 \h </w:instrText>
          </w:r>
          <w:r>
            <w:rPr>
              <w:noProof/>
            </w:rPr>
          </w:r>
          <w:r>
            <w:rPr>
              <w:noProof/>
            </w:rPr>
            <w:fldChar w:fldCharType="separate"/>
          </w:r>
          <w:r>
            <w:rPr>
              <w:noProof/>
            </w:rPr>
            <w:t>75</w:t>
          </w:r>
          <w:r>
            <w:rPr>
              <w:noProof/>
            </w:rPr>
            <w:fldChar w:fldCharType="end"/>
          </w:r>
        </w:p>
        <w:p w:rsidR="00C40497" w:rsidRDefault="00C40497">
          <w:pPr>
            <w:pStyle w:val="TOC2"/>
            <w:tabs>
              <w:tab w:val="right" w:leader="dot" w:pos="8486"/>
            </w:tabs>
            <w:rPr>
              <w:sz w:val="22"/>
              <w:lang w:eastAsia="en-US"/>
            </w:rPr>
          </w:pPr>
          <w:r>
            <w:t>3.5: Conclusions</w:t>
          </w:r>
          <w:r>
            <w:tab/>
          </w:r>
          <w:r>
            <w:fldChar w:fldCharType="begin"/>
          </w:r>
          <w:r>
            <w:instrText xml:space="preserve"> PAGEREF _Toc368046180 \h </w:instrText>
          </w:r>
          <w:r>
            <w:fldChar w:fldCharType="separate"/>
          </w:r>
          <w:r>
            <w:t>84</w:t>
          </w:r>
          <w:r>
            <w:fldChar w:fldCharType="end"/>
          </w:r>
        </w:p>
        <w:p w:rsidR="00C40497" w:rsidRDefault="00C40497">
          <w:pPr>
            <w:pStyle w:val="TOC1"/>
            <w:tabs>
              <w:tab w:val="right" w:leader="dot" w:pos="8486"/>
            </w:tabs>
            <w:rPr>
              <w:noProof/>
              <w:sz w:val="22"/>
              <w:lang w:eastAsia="en-US"/>
            </w:rPr>
          </w:pPr>
          <w:r>
            <w:rPr>
              <w:noProof/>
            </w:rPr>
            <w:t>Acknowledgements</w:t>
          </w:r>
          <w:r>
            <w:rPr>
              <w:noProof/>
            </w:rPr>
            <w:tab/>
          </w:r>
          <w:r>
            <w:rPr>
              <w:noProof/>
            </w:rPr>
            <w:fldChar w:fldCharType="begin"/>
          </w:r>
          <w:r>
            <w:rPr>
              <w:noProof/>
            </w:rPr>
            <w:instrText xml:space="preserve"> PAGEREF _Toc368046181 \h </w:instrText>
          </w:r>
          <w:r>
            <w:rPr>
              <w:noProof/>
            </w:rPr>
          </w:r>
          <w:r>
            <w:rPr>
              <w:noProof/>
            </w:rPr>
            <w:fldChar w:fldCharType="separate"/>
          </w:r>
          <w:r>
            <w:rPr>
              <w:noProof/>
            </w:rPr>
            <w:t>86</w:t>
          </w:r>
          <w:r>
            <w:rPr>
              <w:noProof/>
            </w:rPr>
            <w:fldChar w:fldCharType="end"/>
          </w:r>
        </w:p>
        <w:p w:rsidR="00C40497" w:rsidRDefault="00C40497">
          <w:pPr>
            <w:pStyle w:val="TOC1"/>
            <w:tabs>
              <w:tab w:val="right" w:leader="dot" w:pos="8486"/>
            </w:tabs>
            <w:rPr>
              <w:noProof/>
              <w:sz w:val="22"/>
              <w:lang w:eastAsia="en-US"/>
            </w:rPr>
          </w:pPr>
          <w:r>
            <w:rPr>
              <w:noProof/>
            </w:rPr>
            <w:t>References</w:t>
          </w:r>
          <w:r>
            <w:rPr>
              <w:noProof/>
            </w:rPr>
            <w:tab/>
          </w:r>
          <w:r>
            <w:rPr>
              <w:noProof/>
            </w:rPr>
            <w:fldChar w:fldCharType="begin"/>
          </w:r>
          <w:r>
            <w:rPr>
              <w:noProof/>
            </w:rPr>
            <w:instrText xml:space="preserve"> PAGEREF _Toc368046182 \h </w:instrText>
          </w:r>
          <w:r>
            <w:rPr>
              <w:noProof/>
            </w:rPr>
          </w:r>
          <w:r>
            <w:rPr>
              <w:noProof/>
            </w:rPr>
            <w:fldChar w:fldCharType="separate"/>
          </w:r>
          <w:r>
            <w:rPr>
              <w:noProof/>
            </w:rPr>
            <w:t>86</w:t>
          </w:r>
          <w:r>
            <w:rPr>
              <w:noProof/>
            </w:rPr>
            <w:fldChar w:fldCharType="end"/>
          </w:r>
        </w:p>
        <w:p w:rsidR="00C40497" w:rsidRDefault="00C40497">
          <w:pPr>
            <w:pStyle w:val="TOC1"/>
            <w:tabs>
              <w:tab w:val="right" w:leader="dot" w:pos="8486"/>
            </w:tabs>
            <w:rPr>
              <w:noProof/>
              <w:sz w:val="22"/>
              <w:lang w:eastAsia="en-US"/>
            </w:rPr>
          </w:pPr>
          <w:r>
            <w:rPr>
              <w:noProof/>
            </w:rPr>
            <w:t>Chapter 4: Evaluating the Impacts of Climate Change and Switchgrass Production on a Semiarid Basin</w:t>
          </w:r>
          <w:r>
            <w:rPr>
              <w:noProof/>
            </w:rPr>
            <w:tab/>
          </w:r>
          <w:r>
            <w:rPr>
              <w:noProof/>
            </w:rPr>
            <w:fldChar w:fldCharType="begin"/>
          </w:r>
          <w:r>
            <w:rPr>
              <w:noProof/>
            </w:rPr>
            <w:instrText xml:space="preserve"> PAGEREF _Toc368046183 \h </w:instrText>
          </w:r>
          <w:r>
            <w:rPr>
              <w:noProof/>
            </w:rPr>
          </w:r>
          <w:r>
            <w:rPr>
              <w:noProof/>
            </w:rPr>
            <w:fldChar w:fldCharType="separate"/>
          </w:r>
          <w:r>
            <w:rPr>
              <w:noProof/>
            </w:rPr>
            <w:t>92</w:t>
          </w:r>
          <w:r>
            <w:rPr>
              <w:noProof/>
            </w:rPr>
            <w:fldChar w:fldCharType="end"/>
          </w:r>
        </w:p>
        <w:p w:rsidR="00C40497" w:rsidRDefault="00C40497">
          <w:pPr>
            <w:pStyle w:val="TOC2"/>
            <w:tabs>
              <w:tab w:val="right" w:leader="dot" w:pos="8486"/>
            </w:tabs>
            <w:rPr>
              <w:sz w:val="22"/>
              <w:lang w:eastAsia="en-US"/>
            </w:rPr>
          </w:pPr>
          <w:r>
            <w:t>Abstract</w:t>
          </w:r>
          <w:r>
            <w:tab/>
          </w:r>
          <w:r>
            <w:fldChar w:fldCharType="begin"/>
          </w:r>
          <w:r>
            <w:instrText xml:space="preserve"> PAGEREF _Toc368046184 \h </w:instrText>
          </w:r>
          <w:r>
            <w:fldChar w:fldCharType="separate"/>
          </w:r>
          <w:r>
            <w:t>93</w:t>
          </w:r>
          <w:r>
            <w:fldChar w:fldCharType="end"/>
          </w:r>
        </w:p>
        <w:p w:rsidR="00C40497" w:rsidRDefault="00C40497">
          <w:pPr>
            <w:pStyle w:val="TOC2"/>
            <w:tabs>
              <w:tab w:val="right" w:leader="dot" w:pos="8486"/>
            </w:tabs>
            <w:rPr>
              <w:sz w:val="22"/>
              <w:lang w:eastAsia="en-US"/>
            </w:rPr>
          </w:pPr>
          <w:r>
            <w:t>4.1: Introduction and Objective</w:t>
          </w:r>
          <w:r>
            <w:tab/>
          </w:r>
          <w:r>
            <w:fldChar w:fldCharType="begin"/>
          </w:r>
          <w:r>
            <w:instrText xml:space="preserve"> PAGEREF _Toc368046185 \h </w:instrText>
          </w:r>
          <w:r>
            <w:fldChar w:fldCharType="separate"/>
          </w:r>
          <w:r>
            <w:t>94</w:t>
          </w:r>
          <w:r>
            <w:fldChar w:fldCharType="end"/>
          </w:r>
        </w:p>
        <w:p w:rsidR="00C40497" w:rsidRDefault="00C40497">
          <w:pPr>
            <w:pStyle w:val="TOC2"/>
            <w:tabs>
              <w:tab w:val="right" w:leader="dot" w:pos="8486"/>
            </w:tabs>
            <w:rPr>
              <w:sz w:val="22"/>
              <w:lang w:eastAsia="en-US"/>
            </w:rPr>
          </w:pPr>
          <w:r>
            <w:t>4.2: Study Area</w:t>
          </w:r>
          <w:r>
            <w:tab/>
          </w:r>
          <w:r>
            <w:fldChar w:fldCharType="begin"/>
          </w:r>
          <w:r>
            <w:instrText xml:space="preserve"> PAGEREF _Toc368046186 \h </w:instrText>
          </w:r>
          <w:r>
            <w:fldChar w:fldCharType="separate"/>
          </w:r>
          <w:r>
            <w:t>98</w:t>
          </w:r>
          <w:r>
            <w:fldChar w:fldCharType="end"/>
          </w:r>
        </w:p>
        <w:p w:rsidR="00C40497" w:rsidRDefault="00C40497">
          <w:pPr>
            <w:pStyle w:val="TOC3"/>
            <w:tabs>
              <w:tab w:val="right" w:leader="dot" w:pos="8486"/>
            </w:tabs>
            <w:rPr>
              <w:noProof/>
              <w:sz w:val="22"/>
              <w:lang w:eastAsia="en-US"/>
            </w:rPr>
          </w:pPr>
          <w:r w:rsidRPr="00FD6082">
            <w:rPr>
              <w:noProof/>
            </w:rPr>
            <w:t>4.2.1: Overview</w:t>
          </w:r>
          <w:r>
            <w:rPr>
              <w:noProof/>
            </w:rPr>
            <w:tab/>
          </w:r>
          <w:r>
            <w:rPr>
              <w:noProof/>
            </w:rPr>
            <w:fldChar w:fldCharType="begin"/>
          </w:r>
          <w:r>
            <w:rPr>
              <w:noProof/>
            </w:rPr>
            <w:instrText xml:space="preserve"> PAGEREF _Toc368046187 \h </w:instrText>
          </w:r>
          <w:r>
            <w:rPr>
              <w:noProof/>
            </w:rPr>
          </w:r>
          <w:r>
            <w:rPr>
              <w:noProof/>
            </w:rPr>
            <w:fldChar w:fldCharType="separate"/>
          </w:r>
          <w:r>
            <w:rPr>
              <w:noProof/>
            </w:rPr>
            <w:t>98</w:t>
          </w:r>
          <w:r>
            <w:rPr>
              <w:noProof/>
            </w:rPr>
            <w:fldChar w:fldCharType="end"/>
          </w:r>
        </w:p>
        <w:p w:rsidR="00C40497" w:rsidRDefault="00C40497">
          <w:pPr>
            <w:pStyle w:val="TOC3"/>
            <w:tabs>
              <w:tab w:val="right" w:leader="dot" w:pos="8486"/>
            </w:tabs>
            <w:rPr>
              <w:noProof/>
              <w:sz w:val="22"/>
              <w:lang w:eastAsia="en-US"/>
            </w:rPr>
          </w:pPr>
          <w:r w:rsidRPr="00FD6082">
            <w:rPr>
              <w:noProof/>
            </w:rPr>
            <w:t>4.2.2: Geology</w:t>
          </w:r>
          <w:r>
            <w:rPr>
              <w:noProof/>
            </w:rPr>
            <w:tab/>
          </w:r>
          <w:r>
            <w:rPr>
              <w:noProof/>
            </w:rPr>
            <w:fldChar w:fldCharType="begin"/>
          </w:r>
          <w:r>
            <w:rPr>
              <w:noProof/>
            </w:rPr>
            <w:instrText xml:space="preserve"> PAGEREF _Toc368046188 \h </w:instrText>
          </w:r>
          <w:r>
            <w:rPr>
              <w:noProof/>
            </w:rPr>
          </w:r>
          <w:r>
            <w:rPr>
              <w:noProof/>
            </w:rPr>
            <w:fldChar w:fldCharType="separate"/>
          </w:r>
          <w:r>
            <w:rPr>
              <w:noProof/>
            </w:rPr>
            <w:t>100</w:t>
          </w:r>
          <w:r>
            <w:rPr>
              <w:noProof/>
            </w:rPr>
            <w:fldChar w:fldCharType="end"/>
          </w:r>
        </w:p>
        <w:p w:rsidR="00C40497" w:rsidRDefault="00C40497">
          <w:pPr>
            <w:pStyle w:val="TOC2"/>
            <w:tabs>
              <w:tab w:val="right" w:leader="dot" w:pos="8486"/>
            </w:tabs>
            <w:rPr>
              <w:sz w:val="22"/>
              <w:lang w:eastAsia="en-US"/>
            </w:rPr>
          </w:pPr>
          <w:r>
            <w:t>4.3: Data and Methods</w:t>
          </w:r>
          <w:r>
            <w:tab/>
          </w:r>
          <w:r>
            <w:fldChar w:fldCharType="begin"/>
          </w:r>
          <w:r>
            <w:instrText xml:space="preserve"> PAGEREF _Toc368046189 \h </w:instrText>
          </w:r>
          <w:r>
            <w:fldChar w:fldCharType="separate"/>
          </w:r>
          <w:r>
            <w:t>102</w:t>
          </w:r>
          <w:r>
            <w:fldChar w:fldCharType="end"/>
          </w:r>
        </w:p>
        <w:p w:rsidR="00C40497" w:rsidRDefault="00C40497">
          <w:pPr>
            <w:pStyle w:val="TOC3"/>
            <w:tabs>
              <w:tab w:val="right" w:leader="dot" w:pos="8486"/>
            </w:tabs>
            <w:rPr>
              <w:noProof/>
              <w:sz w:val="22"/>
              <w:lang w:eastAsia="en-US"/>
            </w:rPr>
          </w:pPr>
          <w:r w:rsidRPr="00FD6082">
            <w:rPr>
              <w:noProof/>
            </w:rPr>
            <w:t>4.3.1: Data and Model</w:t>
          </w:r>
          <w:r>
            <w:rPr>
              <w:noProof/>
            </w:rPr>
            <w:tab/>
          </w:r>
          <w:r>
            <w:rPr>
              <w:noProof/>
            </w:rPr>
            <w:fldChar w:fldCharType="begin"/>
          </w:r>
          <w:r>
            <w:rPr>
              <w:noProof/>
            </w:rPr>
            <w:instrText xml:space="preserve"> PAGEREF _Toc368046190 \h </w:instrText>
          </w:r>
          <w:r>
            <w:rPr>
              <w:noProof/>
            </w:rPr>
          </w:r>
          <w:r>
            <w:rPr>
              <w:noProof/>
            </w:rPr>
            <w:fldChar w:fldCharType="separate"/>
          </w:r>
          <w:r>
            <w:rPr>
              <w:noProof/>
            </w:rPr>
            <w:t>102</w:t>
          </w:r>
          <w:r>
            <w:rPr>
              <w:noProof/>
            </w:rPr>
            <w:fldChar w:fldCharType="end"/>
          </w:r>
        </w:p>
        <w:p w:rsidR="00C40497" w:rsidRDefault="00C40497">
          <w:pPr>
            <w:pStyle w:val="TOC3"/>
            <w:tabs>
              <w:tab w:val="right" w:leader="dot" w:pos="8486"/>
            </w:tabs>
            <w:rPr>
              <w:noProof/>
              <w:sz w:val="22"/>
              <w:lang w:eastAsia="en-US"/>
            </w:rPr>
          </w:pPr>
          <w:r w:rsidRPr="00FD6082">
            <w:rPr>
              <w:noProof/>
            </w:rPr>
            <w:t>4.3.2: Modeling Scenarios of Climate and Land Use Change</w:t>
          </w:r>
          <w:r>
            <w:rPr>
              <w:noProof/>
            </w:rPr>
            <w:tab/>
          </w:r>
          <w:r>
            <w:rPr>
              <w:noProof/>
            </w:rPr>
            <w:fldChar w:fldCharType="begin"/>
          </w:r>
          <w:r>
            <w:rPr>
              <w:noProof/>
            </w:rPr>
            <w:instrText xml:space="preserve"> PAGEREF _Toc368046191 \h </w:instrText>
          </w:r>
          <w:r>
            <w:rPr>
              <w:noProof/>
            </w:rPr>
          </w:r>
          <w:r>
            <w:rPr>
              <w:noProof/>
            </w:rPr>
            <w:fldChar w:fldCharType="separate"/>
          </w:r>
          <w:r>
            <w:rPr>
              <w:noProof/>
            </w:rPr>
            <w:t>106</w:t>
          </w:r>
          <w:r>
            <w:rPr>
              <w:noProof/>
            </w:rPr>
            <w:fldChar w:fldCharType="end"/>
          </w:r>
        </w:p>
        <w:p w:rsidR="00C40497" w:rsidRDefault="00C40497">
          <w:pPr>
            <w:pStyle w:val="TOC2"/>
            <w:tabs>
              <w:tab w:val="right" w:leader="dot" w:pos="8486"/>
            </w:tabs>
            <w:rPr>
              <w:sz w:val="22"/>
              <w:lang w:eastAsia="en-US"/>
            </w:rPr>
          </w:pPr>
          <w:r>
            <w:t>4.4: Results</w:t>
          </w:r>
          <w:r>
            <w:tab/>
          </w:r>
          <w:r>
            <w:fldChar w:fldCharType="begin"/>
          </w:r>
          <w:r>
            <w:instrText xml:space="preserve"> PAGEREF _Toc368046192 \h </w:instrText>
          </w:r>
          <w:r>
            <w:fldChar w:fldCharType="separate"/>
          </w:r>
          <w:r>
            <w:t>111</w:t>
          </w:r>
          <w:r>
            <w:fldChar w:fldCharType="end"/>
          </w:r>
        </w:p>
        <w:p w:rsidR="00C40497" w:rsidRDefault="00C40497">
          <w:pPr>
            <w:pStyle w:val="TOC3"/>
            <w:tabs>
              <w:tab w:val="right" w:leader="dot" w:pos="8486"/>
            </w:tabs>
            <w:rPr>
              <w:noProof/>
              <w:sz w:val="22"/>
              <w:lang w:eastAsia="en-US"/>
            </w:rPr>
          </w:pPr>
          <w:r w:rsidRPr="00FD6082">
            <w:rPr>
              <w:noProof/>
            </w:rPr>
            <w:t>4.4.1: Sensitivity Analysis and Calibration</w:t>
          </w:r>
          <w:r>
            <w:rPr>
              <w:noProof/>
            </w:rPr>
            <w:tab/>
          </w:r>
          <w:r>
            <w:rPr>
              <w:noProof/>
            </w:rPr>
            <w:fldChar w:fldCharType="begin"/>
          </w:r>
          <w:r>
            <w:rPr>
              <w:noProof/>
            </w:rPr>
            <w:instrText xml:space="preserve"> PAGEREF _Toc368046193 \h </w:instrText>
          </w:r>
          <w:r>
            <w:rPr>
              <w:noProof/>
            </w:rPr>
          </w:r>
          <w:r>
            <w:rPr>
              <w:noProof/>
            </w:rPr>
            <w:fldChar w:fldCharType="separate"/>
          </w:r>
          <w:r>
            <w:rPr>
              <w:noProof/>
            </w:rPr>
            <w:t>111</w:t>
          </w:r>
          <w:r>
            <w:rPr>
              <w:noProof/>
            </w:rPr>
            <w:fldChar w:fldCharType="end"/>
          </w:r>
        </w:p>
        <w:p w:rsidR="00C40497" w:rsidRDefault="00C40497">
          <w:pPr>
            <w:pStyle w:val="TOC3"/>
            <w:tabs>
              <w:tab w:val="right" w:leader="dot" w:pos="8486"/>
            </w:tabs>
            <w:rPr>
              <w:noProof/>
              <w:sz w:val="22"/>
              <w:lang w:eastAsia="en-US"/>
            </w:rPr>
          </w:pPr>
          <w:r w:rsidRPr="00FD6082">
            <w:rPr>
              <w:noProof/>
            </w:rPr>
            <w:t>4.4.2: Impacts of Projected Climate Change on the SCW</w:t>
          </w:r>
          <w:r>
            <w:rPr>
              <w:noProof/>
            </w:rPr>
            <w:tab/>
          </w:r>
          <w:r>
            <w:rPr>
              <w:noProof/>
            </w:rPr>
            <w:fldChar w:fldCharType="begin"/>
          </w:r>
          <w:r>
            <w:rPr>
              <w:noProof/>
            </w:rPr>
            <w:instrText xml:space="preserve"> PAGEREF _Toc368046194 \h </w:instrText>
          </w:r>
          <w:r>
            <w:rPr>
              <w:noProof/>
            </w:rPr>
          </w:r>
          <w:r>
            <w:rPr>
              <w:noProof/>
            </w:rPr>
            <w:fldChar w:fldCharType="separate"/>
          </w:r>
          <w:r>
            <w:rPr>
              <w:noProof/>
            </w:rPr>
            <w:t>115</w:t>
          </w:r>
          <w:r>
            <w:rPr>
              <w:noProof/>
            </w:rPr>
            <w:fldChar w:fldCharType="end"/>
          </w:r>
        </w:p>
        <w:p w:rsidR="00C40497" w:rsidRDefault="00C40497">
          <w:pPr>
            <w:pStyle w:val="TOC3"/>
            <w:tabs>
              <w:tab w:val="right" w:leader="dot" w:pos="8486"/>
            </w:tabs>
            <w:rPr>
              <w:noProof/>
              <w:sz w:val="22"/>
              <w:lang w:eastAsia="en-US"/>
            </w:rPr>
          </w:pPr>
          <w:r w:rsidRPr="00FD6082">
            <w:rPr>
              <w:noProof/>
            </w:rPr>
            <w:t>4.4.3: Response of the SCW to Climate Change and Switchgrass Cultivation</w:t>
          </w:r>
          <w:r>
            <w:rPr>
              <w:noProof/>
            </w:rPr>
            <w:tab/>
          </w:r>
          <w:r>
            <w:rPr>
              <w:noProof/>
            </w:rPr>
            <w:fldChar w:fldCharType="begin"/>
          </w:r>
          <w:r>
            <w:rPr>
              <w:noProof/>
            </w:rPr>
            <w:instrText xml:space="preserve"> PAGEREF _Toc368046195 \h </w:instrText>
          </w:r>
          <w:r>
            <w:rPr>
              <w:noProof/>
            </w:rPr>
          </w:r>
          <w:r>
            <w:rPr>
              <w:noProof/>
            </w:rPr>
            <w:fldChar w:fldCharType="separate"/>
          </w:r>
          <w:r>
            <w:rPr>
              <w:noProof/>
            </w:rPr>
            <w:t>117</w:t>
          </w:r>
          <w:r>
            <w:rPr>
              <w:noProof/>
            </w:rPr>
            <w:fldChar w:fldCharType="end"/>
          </w:r>
        </w:p>
        <w:p w:rsidR="00C40497" w:rsidRDefault="00C40497">
          <w:pPr>
            <w:pStyle w:val="TOC3"/>
            <w:tabs>
              <w:tab w:val="right" w:leader="dot" w:pos="8486"/>
            </w:tabs>
            <w:rPr>
              <w:noProof/>
              <w:sz w:val="22"/>
              <w:lang w:eastAsia="en-US"/>
            </w:rPr>
          </w:pPr>
          <w:r w:rsidRPr="00FD6082">
            <w:rPr>
              <w:noProof/>
            </w:rPr>
            <w:t>4.4.4: Determination of dominant mechanism affecting hydrology</w:t>
          </w:r>
          <w:r>
            <w:rPr>
              <w:noProof/>
            </w:rPr>
            <w:tab/>
          </w:r>
          <w:r>
            <w:rPr>
              <w:noProof/>
            </w:rPr>
            <w:fldChar w:fldCharType="begin"/>
          </w:r>
          <w:r>
            <w:rPr>
              <w:noProof/>
            </w:rPr>
            <w:instrText xml:space="preserve"> PAGEREF _Toc368046196 \h </w:instrText>
          </w:r>
          <w:r>
            <w:rPr>
              <w:noProof/>
            </w:rPr>
          </w:r>
          <w:r>
            <w:rPr>
              <w:noProof/>
            </w:rPr>
            <w:fldChar w:fldCharType="separate"/>
          </w:r>
          <w:r>
            <w:rPr>
              <w:noProof/>
            </w:rPr>
            <w:t>119</w:t>
          </w:r>
          <w:r>
            <w:rPr>
              <w:noProof/>
            </w:rPr>
            <w:fldChar w:fldCharType="end"/>
          </w:r>
        </w:p>
        <w:p w:rsidR="00C40497" w:rsidRDefault="00C40497">
          <w:pPr>
            <w:pStyle w:val="TOC2"/>
            <w:tabs>
              <w:tab w:val="right" w:leader="dot" w:pos="8486"/>
            </w:tabs>
            <w:rPr>
              <w:sz w:val="22"/>
              <w:lang w:eastAsia="en-US"/>
            </w:rPr>
          </w:pPr>
          <w:r>
            <w:t>4.5: Conclusions</w:t>
          </w:r>
          <w:r>
            <w:tab/>
          </w:r>
          <w:r>
            <w:fldChar w:fldCharType="begin"/>
          </w:r>
          <w:r>
            <w:instrText xml:space="preserve"> PAGEREF _Toc368046197 \h </w:instrText>
          </w:r>
          <w:r>
            <w:fldChar w:fldCharType="separate"/>
          </w:r>
          <w:r>
            <w:t>120</w:t>
          </w:r>
          <w:r>
            <w:fldChar w:fldCharType="end"/>
          </w:r>
        </w:p>
        <w:p w:rsidR="00C40497" w:rsidRDefault="00C40497">
          <w:pPr>
            <w:pStyle w:val="TOC2"/>
            <w:tabs>
              <w:tab w:val="right" w:leader="dot" w:pos="8486"/>
            </w:tabs>
            <w:rPr>
              <w:sz w:val="22"/>
              <w:lang w:eastAsia="en-US"/>
            </w:rPr>
          </w:pPr>
          <w:r>
            <w:lastRenderedPageBreak/>
            <w:t>Acknowledgements</w:t>
          </w:r>
          <w:r>
            <w:tab/>
          </w:r>
          <w:r>
            <w:fldChar w:fldCharType="begin"/>
          </w:r>
          <w:r>
            <w:instrText xml:space="preserve"> PAGEREF _Toc368046198 \h </w:instrText>
          </w:r>
          <w:r>
            <w:fldChar w:fldCharType="separate"/>
          </w:r>
          <w:r>
            <w:t>124</w:t>
          </w:r>
          <w:r>
            <w:fldChar w:fldCharType="end"/>
          </w:r>
        </w:p>
        <w:p w:rsidR="00C40497" w:rsidRDefault="00C40497">
          <w:pPr>
            <w:pStyle w:val="TOC2"/>
            <w:tabs>
              <w:tab w:val="right" w:leader="dot" w:pos="8486"/>
            </w:tabs>
            <w:rPr>
              <w:sz w:val="22"/>
              <w:lang w:eastAsia="en-US"/>
            </w:rPr>
          </w:pPr>
          <w:r>
            <w:t>References</w:t>
          </w:r>
          <w:r>
            <w:tab/>
          </w:r>
          <w:r>
            <w:fldChar w:fldCharType="begin"/>
          </w:r>
          <w:r>
            <w:instrText xml:space="preserve"> PAGEREF _Toc368046199 \h </w:instrText>
          </w:r>
          <w:r>
            <w:fldChar w:fldCharType="separate"/>
          </w:r>
          <w:r>
            <w:t>125</w:t>
          </w:r>
          <w:r>
            <w:fldChar w:fldCharType="end"/>
          </w:r>
        </w:p>
        <w:p w:rsidR="00C40497" w:rsidRDefault="00C40497">
          <w:pPr>
            <w:pStyle w:val="TOC1"/>
            <w:tabs>
              <w:tab w:val="right" w:leader="dot" w:pos="8486"/>
            </w:tabs>
            <w:rPr>
              <w:noProof/>
              <w:sz w:val="22"/>
              <w:lang w:eastAsia="en-US"/>
            </w:rPr>
          </w:pPr>
          <w:r>
            <w:rPr>
              <w:noProof/>
            </w:rPr>
            <w:t>Chapter 5: Conclusion</w:t>
          </w:r>
          <w:r>
            <w:rPr>
              <w:noProof/>
            </w:rPr>
            <w:tab/>
          </w:r>
          <w:r>
            <w:rPr>
              <w:noProof/>
            </w:rPr>
            <w:fldChar w:fldCharType="begin"/>
          </w:r>
          <w:r>
            <w:rPr>
              <w:noProof/>
            </w:rPr>
            <w:instrText xml:space="preserve"> PAGEREF _Toc368046200 \h </w:instrText>
          </w:r>
          <w:r>
            <w:rPr>
              <w:noProof/>
            </w:rPr>
          </w:r>
          <w:r>
            <w:rPr>
              <w:noProof/>
            </w:rPr>
            <w:fldChar w:fldCharType="separate"/>
          </w:r>
          <w:r>
            <w:rPr>
              <w:noProof/>
            </w:rPr>
            <w:t>132</w:t>
          </w:r>
          <w:r>
            <w:rPr>
              <w:noProof/>
            </w:rPr>
            <w:fldChar w:fldCharType="end"/>
          </w:r>
        </w:p>
        <w:p w:rsidR="00C40497" w:rsidRDefault="00C40497">
          <w:pPr>
            <w:pStyle w:val="TOC2"/>
            <w:tabs>
              <w:tab w:val="right" w:leader="dot" w:pos="8486"/>
            </w:tabs>
            <w:rPr>
              <w:sz w:val="22"/>
              <w:lang w:eastAsia="en-US"/>
            </w:rPr>
          </w:pPr>
          <w:r>
            <w:t>5.1: Objectives and Key Findings</w:t>
          </w:r>
          <w:r>
            <w:tab/>
          </w:r>
          <w:r>
            <w:fldChar w:fldCharType="begin"/>
          </w:r>
          <w:r>
            <w:instrText xml:space="preserve"> PAGEREF _Toc368046201 \h </w:instrText>
          </w:r>
          <w:r>
            <w:fldChar w:fldCharType="separate"/>
          </w:r>
          <w:r>
            <w:t>132</w:t>
          </w:r>
          <w:r>
            <w:fldChar w:fldCharType="end"/>
          </w:r>
        </w:p>
        <w:p w:rsidR="00C40497" w:rsidRDefault="00C40497">
          <w:pPr>
            <w:pStyle w:val="TOC2"/>
            <w:tabs>
              <w:tab w:val="right" w:leader="dot" w:pos="8486"/>
            </w:tabs>
            <w:rPr>
              <w:sz w:val="22"/>
              <w:lang w:eastAsia="en-US"/>
            </w:rPr>
          </w:pPr>
          <w:r>
            <w:t>5.2: Limitations to the SWAT Model</w:t>
          </w:r>
          <w:r>
            <w:tab/>
          </w:r>
          <w:r>
            <w:fldChar w:fldCharType="begin"/>
          </w:r>
          <w:r>
            <w:instrText xml:space="preserve"> PAGEREF _Toc368046202 \h </w:instrText>
          </w:r>
          <w:r>
            <w:fldChar w:fldCharType="separate"/>
          </w:r>
          <w:r>
            <w:t>135</w:t>
          </w:r>
          <w:r>
            <w:fldChar w:fldCharType="end"/>
          </w:r>
        </w:p>
        <w:p w:rsidR="00C40497" w:rsidRDefault="00C40497">
          <w:pPr>
            <w:pStyle w:val="TOC2"/>
            <w:tabs>
              <w:tab w:val="right" w:leader="dot" w:pos="8486"/>
            </w:tabs>
            <w:rPr>
              <w:sz w:val="22"/>
              <w:lang w:eastAsia="en-US"/>
            </w:rPr>
          </w:pPr>
          <w:r>
            <w:t>5.3: Avenues for Further Research</w:t>
          </w:r>
          <w:r>
            <w:tab/>
          </w:r>
          <w:r>
            <w:fldChar w:fldCharType="begin"/>
          </w:r>
          <w:r>
            <w:instrText xml:space="preserve"> PAGEREF _Toc368046203 \h </w:instrText>
          </w:r>
          <w:r>
            <w:fldChar w:fldCharType="separate"/>
          </w:r>
          <w:r>
            <w:t>137</w:t>
          </w:r>
          <w:r>
            <w:fldChar w:fldCharType="end"/>
          </w:r>
        </w:p>
        <w:p w:rsidR="00C40497" w:rsidRDefault="00C40497">
          <w:pPr>
            <w:pStyle w:val="TOC2"/>
            <w:tabs>
              <w:tab w:val="right" w:leader="dot" w:pos="8486"/>
            </w:tabs>
            <w:rPr>
              <w:sz w:val="22"/>
              <w:lang w:eastAsia="en-US"/>
            </w:rPr>
          </w:pPr>
          <w:r>
            <w:t>References</w:t>
          </w:r>
          <w:r>
            <w:tab/>
          </w:r>
          <w:r>
            <w:fldChar w:fldCharType="begin"/>
          </w:r>
          <w:r>
            <w:instrText xml:space="preserve"> PAGEREF _Toc368046204 \h </w:instrText>
          </w:r>
          <w:r>
            <w:fldChar w:fldCharType="separate"/>
          </w:r>
          <w:r>
            <w:t>138</w:t>
          </w:r>
          <w:r>
            <w:fldChar w:fldCharType="end"/>
          </w:r>
        </w:p>
        <w:p w:rsidR="00C40497" w:rsidRDefault="00C40497">
          <w:pPr>
            <w:pStyle w:val="TOC1"/>
            <w:tabs>
              <w:tab w:val="right" w:leader="dot" w:pos="8486"/>
            </w:tabs>
            <w:rPr>
              <w:noProof/>
              <w:sz w:val="22"/>
              <w:lang w:eastAsia="en-US"/>
            </w:rPr>
          </w:pPr>
          <w:r w:rsidRPr="00FD6082">
            <w:rPr>
              <w:rFonts w:cstheme="minorHAnsi"/>
              <w:noProof/>
            </w:rPr>
            <w:t xml:space="preserve">Appendix: </w:t>
          </w:r>
          <w:r>
            <w:rPr>
              <w:noProof/>
            </w:rPr>
            <w:t>Summary of Hydrologic Parameters, According to GCM, by Season (Pertains to Chapter 4)</w:t>
          </w:r>
          <w:r>
            <w:rPr>
              <w:noProof/>
            </w:rPr>
            <w:tab/>
          </w:r>
          <w:r>
            <w:rPr>
              <w:noProof/>
            </w:rPr>
            <w:fldChar w:fldCharType="begin"/>
          </w:r>
          <w:r>
            <w:rPr>
              <w:noProof/>
            </w:rPr>
            <w:instrText xml:space="preserve"> PAGEREF _Toc368046205 \h </w:instrText>
          </w:r>
          <w:r>
            <w:rPr>
              <w:noProof/>
            </w:rPr>
          </w:r>
          <w:r>
            <w:rPr>
              <w:noProof/>
            </w:rPr>
            <w:fldChar w:fldCharType="separate"/>
          </w:r>
          <w:r>
            <w:rPr>
              <w:noProof/>
            </w:rPr>
            <w:t>139</w:t>
          </w:r>
          <w:r>
            <w:rPr>
              <w:noProof/>
            </w:rPr>
            <w:fldChar w:fldCharType="end"/>
          </w:r>
        </w:p>
        <w:p w:rsidR="008E2626" w:rsidRDefault="000A6E34">
          <w:r>
            <w:rPr>
              <w:rFonts w:asciiTheme="minorHAnsi" w:eastAsiaTheme="minorEastAsia" w:hAnsiTheme="minorHAnsi" w:cstheme="minorBidi"/>
              <w:szCs w:val="22"/>
              <w:lang w:eastAsia="ja-JP"/>
            </w:rPr>
            <w:fldChar w:fldCharType="end"/>
          </w:r>
        </w:p>
      </w:sdtContent>
    </w:sdt>
    <w:p w:rsidR="00CD20B4" w:rsidRDefault="00CD20B4" w:rsidP="00CD20B4">
      <w:pPr>
        <w:rPr>
          <w:b/>
        </w:rPr>
      </w:pPr>
    </w:p>
    <w:p w:rsidR="00CD20B4" w:rsidRDefault="00CD20B4" w:rsidP="00CD20B4">
      <w:pPr>
        <w:spacing w:line="276" w:lineRule="auto"/>
      </w:pPr>
      <w:r>
        <w:br w:type="page"/>
      </w:r>
    </w:p>
    <w:p w:rsidR="00CD20B4" w:rsidRPr="00AA75E2" w:rsidRDefault="00AA75E2" w:rsidP="00CD20B4">
      <w:pPr>
        <w:pStyle w:val="Heading1"/>
        <w:jc w:val="center"/>
        <w:rPr>
          <w:b w:val="0"/>
          <w:sz w:val="28"/>
          <w:szCs w:val="28"/>
        </w:rPr>
      </w:pPr>
      <w:bookmarkStart w:id="2" w:name="_Toc364501612"/>
      <w:bookmarkStart w:id="3" w:name="_Toc368046144"/>
      <w:r w:rsidRPr="00AA75E2">
        <w:rPr>
          <w:sz w:val="28"/>
          <w:szCs w:val="28"/>
        </w:rPr>
        <w:lastRenderedPageBreak/>
        <w:t>List of Tables</w:t>
      </w:r>
      <w:bookmarkEnd w:id="2"/>
      <w:bookmarkEnd w:id="3"/>
    </w:p>
    <w:bookmarkStart w:id="4" w:name="_Toc364501613"/>
    <w:p w:rsidR="00A9518C" w:rsidRDefault="00D27CB0">
      <w:pPr>
        <w:pStyle w:val="TableofFigures"/>
        <w:tabs>
          <w:tab w:val="right" w:leader="dot" w:pos="8486"/>
        </w:tabs>
        <w:rPr>
          <w:rFonts w:asciiTheme="minorHAnsi" w:eastAsiaTheme="minorEastAsia" w:hAnsiTheme="minorHAnsi" w:cstheme="minorBidi"/>
          <w:noProof/>
          <w:sz w:val="22"/>
          <w:szCs w:val="22"/>
          <w:lang w:val="en-US" w:eastAsia="en-US"/>
        </w:rPr>
      </w:pPr>
      <w:r>
        <w:fldChar w:fldCharType="begin"/>
      </w:r>
      <w:r>
        <w:instrText xml:space="preserve"> TOC \t "Table title" \c </w:instrText>
      </w:r>
      <w:r>
        <w:fldChar w:fldCharType="separate"/>
      </w:r>
      <w:r w:rsidR="00A9518C">
        <w:rPr>
          <w:noProof/>
        </w:rPr>
        <w:t>Table 2.1: Table illustrating the various ICLUS scenarios.  Source: Bierwagen et al. (2011). Adapted table used with permission.</w:t>
      </w:r>
      <w:r w:rsidR="00A9518C">
        <w:rPr>
          <w:noProof/>
        </w:rPr>
        <w:tab/>
      </w:r>
      <w:r w:rsidR="00A9518C">
        <w:rPr>
          <w:noProof/>
        </w:rPr>
        <w:fldChar w:fldCharType="begin"/>
      </w:r>
      <w:r w:rsidR="00A9518C">
        <w:rPr>
          <w:noProof/>
        </w:rPr>
        <w:instrText xml:space="preserve"> PAGEREF _Toc367550597 \h </w:instrText>
      </w:r>
      <w:r w:rsidR="00A9518C">
        <w:rPr>
          <w:noProof/>
        </w:rPr>
      </w:r>
      <w:r w:rsidR="00A9518C">
        <w:rPr>
          <w:noProof/>
        </w:rPr>
        <w:fldChar w:fldCharType="separate"/>
      </w:r>
      <w:r w:rsidR="00A9518C">
        <w:rPr>
          <w:noProof/>
        </w:rPr>
        <w:t>40</w:t>
      </w:r>
      <w:r w:rsidR="00A9518C">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2.2: Number of GP Counties Projected to Lose Population, 2010-2010, according to the ICLUS Dataset.</w:t>
      </w:r>
      <w:r>
        <w:rPr>
          <w:noProof/>
        </w:rPr>
        <w:tab/>
      </w:r>
      <w:r>
        <w:rPr>
          <w:noProof/>
        </w:rPr>
        <w:fldChar w:fldCharType="begin"/>
      </w:r>
      <w:r>
        <w:rPr>
          <w:noProof/>
        </w:rPr>
        <w:instrText xml:space="preserve"> PAGEREF _Toc367550598 \h </w:instrText>
      </w:r>
      <w:r>
        <w:rPr>
          <w:noProof/>
        </w:rPr>
      </w:r>
      <w:r>
        <w:rPr>
          <w:noProof/>
        </w:rPr>
        <w:fldChar w:fldCharType="separate"/>
      </w:r>
      <w:r>
        <w:rPr>
          <w:noProof/>
        </w:rPr>
        <w:t>40</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3.1: Data sources for items used in investigation</w:t>
      </w:r>
      <w:r>
        <w:rPr>
          <w:noProof/>
        </w:rPr>
        <w:tab/>
      </w:r>
      <w:r>
        <w:rPr>
          <w:noProof/>
        </w:rPr>
        <w:fldChar w:fldCharType="begin"/>
      </w:r>
      <w:r>
        <w:rPr>
          <w:noProof/>
        </w:rPr>
        <w:instrText xml:space="preserve"> PAGEREF _Toc367550599 \h </w:instrText>
      </w:r>
      <w:r>
        <w:rPr>
          <w:noProof/>
        </w:rPr>
      </w:r>
      <w:r>
        <w:rPr>
          <w:noProof/>
        </w:rPr>
        <w:fldChar w:fldCharType="separate"/>
      </w:r>
      <w:r>
        <w:rPr>
          <w:noProof/>
        </w:rPr>
        <w:t>67</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3.2: Land use composition (%) of the MNCR post-land use threshold delineation</w:t>
      </w:r>
      <w:r>
        <w:rPr>
          <w:noProof/>
        </w:rPr>
        <w:tab/>
      </w:r>
      <w:r>
        <w:rPr>
          <w:noProof/>
        </w:rPr>
        <w:fldChar w:fldCharType="begin"/>
      </w:r>
      <w:r>
        <w:rPr>
          <w:noProof/>
        </w:rPr>
        <w:instrText xml:space="preserve"> PAGEREF _Toc367550600 \h </w:instrText>
      </w:r>
      <w:r>
        <w:rPr>
          <w:noProof/>
        </w:rPr>
      </w:r>
      <w:r>
        <w:rPr>
          <w:noProof/>
        </w:rPr>
        <w:fldChar w:fldCharType="separate"/>
      </w:r>
      <w:r>
        <w:rPr>
          <w:noProof/>
        </w:rPr>
        <w:t>68</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3.3: Sensitivity index rankings for the MNCR</w:t>
      </w:r>
      <w:r>
        <w:rPr>
          <w:noProof/>
        </w:rPr>
        <w:tab/>
      </w:r>
      <w:r>
        <w:rPr>
          <w:noProof/>
        </w:rPr>
        <w:fldChar w:fldCharType="begin"/>
      </w:r>
      <w:r>
        <w:rPr>
          <w:noProof/>
        </w:rPr>
        <w:instrText xml:space="preserve"> PAGEREF _Toc367550601 \h </w:instrText>
      </w:r>
      <w:r>
        <w:rPr>
          <w:noProof/>
        </w:rPr>
      </w:r>
      <w:r>
        <w:rPr>
          <w:noProof/>
        </w:rPr>
        <w:fldChar w:fldCharType="separate"/>
      </w:r>
      <w:r>
        <w:rPr>
          <w:noProof/>
        </w:rPr>
        <w:t>72</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3.4: CNs for crops in this investigation, by National Resources Conservation Hydrologic Soil Group</w:t>
      </w:r>
      <w:r>
        <w:rPr>
          <w:noProof/>
        </w:rPr>
        <w:tab/>
      </w:r>
      <w:r>
        <w:rPr>
          <w:noProof/>
        </w:rPr>
        <w:fldChar w:fldCharType="begin"/>
      </w:r>
      <w:r>
        <w:rPr>
          <w:noProof/>
        </w:rPr>
        <w:instrText xml:space="preserve"> PAGEREF _Toc367550602 \h </w:instrText>
      </w:r>
      <w:r>
        <w:rPr>
          <w:noProof/>
        </w:rPr>
      </w:r>
      <w:r>
        <w:rPr>
          <w:noProof/>
        </w:rPr>
        <w:fldChar w:fldCharType="separate"/>
      </w:r>
      <w:r>
        <w:rPr>
          <w:noProof/>
        </w:rPr>
        <w:t>73</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3.5: Effectiveness of calibration during the calibration and simulation periods</w:t>
      </w:r>
      <w:r>
        <w:rPr>
          <w:noProof/>
        </w:rPr>
        <w:tab/>
      </w:r>
      <w:r>
        <w:rPr>
          <w:noProof/>
        </w:rPr>
        <w:fldChar w:fldCharType="begin"/>
      </w:r>
      <w:r>
        <w:rPr>
          <w:noProof/>
        </w:rPr>
        <w:instrText xml:space="preserve"> PAGEREF _Toc367550603 \h </w:instrText>
      </w:r>
      <w:r>
        <w:rPr>
          <w:noProof/>
        </w:rPr>
      </w:r>
      <w:r>
        <w:rPr>
          <w:noProof/>
        </w:rPr>
        <w:fldChar w:fldCharType="separate"/>
      </w:r>
      <w:r>
        <w:rPr>
          <w:noProof/>
        </w:rPr>
        <w:t>74</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3.6: Average quantity of spring and summer water stress days, by scenario, 1995-2009</w:t>
      </w:r>
      <w:r>
        <w:rPr>
          <w:noProof/>
        </w:rPr>
        <w:tab/>
      </w:r>
      <w:r>
        <w:rPr>
          <w:noProof/>
        </w:rPr>
        <w:fldChar w:fldCharType="begin"/>
      </w:r>
      <w:r>
        <w:rPr>
          <w:noProof/>
        </w:rPr>
        <w:instrText xml:space="preserve"> PAGEREF _Toc367550604 \h </w:instrText>
      </w:r>
      <w:r>
        <w:rPr>
          <w:noProof/>
        </w:rPr>
      </w:r>
      <w:r>
        <w:rPr>
          <w:noProof/>
        </w:rPr>
        <w:fldChar w:fldCharType="separate"/>
      </w:r>
      <w:r>
        <w:rPr>
          <w:noProof/>
        </w:rPr>
        <w:t>83</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3.7: The strength of the relationship between changes in eT (mm) and discharge (cms) in each scenario by season, as measured by R</w:t>
      </w:r>
      <w:r w:rsidRPr="00DE1D34">
        <w:rPr>
          <w:noProof/>
          <w:vertAlign w:val="superscript"/>
        </w:rPr>
        <w:t>2</w:t>
      </w:r>
      <w:r>
        <w:rPr>
          <w:noProof/>
        </w:rPr>
        <w:t xml:space="preserve"> and p-values</w:t>
      </w:r>
      <w:r>
        <w:rPr>
          <w:noProof/>
        </w:rPr>
        <w:tab/>
      </w:r>
      <w:r>
        <w:rPr>
          <w:noProof/>
        </w:rPr>
        <w:fldChar w:fldCharType="begin"/>
      </w:r>
      <w:r>
        <w:rPr>
          <w:noProof/>
        </w:rPr>
        <w:instrText xml:space="preserve"> PAGEREF _Toc367550605 \h </w:instrText>
      </w:r>
      <w:r>
        <w:rPr>
          <w:noProof/>
        </w:rPr>
      </w:r>
      <w:r>
        <w:rPr>
          <w:noProof/>
        </w:rPr>
        <w:fldChar w:fldCharType="separate"/>
      </w:r>
      <w:r>
        <w:rPr>
          <w:noProof/>
        </w:rPr>
        <w:t>83</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4.1: Data Sources Inputted into SWAT</w:t>
      </w:r>
      <w:r>
        <w:rPr>
          <w:noProof/>
        </w:rPr>
        <w:tab/>
      </w:r>
      <w:r>
        <w:rPr>
          <w:noProof/>
        </w:rPr>
        <w:fldChar w:fldCharType="begin"/>
      </w:r>
      <w:r>
        <w:rPr>
          <w:noProof/>
        </w:rPr>
        <w:instrText xml:space="preserve"> PAGEREF _Toc367550606 \h </w:instrText>
      </w:r>
      <w:r>
        <w:rPr>
          <w:noProof/>
        </w:rPr>
      </w:r>
      <w:r>
        <w:rPr>
          <w:noProof/>
        </w:rPr>
        <w:fldChar w:fldCharType="separate"/>
      </w:r>
      <w:r>
        <w:rPr>
          <w:noProof/>
        </w:rPr>
        <w:t>105</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4.2: GCMs used in this investigation.  Table adapted from Reclamation (2013).  Used with permission</w:t>
      </w:r>
      <w:r>
        <w:rPr>
          <w:noProof/>
        </w:rPr>
        <w:tab/>
      </w:r>
      <w:r>
        <w:rPr>
          <w:noProof/>
        </w:rPr>
        <w:fldChar w:fldCharType="begin"/>
      </w:r>
      <w:r>
        <w:rPr>
          <w:noProof/>
        </w:rPr>
        <w:instrText xml:space="preserve"> PAGEREF _Toc367550607 \h </w:instrText>
      </w:r>
      <w:r>
        <w:rPr>
          <w:noProof/>
        </w:rPr>
      </w:r>
      <w:r>
        <w:rPr>
          <w:noProof/>
        </w:rPr>
        <w:fldChar w:fldCharType="separate"/>
      </w:r>
      <w:r>
        <w:rPr>
          <w:noProof/>
        </w:rPr>
        <w:t>110</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4.3: Most sensitive parameters from the Sensitivity Analysis for discharge at the (a) “Skeleton Creek at Enid, OK” USGS stream gage (upstream) and at the (b) “Skeleton Creek near Lovell, OK” USGS stream gage (downstream)</w:t>
      </w:r>
      <w:r>
        <w:rPr>
          <w:noProof/>
        </w:rPr>
        <w:tab/>
      </w:r>
      <w:r>
        <w:rPr>
          <w:noProof/>
        </w:rPr>
        <w:fldChar w:fldCharType="begin"/>
      </w:r>
      <w:r>
        <w:rPr>
          <w:noProof/>
        </w:rPr>
        <w:instrText xml:space="preserve"> PAGEREF _Toc367550608 \h </w:instrText>
      </w:r>
      <w:r>
        <w:rPr>
          <w:noProof/>
        </w:rPr>
      </w:r>
      <w:r>
        <w:rPr>
          <w:noProof/>
        </w:rPr>
        <w:fldChar w:fldCharType="separate"/>
      </w:r>
      <w:r>
        <w:rPr>
          <w:noProof/>
        </w:rPr>
        <w:t>112</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 xml:space="preserve">Table 4.4: Comparison of the median </w:t>
      </w:r>
      <w:r w:rsidRPr="00DE1D34">
        <w:rPr>
          <w:rFonts w:ascii="Cambria Math" w:hAnsi="Cambria Math"/>
          <w:noProof/>
        </w:rPr>
        <w:t>%Δr</w:t>
      </w:r>
      <w:r w:rsidRPr="00DE1D34">
        <w:rPr>
          <w:rFonts w:ascii="Cambria Math" w:hAnsi="Cambria Math"/>
          <w:noProof/>
          <w:vertAlign w:val="subscript"/>
        </w:rPr>
        <w:t>s</w:t>
      </w:r>
      <w:r>
        <w:rPr>
          <w:noProof/>
        </w:rPr>
        <w:t xml:space="preserve"> and </w:t>
      </w:r>
      <w:r w:rsidRPr="00DE1D34">
        <w:rPr>
          <w:rFonts w:ascii="Cambria Math" w:hAnsi="Cambria Math"/>
          <w:noProof/>
        </w:rPr>
        <w:t>%ΔeT</w:t>
      </w:r>
      <w:r>
        <w:rPr>
          <w:noProof/>
        </w:rPr>
        <w:t xml:space="preserve"> values listed in Figures 6 and 7.    Positive values indicate the switchgrass-based amplification of the hydrologic output.   </w:t>
      </w:r>
      <w:r>
        <w:rPr>
          <w:noProof/>
        </w:rPr>
        <w:lastRenderedPageBreak/>
        <w:t>Negative values indicate a difference in the sign of the medians in the CCO and CCS scenarios, in which case there is no amplification.</w:t>
      </w:r>
      <w:r>
        <w:rPr>
          <w:noProof/>
        </w:rPr>
        <w:tab/>
      </w:r>
      <w:r>
        <w:rPr>
          <w:noProof/>
        </w:rPr>
        <w:fldChar w:fldCharType="begin"/>
      </w:r>
      <w:r>
        <w:rPr>
          <w:noProof/>
        </w:rPr>
        <w:instrText xml:space="preserve"> PAGEREF _Toc367550609 \h </w:instrText>
      </w:r>
      <w:r>
        <w:rPr>
          <w:noProof/>
        </w:rPr>
      </w:r>
      <w:r>
        <w:rPr>
          <w:noProof/>
        </w:rPr>
        <w:fldChar w:fldCharType="separate"/>
      </w:r>
      <w:r>
        <w:rPr>
          <w:noProof/>
        </w:rPr>
        <w:t>119</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 xml:space="preserve">Table 4.5: Contributions of climate change (“Clim”) and switchgrass cultivation (“Swch”) to </w:t>
      </w:r>
      <w:r w:rsidRPr="00DE1D34">
        <w:rPr>
          <w:rFonts w:ascii="Cambria Math" w:hAnsi="Cambria Math"/>
          <w:noProof/>
        </w:rPr>
        <w:t>%Δr</w:t>
      </w:r>
      <w:r w:rsidRPr="00DE1D34">
        <w:rPr>
          <w:rFonts w:ascii="Cambria Math" w:hAnsi="Cambria Math"/>
          <w:noProof/>
          <w:vertAlign w:val="subscript"/>
        </w:rPr>
        <w:t>s</w:t>
      </w:r>
      <w:r>
        <w:rPr>
          <w:noProof/>
        </w:rPr>
        <w:t xml:space="preserve"> in the 2040s under the CCS scenario, relative to the present, during the winter, spring, and summer seasons.  Blank entries refer to situations where the sign of </w:t>
      </w:r>
      <w:r w:rsidRPr="00DE1D34">
        <w:rPr>
          <w:rFonts w:ascii="Cambria Math" w:hAnsi="Cambria Math"/>
          <w:noProof/>
        </w:rPr>
        <w:t>%ΔeT</w:t>
      </w:r>
      <w:r w:rsidRPr="00DE1D34">
        <w:rPr>
          <w:noProof/>
          <w:vertAlign w:val="subscript"/>
        </w:rPr>
        <w:t xml:space="preserve"> </w:t>
      </w:r>
      <w:r>
        <w:rPr>
          <w:noProof/>
        </w:rPr>
        <w:t>differs by situation.  Dashes identify GCMs under which the % contribution of climate change relative to that under the CCS simulation exceeds 100%, meaning that the climate change contribution exceeds that of switchgrass.</w:t>
      </w:r>
      <w:r>
        <w:rPr>
          <w:noProof/>
        </w:rPr>
        <w:tab/>
      </w:r>
      <w:r>
        <w:rPr>
          <w:noProof/>
        </w:rPr>
        <w:fldChar w:fldCharType="begin"/>
      </w:r>
      <w:r>
        <w:rPr>
          <w:noProof/>
        </w:rPr>
        <w:instrText xml:space="preserve"> PAGEREF _Toc367550610 \h </w:instrText>
      </w:r>
      <w:r>
        <w:rPr>
          <w:noProof/>
        </w:rPr>
      </w:r>
      <w:r>
        <w:rPr>
          <w:noProof/>
        </w:rPr>
        <w:fldChar w:fldCharType="separate"/>
      </w:r>
      <w:r>
        <w:rPr>
          <w:noProof/>
        </w:rPr>
        <w:t>123</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 xml:space="preserve">Table 4.6: Contributions of climate change (“Clim”) and switchgrass cultivation (“Swch”) to </w:t>
      </w:r>
      <w:r w:rsidRPr="00DE1D34">
        <w:rPr>
          <w:rFonts w:ascii="Cambria Math" w:hAnsi="Cambria Math"/>
          <w:noProof/>
        </w:rPr>
        <w:t>%Δr</w:t>
      </w:r>
      <w:r w:rsidRPr="00DE1D34">
        <w:rPr>
          <w:rFonts w:ascii="Cambria Math" w:hAnsi="Cambria Math"/>
          <w:noProof/>
          <w:vertAlign w:val="subscript"/>
        </w:rPr>
        <w:t>s</w:t>
      </w:r>
      <w:r>
        <w:rPr>
          <w:noProof/>
        </w:rPr>
        <w:t xml:space="preserve"> in the 2040s under the CCS scenario, relative to the present, during the winter, spring, and summer seasons.  Blank entries refer to situations where the sign of </w:t>
      </w:r>
      <w:r w:rsidRPr="00DE1D34">
        <w:rPr>
          <w:rFonts w:ascii="Cambria Math" w:hAnsi="Cambria Math"/>
          <w:noProof/>
        </w:rPr>
        <w:t>%ΔeT</w:t>
      </w:r>
      <w:r w:rsidRPr="00DE1D34">
        <w:rPr>
          <w:noProof/>
          <w:vertAlign w:val="subscript"/>
        </w:rPr>
        <w:t xml:space="preserve"> </w:t>
      </w:r>
      <w:r>
        <w:rPr>
          <w:noProof/>
        </w:rPr>
        <w:t>differs by situation.  Dashes identify GCMs under which the % contribution of climate change relative to that under the CCS simulation exceeds 100%, meaning that the climate change contribution exceeds that of switchgrass.</w:t>
      </w:r>
      <w:r>
        <w:rPr>
          <w:noProof/>
        </w:rPr>
        <w:tab/>
      </w:r>
      <w:r>
        <w:rPr>
          <w:noProof/>
        </w:rPr>
        <w:fldChar w:fldCharType="begin"/>
      </w:r>
      <w:r>
        <w:rPr>
          <w:noProof/>
        </w:rPr>
        <w:instrText xml:space="preserve"> PAGEREF _Toc367550611 \h </w:instrText>
      </w:r>
      <w:r>
        <w:rPr>
          <w:noProof/>
        </w:rPr>
      </w:r>
      <w:r>
        <w:rPr>
          <w:noProof/>
        </w:rPr>
        <w:fldChar w:fldCharType="separate"/>
      </w:r>
      <w:r>
        <w:rPr>
          <w:noProof/>
        </w:rPr>
        <w:t>124</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sidRPr="00DE1D34">
        <w:rPr>
          <w:rFonts w:eastAsiaTheme="majorEastAsia"/>
          <w:noProof/>
        </w:rPr>
        <w:t>Table A.1: Summary of Hydrologic Parameters, by GCM, for the winter season</w:t>
      </w:r>
      <w:r>
        <w:rPr>
          <w:noProof/>
        </w:rPr>
        <w:tab/>
      </w:r>
      <w:r>
        <w:rPr>
          <w:noProof/>
        </w:rPr>
        <w:fldChar w:fldCharType="begin"/>
      </w:r>
      <w:r>
        <w:rPr>
          <w:noProof/>
        </w:rPr>
        <w:instrText xml:space="preserve"> PAGEREF _Toc367550612 \h </w:instrText>
      </w:r>
      <w:r>
        <w:rPr>
          <w:noProof/>
        </w:rPr>
      </w:r>
      <w:r>
        <w:rPr>
          <w:noProof/>
        </w:rPr>
        <w:fldChar w:fldCharType="separate"/>
      </w:r>
      <w:r>
        <w:rPr>
          <w:noProof/>
        </w:rPr>
        <w:t>140</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Pr>
          <w:noProof/>
        </w:rPr>
        <w:t>Table A.2: Summary of Hydrologic Parameters, by GCM, for the spring season</w:t>
      </w:r>
      <w:r>
        <w:rPr>
          <w:noProof/>
        </w:rPr>
        <w:tab/>
      </w:r>
      <w:r>
        <w:rPr>
          <w:noProof/>
        </w:rPr>
        <w:fldChar w:fldCharType="begin"/>
      </w:r>
      <w:r>
        <w:rPr>
          <w:noProof/>
        </w:rPr>
        <w:instrText xml:space="preserve"> PAGEREF _Toc367550613 \h </w:instrText>
      </w:r>
      <w:r>
        <w:rPr>
          <w:noProof/>
        </w:rPr>
      </w:r>
      <w:r>
        <w:rPr>
          <w:noProof/>
        </w:rPr>
        <w:fldChar w:fldCharType="separate"/>
      </w:r>
      <w:r>
        <w:rPr>
          <w:noProof/>
        </w:rPr>
        <w:t>141</w:t>
      </w:r>
      <w:r>
        <w:rPr>
          <w:noProof/>
        </w:rPr>
        <w:fldChar w:fldCharType="end"/>
      </w:r>
    </w:p>
    <w:p w:rsidR="00A9518C" w:rsidRDefault="00A9518C">
      <w:pPr>
        <w:pStyle w:val="TableofFigures"/>
        <w:tabs>
          <w:tab w:val="right" w:leader="dot" w:pos="8486"/>
        </w:tabs>
        <w:rPr>
          <w:rFonts w:asciiTheme="minorHAnsi" w:eastAsiaTheme="minorEastAsia" w:hAnsiTheme="minorHAnsi" w:cstheme="minorBidi"/>
          <w:noProof/>
          <w:sz w:val="22"/>
          <w:szCs w:val="22"/>
          <w:lang w:val="en-US" w:eastAsia="en-US"/>
        </w:rPr>
      </w:pPr>
      <w:r w:rsidRPr="00DE1D34">
        <w:rPr>
          <w:rFonts w:eastAsiaTheme="majorEastAsia"/>
          <w:noProof/>
        </w:rPr>
        <w:t>Table A.3: Summary of Hydrologic Parameters, by GCM, for the summer season</w:t>
      </w:r>
      <w:r>
        <w:rPr>
          <w:noProof/>
        </w:rPr>
        <w:tab/>
      </w:r>
      <w:r>
        <w:rPr>
          <w:noProof/>
        </w:rPr>
        <w:fldChar w:fldCharType="begin"/>
      </w:r>
      <w:r>
        <w:rPr>
          <w:noProof/>
        </w:rPr>
        <w:instrText xml:space="preserve"> PAGEREF _Toc367550614 \h </w:instrText>
      </w:r>
      <w:r>
        <w:rPr>
          <w:noProof/>
        </w:rPr>
      </w:r>
      <w:r>
        <w:rPr>
          <w:noProof/>
        </w:rPr>
        <w:fldChar w:fldCharType="separate"/>
      </w:r>
      <w:r>
        <w:rPr>
          <w:noProof/>
        </w:rPr>
        <w:t>142</w:t>
      </w:r>
      <w:r>
        <w:rPr>
          <w:noProof/>
        </w:rPr>
        <w:fldChar w:fldCharType="end"/>
      </w:r>
    </w:p>
    <w:p w:rsidR="00F33486" w:rsidRDefault="00D27CB0" w:rsidP="00C61CE8">
      <w:pPr>
        <w:pStyle w:val="TableofFigures"/>
      </w:pPr>
      <w:r>
        <w:fldChar w:fldCharType="end"/>
      </w:r>
    </w:p>
    <w:p w:rsidR="00C61CE8" w:rsidRDefault="00C61CE8">
      <w:pPr>
        <w:rPr>
          <w:rFonts w:eastAsia="Times New Roman" w:cs="Times New Roman"/>
          <w:b/>
          <w:bCs/>
          <w:kern w:val="36"/>
          <w:sz w:val="28"/>
          <w:szCs w:val="28"/>
        </w:rPr>
      </w:pPr>
      <w:r>
        <w:rPr>
          <w:sz w:val="28"/>
          <w:szCs w:val="28"/>
        </w:rPr>
        <w:br w:type="page"/>
      </w:r>
    </w:p>
    <w:p w:rsidR="00F33486" w:rsidRPr="00F33486" w:rsidRDefault="00AA75E2" w:rsidP="00F33486">
      <w:pPr>
        <w:pStyle w:val="Heading1"/>
        <w:jc w:val="center"/>
        <w:rPr>
          <w:sz w:val="28"/>
          <w:szCs w:val="28"/>
        </w:rPr>
      </w:pPr>
      <w:bookmarkStart w:id="5" w:name="_Toc368046145"/>
      <w:r w:rsidRPr="00F33486">
        <w:rPr>
          <w:sz w:val="28"/>
          <w:szCs w:val="28"/>
        </w:rPr>
        <w:lastRenderedPageBreak/>
        <w:t>List of Figures</w:t>
      </w:r>
      <w:bookmarkEnd w:id="4"/>
      <w:bookmarkEnd w:id="5"/>
    </w:p>
    <w:p w:rsidR="00252F2D" w:rsidRDefault="00D27CB0">
      <w:pPr>
        <w:pStyle w:val="TableofFigures"/>
        <w:tabs>
          <w:tab w:val="right" w:leader="dot" w:pos="8486"/>
        </w:tabs>
        <w:rPr>
          <w:rFonts w:asciiTheme="minorHAnsi" w:eastAsiaTheme="minorEastAsia" w:hAnsiTheme="minorHAnsi" w:cstheme="minorBidi"/>
          <w:noProof/>
          <w:sz w:val="22"/>
          <w:szCs w:val="22"/>
          <w:lang w:val="en-US" w:eastAsia="en-US"/>
        </w:rPr>
      </w:pPr>
      <w:r>
        <w:fldChar w:fldCharType="begin"/>
      </w:r>
      <w:r>
        <w:instrText xml:space="preserve"> TOC \t "Figure caption" \c </w:instrText>
      </w:r>
      <w:r>
        <w:fldChar w:fldCharType="separate"/>
      </w:r>
      <w:r w:rsidR="00252F2D">
        <w:rPr>
          <w:noProof/>
        </w:rPr>
        <w:t>Figure 1.1: Switchgrass (</w:t>
      </w:r>
      <w:r w:rsidR="00252F2D" w:rsidRPr="002A75DD">
        <w:rPr>
          <w:i/>
          <w:noProof/>
        </w:rPr>
        <w:t>Panicum virgatum</w:t>
      </w:r>
      <w:r w:rsidR="00252F2D">
        <w:rPr>
          <w:noProof/>
        </w:rPr>
        <w:t xml:space="preserve"> L.).  a) Image source: Jeff McMillian, from the USDA-NRCS PLANTS Database.   b) Image source: Bruce Hoagland.  Both images used with permission.</w:t>
      </w:r>
      <w:r w:rsidR="00252F2D">
        <w:rPr>
          <w:noProof/>
        </w:rPr>
        <w:tab/>
      </w:r>
      <w:r w:rsidR="00252F2D">
        <w:rPr>
          <w:noProof/>
        </w:rPr>
        <w:fldChar w:fldCharType="begin"/>
      </w:r>
      <w:r w:rsidR="00252F2D">
        <w:rPr>
          <w:noProof/>
        </w:rPr>
        <w:instrText xml:space="preserve"> PAGEREF _Toc367004732 \h </w:instrText>
      </w:r>
      <w:r w:rsidR="00252F2D">
        <w:rPr>
          <w:noProof/>
        </w:rPr>
      </w:r>
      <w:r w:rsidR="00252F2D">
        <w:rPr>
          <w:noProof/>
        </w:rPr>
        <w:fldChar w:fldCharType="separate"/>
      </w:r>
      <w:r w:rsidR="009F4FFA">
        <w:rPr>
          <w:noProof/>
        </w:rPr>
        <w:t>3</w:t>
      </w:r>
      <w:r w:rsidR="00252F2D">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2.1: The Great Plains, as defined in this paper, including settlements mentioned in this paper.  Data source: The National Atlas of the United States of America.</w:t>
      </w:r>
      <w:r>
        <w:rPr>
          <w:noProof/>
        </w:rPr>
        <w:tab/>
      </w:r>
      <w:r>
        <w:rPr>
          <w:noProof/>
        </w:rPr>
        <w:fldChar w:fldCharType="begin"/>
      </w:r>
      <w:r>
        <w:rPr>
          <w:noProof/>
        </w:rPr>
        <w:instrText xml:space="preserve"> PAGEREF _Toc367004733 \h </w:instrText>
      </w:r>
      <w:r>
        <w:rPr>
          <w:noProof/>
        </w:rPr>
      </w:r>
      <w:r>
        <w:rPr>
          <w:noProof/>
        </w:rPr>
        <w:fldChar w:fldCharType="separate"/>
      </w:r>
      <w:r w:rsidR="009F4FFA">
        <w:rPr>
          <w:noProof/>
        </w:rPr>
        <w:t>21</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2.2: Population change by US county, 2000-2010, with the GP emphasized.  Adapted from Mackun and Wilson (2011), Figure 5.  Image used with the permission of Steven Wilson.</w:t>
      </w:r>
      <w:r>
        <w:rPr>
          <w:noProof/>
        </w:rPr>
        <w:tab/>
      </w:r>
      <w:r>
        <w:rPr>
          <w:noProof/>
        </w:rPr>
        <w:fldChar w:fldCharType="begin"/>
      </w:r>
      <w:r>
        <w:rPr>
          <w:noProof/>
        </w:rPr>
        <w:instrText xml:space="preserve"> PAGEREF _Toc367004734 \h </w:instrText>
      </w:r>
      <w:r>
        <w:rPr>
          <w:noProof/>
        </w:rPr>
      </w:r>
      <w:r>
        <w:rPr>
          <w:noProof/>
        </w:rPr>
        <w:fldChar w:fldCharType="separate"/>
      </w:r>
      <w:r w:rsidR="009F4FFA">
        <w:rPr>
          <w:noProof/>
        </w:rPr>
        <w:t>30</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2.3: Population growth in the micropolitan and metropolitan areas of the GP, 2000-2010.  Adapted from Mackun and Wilson (2011), Figure 4.  Image used with the permission of Steven Wilson.</w:t>
      </w:r>
      <w:r>
        <w:rPr>
          <w:noProof/>
        </w:rPr>
        <w:tab/>
      </w:r>
      <w:r>
        <w:rPr>
          <w:noProof/>
        </w:rPr>
        <w:fldChar w:fldCharType="begin"/>
      </w:r>
      <w:r>
        <w:rPr>
          <w:noProof/>
        </w:rPr>
        <w:instrText xml:space="preserve"> PAGEREF _Toc367004735 \h </w:instrText>
      </w:r>
      <w:r>
        <w:rPr>
          <w:noProof/>
        </w:rPr>
      </w:r>
      <w:r>
        <w:rPr>
          <w:noProof/>
        </w:rPr>
        <w:fldChar w:fldCharType="separate"/>
      </w:r>
      <w:r w:rsidR="009F4FFA">
        <w:rPr>
          <w:noProof/>
        </w:rPr>
        <w:t>31</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2.4: Histograms illustrating the percentage of GP counties experiencing various ranges of population changes, 2000-2010, under all four ICLUS scenarios.  Data source: EPA ICLUS Dataset.</w:t>
      </w:r>
      <w:r>
        <w:rPr>
          <w:noProof/>
        </w:rPr>
        <w:tab/>
      </w:r>
      <w:r>
        <w:rPr>
          <w:noProof/>
        </w:rPr>
        <w:fldChar w:fldCharType="begin"/>
      </w:r>
      <w:r>
        <w:rPr>
          <w:noProof/>
        </w:rPr>
        <w:instrText xml:space="preserve"> PAGEREF _Toc367004736 \h </w:instrText>
      </w:r>
      <w:r>
        <w:rPr>
          <w:noProof/>
        </w:rPr>
      </w:r>
      <w:r>
        <w:rPr>
          <w:noProof/>
        </w:rPr>
        <w:fldChar w:fldCharType="separate"/>
      </w:r>
      <w:r w:rsidR="009F4FFA">
        <w:rPr>
          <w:noProof/>
        </w:rPr>
        <w:t>41</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2.5: Areas of agreement among the ICLUS scenarios vis-à-vis population increase or decline in GP counties by the Year 2100.  Data source: EPA ICLUS dataset.</w:t>
      </w:r>
      <w:r>
        <w:rPr>
          <w:noProof/>
        </w:rPr>
        <w:tab/>
      </w:r>
      <w:r>
        <w:rPr>
          <w:noProof/>
        </w:rPr>
        <w:fldChar w:fldCharType="begin"/>
      </w:r>
      <w:r>
        <w:rPr>
          <w:noProof/>
        </w:rPr>
        <w:instrText xml:space="preserve"> PAGEREF _Toc367004737 \h </w:instrText>
      </w:r>
      <w:r>
        <w:rPr>
          <w:noProof/>
        </w:rPr>
      </w:r>
      <w:r>
        <w:rPr>
          <w:noProof/>
        </w:rPr>
        <w:fldChar w:fldCharType="separate"/>
      </w:r>
      <w:r w:rsidR="009F4FFA">
        <w:rPr>
          <w:noProof/>
        </w:rPr>
        <w:t>42</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2.6: Extent of Impervious Surfaces (white) in the Year 2100, A2 Scenario.  Data source: EPA ICLUS Dataset.</w:t>
      </w:r>
      <w:r>
        <w:rPr>
          <w:noProof/>
        </w:rPr>
        <w:tab/>
      </w:r>
      <w:r>
        <w:rPr>
          <w:noProof/>
        </w:rPr>
        <w:fldChar w:fldCharType="begin"/>
      </w:r>
      <w:r>
        <w:rPr>
          <w:noProof/>
        </w:rPr>
        <w:instrText xml:space="preserve"> PAGEREF _Toc367004738 \h </w:instrText>
      </w:r>
      <w:r>
        <w:rPr>
          <w:noProof/>
        </w:rPr>
      </w:r>
      <w:r>
        <w:rPr>
          <w:noProof/>
        </w:rPr>
        <w:fldChar w:fldCharType="separate"/>
      </w:r>
      <w:r w:rsidR="009F4FFA">
        <w:rPr>
          <w:noProof/>
        </w:rPr>
        <w:t>44</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3.1:  Location of the Middle North Canadian River Basin (MNCR), located within the U.S. State of Oklahoma.</w:t>
      </w:r>
      <w:r>
        <w:rPr>
          <w:noProof/>
        </w:rPr>
        <w:tab/>
      </w:r>
      <w:r>
        <w:rPr>
          <w:noProof/>
        </w:rPr>
        <w:fldChar w:fldCharType="begin"/>
      </w:r>
      <w:r>
        <w:rPr>
          <w:noProof/>
        </w:rPr>
        <w:instrText xml:space="preserve"> PAGEREF _Toc367004739 \h </w:instrText>
      </w:r>
      <w:r>
        <w:rPr>
          <w:noProof/>
        </w:rPr>
      </w:r>
      <w:r>
        <w:rPr>
          <w:noProof/>
        </w:rPr>
        <w:fldChar w:fldCharType="separate"/>
      </w:r>
      <w:r w:rsidR="009F4FFA">
        <w:rPr>
          <w:noProof/>
        </w:rPr>
        <w:t>63</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3.2: Plot of simulated and observed monthly discharges at the watershed outlet during (a) the calibration period and (b) the simulation period</w:t>
      </w:r>
      <w:r>
        <w:rPr>
          <w:noProof/>
        </w:rPr>
        <w:tab/>
      </w:r>
      <w:r>
        <w:rPr>
          <w:noProof/>
        </w:rPr>
        <w:fldChar w:fldCharType="begin"/>
      </w:r>
      <w:r>
        <w:rPr>
          <w:noProof/>
        </w:rPr>
        <w:instrText xml:space="preserve"> PAGEREF _Toc367004740 \h </w:instrText>
      </w:r>
      <w:r>
        <w:rPr>
          <w:noProof/>
        </w:rPr>
      </w:r>
      <w:r>
        <w:rPr>
          <w:noProof/>
        </w:rPr>
        <w:fldChar w:fldCharType="separate"/>
      </w:r>
      <w:r w:rsidR="009F4FFA">
        <w:rPr>
          <w:noProof/>
        </w:rPr>
        <w:t>70</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lastRenderedPageBreak/>
        <w:t>Figure 3.3:  Calibration of seasonal discharges at the watershed outlet for (a) spring, and (b) summer</w:t>
      </w:r>
      <w:r>
        <w:rPr>
          <w:noProof/>
        </w:rPr>
        <w:tab/>
      </w:r>
      <w:r>
        <w:rPr>
          <w:noProof/>
        </w:rPr>
        <w:fldChar w:fldCharType="begin"/>
      </w:r>
      <w:r>
        <w:rPr>
          <w:noProof/>
        </w:rPr>
        <w:instrText xml:space="preserve"> PAGEREF _Toc367004741 \h </w:instrText>
      </w:r>
      <w:r>
        <w:rPr>
          <w:noProof/>
        </w:rPr>
      </w:r>
      <w:r>
        <w:rPr>
          <w:noProof/>
        </w:rPr>
        <w:fldChar w:fldCharType="separate"/>
      </w:r>
      <w:r w:rsidR="009F4FFA">
        <w:rPr>
          <w:noProof/>
        </w:rPr>
        <w:t>77</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3.4: Comparison of observed and predicted discharges at the watershed outlet for (a) spring, and (b) summer during the simulation period</w:t>
      </w:r>
      <w:r>
        <w:rPr>
          <w:noProof/>
        </w:rPr>
        <w:tab/>
      </w:r>
      <w:r>
        <w:rPr>
          <w:noProof/>
        </w:rPr>
        <w:fldChar w:fldCharType="begin"/>
      </w:r>
      <w:r>
        <w:rPr>
          <w:noProof/>
        </w:rPr>
        <w:instrText xml:space="preserve"> PAGEREF _Toc367004742 \h </w:instrText>
      </w:r>
      <w:r>
        <w:rPr>
          <w:noProof/>
        </w:rPr>
      </w:r>
      <w:r>
        <w:rPr>
          <w:noProof/>
        </w:rPr>
        <w:fldChar w:fldCharType="separate"/>
      </w:r>
      <w:r w:rsidR="009F4FFA">
        <w:rPr>
          <w:noProof/>
        </w:rPr>
        <w:t>78</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3.5: Differences in a) spring and summer discharge associated with switchgrass production relative to baseline in all scenarios during the simulation period, 1995-2009, and b) the percent change in spring and summer discharge relative to baseline in all scenarios during the simulation period, 1995-2009.  The values of the medians (black lines) are provided.  The dots comprise the observations; circles indicate outliers.  The proportion of the watershed converted in each scenario is shown as a percentage in brackets underneath the x-axis label.</w:t>
      </w:r>
      <w:r>
        <w:rPr>
          <w:noProof/>
        </w:rPr>
        <w:tab/>
      </w:r>
      <w:r>
        <w:rPr>
          <w:noProof/>
        </w:rPr>
        <w:fldChar w:fldCharType="begin"/>
      </w:r>
      <w:r>
        <w:rPr>
          <w:noProof/>
        </w:rPr>
        <w:instrText xml:space="preserve"> PAGEREF _Toc367004743 \h </w:instrText>
      </w:r>
      <w:r>
        <w:rPr>
          <w:noProof/>
        </w:rPr>
      </w:r>
      <w:r>
        <w:rPr>
          <w:noProof/>
        </w:rPr>
        <w:fldChar w:fldCharType="separate"/>
      </w:r>
      <w:r w:rsidR="009F4FFA">
        <w:rPr>
          <w:noProof/>
        </w:rPr>
        <w:t>79</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3.6: Relationship between change in spring discharge relative to baseline and precipitation, 1995-2009 in the a) nowwht, b) nornge, c) noag, and d) fert scenarios</w:t>
      </w:r>
      <w:r>
        <w:rPr>
          <w:noProof/>
        </w:rPr>
        <w:tab/>
      </w:r>
      <w:r>
        <w:rPr>
          <w:noProof/>
        </w:rPr>
        <w:fldChar w:fldCharType="begin"/>
      </w:r>
      <w:r>
        <w:rPr>
          <w:noProof/>
        </w:rPr>
        <w:instrText xml:space="preserve"> PAGEREF _Toc367004744 \h </w:instrText>
      </w:r>
      <w:r>
        <w:rPr>
          <w:noProof/>
        </w:rPr>
      </w:r>
      <w:r>
        <w:rPr>
          <w:noProof/>
        </w:rPr>
        <w:fldChar w:fldCharType="separate"/>
      </w:r>
      <w:r w:rsidR="009F4FFA">
        <w:rPr>
          <w:noProof/>
        </w:rPr>
        <w:t>80</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3.7: Differences in in basin-wide a) spring and summer eT associated with switchgrass production relative to baseline in all scenarios during the simulation period, 1995-2009, and b) the percent change in spring and summer eT relative to baseline in all scenarios during the simulation period, 1995-2009.  The boxplots are read in a manner identical to that of Figure 3.5.</w:t>
      </w:r>
      <w:r>
        <w:rPr>
          <w:noProof/>
        </w:rPr>
        <w:tab/>
      </w:r>
      <w:r>
        <w:rPr>
          <w:noProof/>
        </w:rPr>
        <w:fldChar w:fldCharType="begin"/>
      </w:r>
      <w:r>
        <w:rPr>
          <w:noProof/>
        </w:rPr>
        <w:instrText xml:space="preserve"> PAGEREF _Toc367004745 \h </w:instrText>
      </w:r>
      <w:r>
        <w:rPr>
          <w:noProof/>
        </w:rPr>
      </w:r>
      <w:r>
        <w:rPr>
          <w:noProof/>
        </w:rPr>
        <w:fldChar w:fldCharType="separate"/>
      </w:r>
      <w:r w:rsidR="009F4FFA">
        <w:rPr>
          <w:noProof/>
        </w:rPr>
        <w:t>81</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3.8: Relationship between the change in seasonal eT in the four switchgrass scenarios relative to baseline, and the quantity of switchgrass biomass (in 100,000 metric tons) during the spring and summer.</w:t>
      </w:r>
      <w:r>
        <w:rPr>
          <w:noProof/>
        </w:rPr>
        <w:tab/>
      </w:r>
      <w:r>
        <w:rPr>
          <w:noProof/>
        </w:rPr>
        <w:fldChar w:fldCharType="begin"/>
      </w:r>
      <w:r>
        <w:rPr>
          <w:noProof/>
        </w:rPr>
        <w:instrText xml:space="preserve"> PAGEREF _Toc367004746 \h </w:instrText>
      </w:r>
      <w:r>
        <w:rPr>
          <w:noProof/>
        </w:rPr>
      </w:r>
      <w:r>
        <w:rPr>
          <w:noProof/>
        </w:rPr>
        <w:fldChar w:fldCharType="separate"/>
      </w:r>
      <w:r w:rsidR="009F4FFA">
        <w:rPr>
          <w:noProof/>
        </w:rPr>
        <w:t>82</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4.1: The Skeleton Creek Watershed (SCW)</w:t>
      </w:r>
      <w:r>
        <w:rPr>
          <w:noProof/>
        </w:rPr>
        <w:tab/>
      </w:r>
      <w:r>
        <w:rPr>
          <w:noProof/>
        </w:rPr>
        <w:fldChar w:fldCharType="begin"/>
      </w:r>
      <w:r>
        <w:rPr>
          <w:noProof/>
        </w:rPr>
        <w:instrText xml:space="preserve"> PAGEREF _Toc367004747 \h </w:instrText>
      </w:r>
      <w:r>
        <w:rPr>
          <w:noProof/>
        </w:rPr>
      </w:r>
      <w:r>
        <w:rPr>
          <w:noProof/>
        </w:rPr>
        <w:fldChar w:fldCharType="separate"/>
      </w:r>
      <w:r w:rsidR="009F4FFA">
        <w:rPr>
          <w:noProof/>
        </w:rPr>
        <w:t>99</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4.2: Monthly climograph for the SCW using data from the PRISM Climate Group, Oregon State University, http://prism.oregonstate.edu.  The precipitation quantities are listed.</w:t>
      </w:r>
      <w:r>
        <w:rPr>
          <w:noProof/>
        </w:rPr>
        <w:tab/>
      </w:r>
      <w:r>
        <w:rPr>
          <w:noProof/>
        </w:rPr>
        <w:fldChar w:fldCharType="begin"/>
      </w:r>
      <w:r>
        <w:rPr>
          <w:noProof/>
        </w:rPr>
        <w:instrText xml:space="preserve"> PAGEREF _Toc367004748 \h </w:instrText>
      </w:r>
      <w:r>
        <w:rPr>
          <w:noProof/>
        </w:rPr>
      </w:r>
      <w:r>
        <w:rPr>
          <w:noProof/>
        </w:rPr>
        <w:fldChar w:fldCharType="separate"/>
      </w:r>
      <w:r w:rsidR="009F4FFA">
        <w:rPr>
          <w:noProof/>
        </w:rPr>
        <w:t>100</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4.3: Land-use composition (%) of the SCW post-LU threshold delineation</w:t>
      </w:r>
      <w:r>
        <w:rPr>
          <w:noProof/>
        </w:rPr>
        <w:tab/>
      </w:r>
      <w:r>
        <w:rPr>
          <w:noProof/>
        </w:rPr>
        <w:fldChar w:fldCharType="begin"/>
      </w:r>
      <w:r>
        <w:rPr>
          <w:noProof/>
        </w:rPr>
        <w:instrText xml:space="preserve"> PAGEREF _Toc367004749 \h </w:instrText>
      </w:r>
      <w:r>
        <w:rPr>
          <w:noProof/>
        </w:rPr>
      </w:r>
      <w:r>
        <w:rPr>
          <w:noProof/>
        </w:rPr>
        <w:fldChar w:fldCharType="separate"/>
      </w:r>
      <w:r w:rsidR="009F4FFA">
        <w:rPr>
          <w:noProof/>
        </w:rPr>
        <w:t>106</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lastRenderedPageBreak/>
        <w:t>Figure 4.4: Strength of calibration between simulated monthly discharges, 2002-2010, at the (a) “Skeleton Creek at Enid, OK” stream gage and at (b) the “Skeleton Creek near Lovell, OK” USGS stream gages.</w:t>
      </w:r>
      <w:r>
        <w:rPr>
          <w:noProof/>
        </w:rPr>
        <w:tab/>
      </w:r>
      <w:r>
        <w:rPr>
          <w:noProof/>
        </w:rPr>
        <w:fldChar w:fldCharType="begin"/>
      </w:r>
      <w:r>
        <w:rPr>
          <w:noProof/>
        </w:rPr>
        <w:instrText xml:space="preserve"> PAGEREF _Toc367004750 \h </w:instrText>
      </w:r>
      <w:r>
        <w:rPr>
          <w:noProof/>
        </w:rPr>
      </w:r>
      <w:r>
        <w:rPr>
          <w:noProof/>
        </w:rPr>
        <w:fldChar w:fldCharType="separate"/>
      </w:r>
      <w:r w:rsidR="009F4FFA">
        <w:rPr>
          <w:noProof/>
        </w:rPr>
        <w:t>113</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4.5: Strength of calibration on simulated (a) winter, b) spring, and (c) summer discharges relative to observed, 2002-2010, at the watershed outlet: the “Skeleton Creek near Lovell, OK” USGS stream gage</w:t>
      </w:r>
      <w:r>
        <w:rPr>
          <w:noProof/>
        </w:rPr>
        <w:tab/>
      </w:r>
      <w:r>
        <w:rPr>
          <w:noProof/>
        </w:rPr>
        <w:fldChar w:fldCharType="begin"/>
      </w:r>
      <w:r>
        <w:rPr>
          <w:noProof/>
        </w:rPr>
        <w:instrText xml:space="preserve"> PAGEREF _Toc367004751 \h </w:instrText>
      </w:r>
      <w:r>
        <w:rPr>
          <w:noProof/>
        </w:rPr>
      </w:r>
      <w:r>
        <w:rPr>
          <w:noProof/>
        </w:rPr>
        <w:fldChar w:fldCharType="separate"/>
      </w:r>
      <w:r w:rsidR="009F4FFA">
        <w:rPr>
          <w:noProof/>
        </w:rPr>
        <w:t>114</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4.6: The percent change in mean climate-change induced seasonal a) precipitation and b) temperature, relative to 2000-2010 conditions, as evaluated by sixteen GCMs.  The median values (black lines) are provided.  Circles indicate outlying values.</w:t>
      </w:r>
      <w:r>
        <w:rPr>
          <w:noProof/>
        </w:rPr>
        <w:tab/>
      </w:r>
      <w:r>
        <w:rPr>
          <w:noProof/>
        </w:rPr>
        <w:fldChar w:fldCharType="begin"/>
      </w:r>
      <w:r>
        <w:rPr>
          <w:noProof/>
        </w:rPr>
        <w:instrText xml:space="preserve"> PAGEREF _Toc367004752 \h </w:instrText>
      </w:r>
      <w:r>
        <w:rPr>
          <w:noProof/>
        </w:rPr>
      </w:r>
      <w:r>
        <w:rPr>
          <w:noProof/>
        </w:rPr>
        <w:fldChar w:fldCharType="separate"/>
      </w:r>
      <w:r w:rsidR="009F4FFA">
        <w:rPr>
          <w:noProof/>
        </w:rPr>
        <w:t>116</w:t>
      </w:r>
      <w:r>
        <w:rPr>
          <w:noProof/>
        </w:rPr>
        <w:fldChar w:fldCharType="end"/>
      </w:r>
    </w:p>
    <w:p w:rsidR="00252F2D" w:rsidRDefault="00252F2D">
      <w:pPr>
        <w:pStyle w:val="TableofFigures"/>
        <w:tabs>
          <w:tab w:val="right" w:leader="dot" w:pos="8486"/>
        </w:tabs>
        <w:rPr>
          <w:rFonts w:asciiTheme="minorHAnsi" w:eastAsiaTheme="minorEastAsia" w:hAnsiTheme="minorHAnsi" w:cstheme="minorBidi"/>
          <w:noProof/>
          <w:sz w:val="22"/>
          <w:szCs w:val="22"/>
          <w:lang w:val="en-US" w:eastAsia="en-US"/>
        </w:rPr>
      </w:pPr>
      <w:r>
        <w:rPr>
          <w:noProof/>
        </w:rPr>
        <w:t>Figure 4.7: Comparison of percent change in (a) surface runoff and (b)  evapotranspiration, by season, for the 2040s relative to baseline under the CCO and CCS scenarios as simulated based on 16 GCMs.  The values of the medians are listed.  Circles indicate outliers.</w:t>
      </w:r>
      <w:r>
        <w:rPr>
          <w:noProof/>
        </w:rPr>
        <w:tab/>
      </w:r>
      <w:r>
        <w:rPr>
          <w:noProof/>
        </w:rPr>
        <w:fldChar w:fldCharType="begin"/>
      </w:r>
      <w:r>
        <w:rPr>
          <w:noProof/>
        </w:rPr>
        <w:instrText xml:space="preserve"> PAGEREF _Toc367004753 \h </w:instrText>
      </w:r>
      <w:r>
        <w:rPr>
          <w:noProof/>
        </w:rPr>
      </w:r>
      <w:r>
        <w:rPr>
          <w:noProof/>
        </w:rPr>
        <w:fldChar w:fldCharType="separate"/>
      </w:r>
      <w:r w:rsidR="009F4FFA">
        <w:rPr>
          <w:noProof/>
        </w:rPr>
        <w:t>121</w:t>
      </w:r>
      <w:r>
        <w:rPr>
          <w:noProof/>
        </w:rPr>
        <w:fldChar w:fldCharType="end"/>
      </w:r>
    </w:p>
    <w:p w:rsidR="00CD20B4" w:rsidRDefault="00D27CB0" w:rsidP="00CD20B4">
      <w:pPr>
        <w:spacing w:line="480" w:lineRule="auto"/>
        <w:rPr>
          <w:rFonts w:eastAsia="Times New Roman"/>
          <w:b/>
          <w:bCs/>
          <w:kern w:val="36"/>
        </w:rPr>
      </w:pPr>
      <w:r>
        <w:fldChar w:fldCharType="end"/>
      </w:r>
      <w:r w:rsidR="00CD20B4">
        <w:br w:type="page"/>
      </w:r>
    </w:p>
    <w:p w:rsidR="009607F5" w:rsidRPr="00AA75E2" w:rsidRDefault="00AA75E2" w:rsidP="009607F5">
      <w:pPr>
        <w:pStyle w:val="Heading1"/>
        <w:jc w:val="center"/>
        <w:rPr>
          <w:sz w:val="28"/>
          <w:szCs w:val="28"/>
        </w:rPr>
      </w:pPr>
      <w:bookmarkStart w:id="6" w:name="_Toc364501614"/>
      <w:bookmarkStart w:id="7" w:name="_Toc368046146"/>
      <w:r w:rsidRPr="00AA75E2">
        <w:rPr>
          <w:sz w:val="28"/>
          <w:szCs w:val="28"/>
        </w:rPr>
        <w:lastRenderedPageBreak/>
        <w:t>Abstract</w:t>
      </w:r>
      <w:bookmarkEnd w:id="6"/>
      <w:bookmarkEnd w:id="7"/>
    </w:p>
    <w:p w:rsidR="009607F5" w:rsidRDefault="009607F5" w:rsidP="009607F5">
      <w:pPr>
        <w:spacing w:line="480" w:lineRule="auto"/>
      </w:pPr>
      <w:r>
        <w:t xml:space="preserve">     Due </w:t>
      </w:r>
      <w:r w:rsidR="00280BDA">
        <w:t xml:space="preserve">in part </w:t>
      </w:r>
      <w:r>
        <w:t>to the very recent influx of federal and state policies promoting the development of ethanol as a gasoline additive, switchgrass (</w:t>
      </w:r>
      <w:r>
        <w:rPr>
          <w:i/>
        </w:rPr>
        <w:t>Panicum virgatum</w:t>
      </w:r>
      <w:r>
        <w:t xml:space="preserve"> L.) has received much attention.  Nevertheless, investigations of the hydrological responses to switchgrass production are few, with those existing largely interested in the Southern or Upper Midwestern regions of the United States.  First, a contextualization of switchgrass as a potential biofuel crop vis-à-vis the history of land use change in the Great Plains </w:t>
      </w:r>
      <w:r w:rsidR="00B8698C">
        <w:t xml:space="preserve">region of the US </w:t>
      </w:r>
      <w:r>
        <w:t>is presented.  Then, an investigation of the hydrologic responses of two Great Plains watersheds: a 1641 km</w:t>
      </w:r>
      <w:r>
        <w:rPr>
          <w:vertAlign w:val="superscript"/>
        </w:rPr>
        <w:t>2</w:t>
      </w:r>
      <w:r>
        <w:t xml:space="preserve"> portion of the Middle North Canadian watershed and the 1061 km</w:t>
      </w:r>
      <w:r w:rsidRPr="009E3A38">
        <w:rPr>
          <w:vertAlign w:val="superscript"/>
        </w:rPr>
        <w:t>2</w:t>
      </w:r>
      <w:r>
        <w:t xml:space="preserve"> Skeleton Creek Watershed to the cultivation of switchgrass using the semidistributed Soil and Water Assessment Tool (SWAT) hydrological model, specifically the hydrologic responses on total monthly and seasonal discharge, and evapo</w:t>
      </w:r>
      <w:r w:rsidR="00280BDA">
        <w:t>transpiration, are evaluated.  Model r</w:t>
      </w:r>
      <w:r>
        <w:t>esults indicate that switchgrass cultivation is associated with decreased spring and summer seasonal runoff and increased spring and summer evapotranspiration relative to those under native land uses including native range grass and winter wheat.  When the confounding impacts of changing precipitation and temperature patterns associated with climate change are considered, the impact of switchgrass cultivation on winter</w:t>
      </w:r>
      <w:r w:rsidR="00280BDA">
        <w:t>time</w:t>
      </w:r>
      <w:r>
        <w:t xml:space="preserve"> hydrology is a function of the particular General Circulation Model </w:t>
      </w:r>
      <w:r w:rsidR="00280BDA">
        <w:t xml:space="preserve">(GCM) </w:t>
      </w:r>
      <w:r>
        <w:t xml:space="preserve">utilized.  With the addition of switchgrass, changes in surface runoff are amplified during the winter and summer and changes in evapotranspiration are amplified during all three seasons. Depending on the GCM utilized, either climate change or land use change (switchgrass cultivation) was the dominant driver of change in surface runoff while switchgrass cultivation was the </w:t>
      </w:r>
      <w:r>
        <w:lastRenderedPageBreak/>
        <w:t xml:space="preserve">major driver of changes in evapotranspiration.  </w:t>
      </w:r>
      <w:r w:rsidR="00B8698C">
        <w:t>Therefore, any</w:t>
      </w:r>
      <w:r>
        <w:t xml:space="preserve"> cultivation of switchgrass for biofuel production </w:t>
      </w:r>
      <w:r w:rsidR="00B8698C">
        <w:t xml:space="preserve">in the Great Plains region of the US must take into account hydrologic impacts and be accompanied by programs to ensure the sustainability of water supplies.  </w:t>
      </w:r>
    </w:p>
    <w:p w:rsidR="00E66E80" w:rsidRPr="00E66E80" w:rsidRDefault="007550E3" w:rsidP="009607F5">
      <w:pPr>
        <w:spacing w:line="480" w:lineRule="auto"/>
        <w:rPr>
          <w:i/>
        </w:rPr>
      </w:pPr>
      <w:r>
        <w:rPr>
          <w:b/>
        </w:rPr>
        <w:t>Key</w:t>
      </w:r>
      <w:r w:rsidR="00E66E80" w:rsidRPr="007550E3">
        <w:rPr>
          <w:b/>
        </w:rPr>
        <w:t>words</w:t>
      </w:r>
      <w:r w:rsidR="00E66E80" w:rsidRPr="007550E3">
        <w:t>: Great Plains, Switchgrass, Climate Change, Land Use Change, Hydrology</w:t>
      </w:r>
      <w:r>
        <w:t>, Soil and Water Assessment Tool</w:t>
      </w:r>
    </w:p>
    <w:p w:rsidR="00AA3F19" w:rsidRDefault="004F44E9">
      <w:pPr>
        <w:sectPr w:rsidR="00AA3F19" w:rsidSect="004750FF">
          <w:footerReference w:type="default" r:id="rId10"/>
          <w:footnotePr>
            <w:numFmt w:val="chicago"/>
          </w:footnotePr>
          <w:pgSz w:w="12240" w:h="15840"/>
          <w:pgMar w:top="1440" w:right="1440" w:bottom="1440" w:left="2304" w:header="720" w:footer="720" w:gutter="0"/>
          <w:pgNumType w:fmt="lowerRoman" w:start="4"/>
          <w:cols w:space="720"/>
          <w:docGrid w:linePitch="360"/>
        </w:sectPr>
      </w:pPr>
      <w:r>
        <w:br w:type="page"/>
      </w:r>
    </w:p>
    <w:p w:rsidR="00130E42" w:rsidRDefault="004F3E6F" w:rsidP="00130E42">
      <w:pPr>
        <w:pStyle w:val="Heading1"/>
        <w:rPr>
          <w:sz w:val="28"/>
          <w:szCs w:val="28"/>
        </w:rPr>
      </w:pPr>
      <w:bookmarkStart w:id="8" w:name="_Toc364501615"/>
      <w:bookmarkStart w:id="9" w:name="_Toc368046147"/>
      <w:r>
        <w:rPr>
          <w:sz w:val="28"/>
          <w:szCs w:val="28"/>
        </w:rPr>
        <w:lastRenderedPageBreak/>
        <w:t>Chapter</w:t>
      </w:r>
      <w:r w:rsidR="004F44E9" w:rsidRPr="00F3400E">
        <w:rPr>
          <w:sz w:val="28"/>
          <w:szCs w:val="28"/>
        </w:rPr>
        <w:t xml:space="preserve"> 1: </w:t>
      </w:r>
      <w:r w:rsidR="00CE36A8" w:rsidRPr="00F3400E">
        <w:rPr>
          <w:sz w:val="28"/>
          <w:szCs w:val="28"/>
        </w:rPr>
        <w:t>Research Overview and Introduction to the Dissertation</w:t>
      </w:r>
      <w:bookmarkStart w:id="10" w:name="_Toc364501616"/>
      <w:bookmarkEnd w:id="8"/>
      <w:bookmarkEnd w:id="9"/>
    </w:p>
    <w:p w:rsidR="00130E42" w:rsidRPr="00130E42" w:rsidRDefault="00130E42" w:rsidP="00130E42">
      <w:pPr>
        <w:pStyle w:val="Heading1"/>
        <w:rPr>
          <w:sz w:val="28"/>
          <w:szCs w:val="28"/>
        </w:rPr>
      </w:pPr>
    </w:p>
    <w:p w:rsidR="004F44E9" w:rsidRPr="009051BA" w:rsidRDefault="00F3400E" w:rsidP="00F3400E">
      <w:pPr>
        <w:pStyle w:val="Heading2"/>
      </w:pPr>
      <w:bookmarkStart w:id="11" w:name="_Toc368046148"/>
      <w:r>
        <w:t>1.1:</w:t>
      </w:r>
      <w:r w:rsidR="004F44E9" w:rsidRPr="009051BA">
        <w:t xml:space="preserve"> Overview of </w:t>
      </w:r>
      <w:r w:rsidR="000A6E34">
        <w:t>the Importance of B</w:t>
      </w:r>
      <w:r w:rsidR="004F44E9">
        <w:t>iofuels</w:t>
      </w:r>
      <w:bookmarkEnd w:id="10"/>
      <w:bookmarkEnd w:id="11"/>
    </w:p>
    <w:p w:rsidR="00A25DD0" w:rsidRDefault="004F44E9" w:rsidP="004F44E9">
      <w:pPr>
        <w:spacing w:line="480" w:lineRule="auto"/>
        <w:rPr>
          <w:rFonts w:cs="Times New Roman"/>
        </w:rPr>
      </w:pPr>
      <w:r w:rsidRPr="009051BA">
        <w:rPr>
          <w:rFonts w:cs="Times New Roman"/>
        </w:rPr>
        <w:t xml:space="preserve">    </w:t>
      </w:r>
      <w:r>
        <w:rPr>
          <w:rFonts w:cs="Times New Roman"/>
        </w:rPr>
        <w:t>Desire by the United States government to reduce its dependence on foreign oil combined with concerns</w:t>
      </w:r>
      <w:r w:rsidRPr="009051BA">
        <w:rPr>
          <w:rFonts w:cs="Times New Roman"/>
        </w:rPr>
        <w:t xml:space="preserve"> about env</w:t>
      </w:r>
      <w:r>
        <w:rPr>
          <w:rFonts w:cs="Times New Roman"/>
        </w:rPr>
        <w:t xml:space="preserve">ironmental sustainability, has caused </w:t>
      </w:r>
      <w:r w:rsidRPr="009051BA">
        <w:rPr>
          <w:rFonts w:cs="Times New Roman"/>
        </w:rPr>
        <w:t xml:space="preserve">the US </w:t>
      </w:r>
      <w:r>
        <w:rPr>
          <w:rFonts w:cs="Times New Roman"/>
        </w:rPr>
        <w:t>to</w:t>
      </w:r>
      <w:r w:rsidRPr="009051BA">
        <w:rPr>
          <w:rFonts w:cs="Times New Roman"/>
        </w:rPr>
        <w:t xml:space="preserve"> </w:t>
      </w:r>
      <w:r>
        <w:rPr>
          <w:rFonts w:cs="Times New Roman"/>
        </w:rPr>
        <w:t>embrace</w:t>
      </w:r>
      <w:r w:rsidRPr="009051BA">
        <w:rPr>
          <w:rFonts w:cs="Times New Roman"/>
        </w:rPr>
        <w:t xml:space="preserve"> bi</w:t>
      </w:r>
      <w:r>
        <w:rPr>
          <w:rFonts w:cs="Times New Roman"/>
        </w:rPr>
        <w:t xml:space="preserve">ofuels as </w:t>
      </w:r>
      <w:r w:rsidRPr="009051BA">
        <w:rPr>
          <w:rFonts w:cs="Times New Roman"/>
        </w:rPr>
        <w:t>gasoline additive</w:t>
      </w:r>
      <w:r>
        <w:rPr>
          <w:rFonts w:cs="Times New Roman"/>
        </w:rPr>
        <w:t>s</w:t>
      </w:r>
      <w:r w:rsidRPr="009051BA">
        <w:rPr>
          <w:rFonts w:cs="Times New Roman"/>
        </w:rPr>
        <w:t xml:space="preserve">.  Biofuels are “liquid fuels derived from biological materials” (e.g. Mitchell </w:t>
      </w:r>
      <w:r w:rsidRPr="009051BA">
        <w:rPr>
          <w:rFonts w:cs="Times New Roman"/>
          <w:i/>
        </w:rPr>
        <w:t>et al.</w:t>
      </w:r>
      <w:r w:rsidRPr="009051BA">
        <w:rPr>
          <w:rFonts w:cs="Times New Roman"/>
        </w:rPr>
        <w:t xml:space="preserve"> 2010; Robertson </w:t>
      </w:r>
      <w:r w:rsidRPr="009051BA">
        <w:rPr>
          <w:rFonts w:cs="Times New Roman"/>
          <w:i/>
        </w:rPr>
        <w:t>et al.</w:t>
      </w:r>
      <w:r w:rsidRPr="009051BA">
        <w:rPr>
          <w:rFonts w:cs="Times New Roman"/>
        </w:rPr>
        <w:t xml:space="preserve"> 2010).  </w:t>
      </w:r>
      <w:r>
        <w:rPr>
          <w:rFonts w:cs="Times New Roman"/>
        </w:rPr>
        <w:t>The Energy Policy Act of 2005 required 28 billion liters of ethanol to be blended into gasoline by 2012, a standard extended to 136 billion liters by 2022 as part of the Energy Independence and Security Act of 2007.  The</w:t>
      </w:r>
      <w:r w:rsidRPr="009051BA">
        <w:rPr>
          <w:rFonts w:cs="Times New Roman"/>
        </w:rPr>
        <w:t xml:space="preserve"> majority of Americans </w:t>
      </w:r>
      <w:r>
        <w:rPr>
          <w:rFonts w:cs="Times New Roman"/>
        </w:rPr>
        <w:t>fill their cars with E</w:t>
      </w:r>
      <w:r w:rsidRPr="009051BA">
        <w:rPr>
          <w:rFonts w:cs="Times New Roman"/>
        </w:rPr>
        <w:t>10</w:t>
      </w:r>
      <w:r>
        <w:rPr>
          <w:rFonts w:cs="Times New Roman"/>
        </w:rPr>
        <w:t>, a gasoline compound containing 10% ethanol, due to a combination of these federal regulations and state mandates</w:t>
      </w:r>
      <w:r w:rsidRPr="009051BA">
        <w:rPr>
          <w:rFonts w:cs="Times New Roman"/>
        </w:rPr>
        <w:t xml:space="preserve"> (Renewable Fuels Association 2013).  </w:t>
      </w:r>
      <w:r>
        <w:rPr>
          <w:rFonts w:cs="Times New Roman"/>
        </w:rPr>
        <w:t xml:space="preserve">In 2010, </w:t>
      </w:r>
      <w:r w:rsidRPr="009051BA">
        <w:rPr>
          <w:rFonts w:cs="Times New Roman"/>
        </w:rPr>
        <w:t>the Environmental Protection Agency approved use of E15 for some vehicles model year 2001</w:t>
      </w:r>
      <w:r>
        <w:rPr>
          <w:rFonts w:cs="Times New Roman"/>
        </w:rPr>
        <w:t xml:space="preserve"> and later.  In the late 1990s, so-called Flex-Fuel vehicles, which run on E85 which is a blend of 85% ethanol and 15%</w:t>
      </w:r>
      <w:r w:rsidR="00A25DD0">
        <w:rPr>
          <w:rFonts w:cs="Times New Roman"/>
        </w:rPr>
        <w:t xml:space="preserve"> gasoline, entered the market.</w:t>
      </w:r>
    </w:p>
    <w:p w:rsidR="00D25155" w:rsidRDefault="00A25DD0" w:rsidP="004F44E9">
      <w:pPr>
        <w:spacing w:line="480" w:lineRule="auto"/>
        <w:rPr>
          <w:rFonts w:cs="Times New Roman"/>
        </w:rPr>
      </w:pPr>
      <w:r>
        <w:rPr>
          <w:rFonts w:cs="Times New Roman"/>
        </w:rPr>
        <w:t xml:space="preserve">     </w:t>
      </w:r>
      <w:r w:rsidR="004F44E9" w:rsidRPr="009051BA">
        <w:rPr>
          <w:rFonts w:cs="Times New Roman"/>
        </w:rPr>
        <w:t xml:space="preserve">The effects of policies which promote the use of biofuels are visible on the American landscape.  </w:t>
      </w:r>
      <w:r w:rsidR="004F44E9">
        <w:rPr>
          <w:rFonts w:cs="Times New Roman"/>
        </w:rPr>
        <w:t xml:space="preserve">After remaining flat during the period 2000-2005, corn acreage, currently </w:t>
      </w:r>
      <w:r w:rsidR="00D5062B">
        <w:rPr>
          <w:rFonts w:cs="Times New Roman"/>
        </w:rPr>
        <w:t xml:space="preserve">the only commercially-available </w:t>
      </w:r>
      <w:r w:rsidR="004F44E9">
        <w:rPr>
          <w:rFonts w:cs="Times New Roman"/>
        </w:rPr>
        <w:t>ethanol source,</w:t>
      </w:r>
      <w:r w:rsidR="004F44E9" w:rsidRPr="009051BA">
        <w:rPr>
          <w:rFonts w:cs="Times New Roman"/>
        </w:rPr>
        <w:t xml:space="preserve"> increased by 13% or by 4 million hectares from 2006-2010 (EPA 2011).  </w:t>
      </w:r>
    </w:p>
    <w:p w:rsidR="004F44E9" w:rsidRPr="009051BA" w:rsidRDefault="004F44E9" w:rsidP="004F44E9">
      <w:pPr>
        <w:spacing w:line="480" w:lineRule="auto"/>
        <w:rPr>
          <w:rFonts w:cs="Times New Roman"/>
        </w:rPr>
      </w:pPr>
      <w:r w:rsidRPr="009051BA">
        <w:rPr>
          <w:rFonts w:cs="Times New Roman"/>
        </w:rPr>
        <w:t xml:space="preserve">     Despite the dominance of corn in the ethanol market, corn-based ethanol is problematic for various reasons.  First, various reports have linked ethanol production to increased food prices in much of the world due to increased demand for corn, although </w:t>
      </w:r>
      <w:r w:rsidRPr="009051BA">
        <w:rPr>
          <w:rFonts w:cs="Times New Roman"/>
        </w:rPr>
        <w:lastRenderedPageBreak/>
        <w:t>the picture is complex (e.g. FAPRI-MU 2008; Mitchell 2008; U.S. Co</w:t>
      </w:r>
      <w:r w:rsidR="0050326C">
        <w:rPr>
          <w:rFonts w:cs="Times New Roman"/>
        </w:rPr>
        <w:t>ngressional Budget Office 2009;</w:t>
      </w:r>
      <w:r w:rsidRPr="009051BA">
        <w:rPr>
          <w:rFonts w:cs="Times New Roman"/>
        </w:rPr>
        <w:t xml:space="preserve"> Wescott 2012).  Second, the necessity for fertilizer application </w:t>
      </w:r>
      <w:r>
        <w:rPr>
          <w:rFonts w:cs="Times New Roman"/>
        </w:rPr>
        <w:t xml:space="preserve">associated with corn production </w:t>
      </w:r>
      <w:r w:rsidRPr="009051BA">
        <w:rPr>
          <w:rFonts w:cs="Times New Roman"/>
        </w:rPr>
        <w:t>has resulted in reduced water quality in many water bodies, most famously the Gulf of Mexico (e.g. Schilling et al. 2010, 2012; Secchi et al. 2011; Demissie et al. 2012; Forrestal et al. 2012).  Third, there is much uncertainty in the quantity of CO</w:t>
      </w:r>
      <w:r w:rsidRPr="009051BA">
        <w:rPr>
          <w:rFonts w:cs="Times New Roman"/>
          <w:vertAlign w:val="subscript"/>
        </w:rPr>
        <w:t>2</w:t>
      </w:r>
      <w:r w:rsidRPr="009051BA">
        <w:rPr>
          <w:rFonts w:cs="Times New Roman"/>
        </w:rPr>
        <w:t xml:space="preserve"> emissions resulting from the clearing of land to promote ethanol </w:t>
      </w:r>
      <w:r>
        <w:rPr>
          <w:rFonts w:cs="Times New Roman"/>
        </w:rPr>
        <w:t>cultivation</w:t>
      </w:r>
      <w:r w:rsidRPr="009051BA">
        <w:rPr>
          <w:rFonts w:cs="Times New Roman"/>
        </w:rPr>
        <w:t xml:space="preserve"> (e.g. Searchinger et al. 2008; Khosla 2008; Hertel et al. 2010; Plevin et al. 2010; Lambin and Meyfroidt 2011; Tonini et al. 2012).</w:t>
      </w:r>
    </w:p>
    <w:p w:rsidR="004F44E9" w:rsidRPr="009051BA" w:rsidRDefault="00F3400E" w:rsidP="00F3400E">
      <w:pPr>
        <w:pStyle w:val="Heading2"/>
      </w:pPr>
      <w:bookmarkStart w:id="12" w:name="_Toc364501617"/>
      <w:bookmarkStart w:id="13" w:name="_Toc368046149"/>
      <w:r>
        <w:t>1.2:</w:t>
      </w:r>
      <w:r w:rsidR="004F44E9" w:rsidRPr="009051BA">
        <w:t xml:space="preserve"> Cellulosic </w:t>
      </w:r>
      <w:r w:rsidR="004513AB">
        <w:t>B</w:t>
      </w:r>
      <w:r w:rsidR="004F44E9" w:rsidRPr="009051BA">
        <w:t>iofuels</w:t>
      </w:r>
      <w:bookmarkEnd w:id="12"/>
      <w:bookmarkEnd w:id="13"/>
    </w:p>
    <w:p w:rsidR="00FF03B2" w:rsidRDefault="004F44E9" w:rsidP="00DA1A32">
      <w:pPr>
        <w:spacing w:line="480" w:lineRule="auto"/>
        <w:rPr>
          <w:rFonts w:cs="Times New Roman"/>
        </w:rPr>
      </w:pPr>
      <w:r w:rsidRPr="009051BA">
        <w:rPr>
          <w:rFonts w:cs="Times New Roman"/>
        </w:rPr>
        <w:t xml:space="preserve">     Due to these concerns, much research has been conducted on so-called cellulosic biofuels, </w:t>
      </w:r>
      <w:r>
        <w:rPr>
          <w:rFonts w:cs="Times New Roman"/>
        </w:rPr>
        <w:t xml:space="preserve">which </w:t>
      </w:r>
      <w:r w:rsidRPr="009051BA">
        <w:rPr>
          <w:rFonts w:cs="Times New Roman"/>
        </w:rPr>
        <w:t>refer to the utilization of crop-left overs like wood stalks or grasses as sources of ethanol production.  Examples include wood chips and corn stover.  One of the most frequently mentioned sources of cellulosic ethanol is switchgrass (</w:t>
      </w:r>
      <w:r w:rsidRPr="009051BA">
        <w:rPr>
          <w:rFonts w:cs="Times New Roman"/>
          <w:i/>
        </w:rPr>
        <w:t>Panicum virgatum</w:t>
      </w:r>
      <w:r w:rsidRPr="009051BA">
        <w:rPr>
          <w:rFonts w:cs="Times New Roman"/>
        </w:rPr>
        <w:t xml:space="preserve"> L.</w:t>
      </w:r>
      <w:r>
        <w:rPr>
          <w:rFonts w:cs="Times New Roman"/>
        </w:rPr>
        <w:t>, Figure 1.1</w:t>
      </w:r>
      <w:r w:rsidRPr="009051BA">
        <w:rPr>
          <w:rFonts w:cs="Times New Roman"/>
        </w:rPr>
        <w:t xml:space="preserve">).  This drought-tolerant warm-season grass is native to the tallgrass prairies of the eastern 2/3rds of the United States and can be planted on a range of soils (Parrish and Fike 2005).  It has been </w:t>
      </w:r>
      <w:r>
        <w:rPr>
          <w:rFonts w:cs="Times New Roman"/>
        </w:rPr>
        <w:t>subjected to</w:t>
      </w:r>
      <w:r w:rsidRPr="009051BA">
        <w:rPr>
          <w:rFonts w:cs="Times New Roman"/>
        </w:rPr>
        <w:t xml:space="preserve"> </w:t>
      </w:r>
      <w:r>
        <w:rPr>
          <w:rFonts w:cs="Times New Roman"/>
        </w:rPr>
        <w:t xml:space="preserve">extensive </w:t>
      </w:r>
      <w:r w:rsidRPr="009051BA">
        <w:rPr>
          <w:rFonts w:cs="Times New Roman"/>
        </w:rPr>
        <w:t>investigation</w:t>
      </w:r>
      <w:r>
        <w:rPr>
          <w:rFonts w:cs="Times New Roman"/>
        </w:rPr>
        <w:t>s</w:t>
      </w:r>
      <w:r w:rsidRPr="009051BA">
        <w:rPr>
          <w:rFonts w:cs="Times New Roman"/>
        </w:rPr>
        <w:t xml:space="preserve"> by the United States Department</w:t>
      </w:r>
      <w:r>
        <w:rPr>
          <w:rFonts w:cs="Times New Roman"/>
        </w:rPr>
        <w:t>s</w:t>
      </w:r>
      <w:r w:rsidRPr="009051BA">
        <w:rPr>
          <w:rFonts w:cs="Times New Roman"/>
        </w:rPr>
        <w:t xml:space="preserve"> of Agriculture and the Department of Energy since the oil crisis of the 1970s</w:t>
      </w:r>
      <w:r w:rsidR="00A60D03">
        <w:rPr>
          <w:rFonts w:cs="Times New Roman"/>
        </w:rPr>
        <w:t xml:space="preserve">.  </w:t>
      </w:r>
      <w:r>
        <w:rPr>
          <w:rFonts w:cs="Times New Roman"/>
        </w:rPr>
        <w:t xml:space="preserve">Early in the investigations, switchgrass was identified as </w:t>
      </w:r>
      <w:r w:rsidRPr="009051BA">
        <w:rPr>
          <w:rFonts w:cs="Times New Roman"/>
        </w:rPr>
        <w:t>the most-promising of the 37 feedstocks tested because of its generally high yields, low input requirements after the first year, and low economic and environmental costs (EPA 2011).</w:t>
      </w:r>
      <w:r>
        <w:rPr>
          <w:rFonts w:cs="Times New Roman"/>
        </w:rPr>
        <w:t xml:space="preserve">  </w:t>
      </w:r>
      <w:r w:rsidRPr="009051BA">
        <w:rPr>
          <w:rFonts w:cs="Times New Roman"/>
        </w:rPr>
        <w:t>It is also associated with improved environmental conditions over corn</w:t>
      </w:r>
      <w:r>
        <w:rPr>
          <w:rFonts w:cs="Times New Roman"/>
        </w:rPr>
        <w:t xml:space="preserve">, most </w:t>
      </w:r>
      <w:r>
        <w:rPr>
          <w:rFonts w:cs="Times New Roman"/>
        </w:rPr>
        <w:lastRenderedPageBreak/>
        <w:t>notably reduced erosion and improved water quality</w:t>
      </w:r>
      <w:r w:rsidRPr="009051BA">
        <w:rPr>
          <w:rFonts w:cs="Times New Roman"/>
        </w:rPr>
        <w:t xml:space="preserve"> (e.g. Graham et al. 1996; Nelson et al. 2006; Schilling et al. 2008; Simpson et al. 2008).  </w:t>
      </w:r>
    </w:p>
    <w:p w:rsidR="00E443C8" w:rsidRPr="009051BA" w:rsidRDefault="00E443C8" w:rsidP="00FF03B2">
      <w:pPr>
        <w:rPr>
          <w:rFonts w:cs="Times New Roman"/>
        </w:rPr>
      </w:pPr>
      <w:r w:rsidRPr="009051BA">
        <w:rPr>
          <w:rFonts w:cs="Times New Roman"/>
          <w:noProof/>
        </w:rPr>
        <w:drawing>
          <wp:inline distT="0" distB="0" distL="0" distR="0" wp14:anchorId="2F50A0B7" wp14:editId="433248CC">
            <wp:extent cx="1987826" cy="249486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i2_013_lvp.jpg"/>
                    <pic:cNvPicPr/>
                  </pic:nvPicPr>
                  <pic:blipFill rotWithShape="1">
                    <a:blip r:embed="rId11" cstate="print">
                      <a:extLst>
                        <a:ext uri="{28A0092B-C50C-407E-A947-70E740481C1C}">
                          <a14:useLocalDpi xmlns:a14="http://schemas.microsoft.com/office/drawing/2010/main" val="0"/>
                        </a:ext>
                      </a:extLst>
                    </a:blip>
                    <a:srcRect t="5641" b="5538"/>
                    <a:stretch/>
                  </pic:blipFill>
                  <pic:spPr bwMode="auto">
                    <a:xfrm>
                      <a:off x="0" y="0"/>
                      <a:ext cx="1992621" cy="2500883"/>
                    </a:xfrm>
                    <a:prstGeom prst="rect">
                      <a:avLst/>
                    </a:prstGeom>
                    <a:ln>
                      <a:noFill/>
                    </a:ln>
                    <a:extLst>
                      <a:ext uri="{53640926-AAD7-44D8-BBD7-CCE9431645EC}">
                        <a14:shadowObscured xmlns:a14="http://schemas.microsoft.com/office/drawing/2010/main"/>
                      </a:ext>
                    </a:extLst>
                  </pic:spPr>
                </pic:pic>
              </a:graphicData>
            </a:graphic>
          </wp:inline>
        </w:drawing>
      </w:r>
      <w:r w:rsidRPr="009051BA">
        <w:rPr>
          <w:rFonts w:cs="Times New Roman"/>
        </w:rPr>
        <w:t xml:space="preserve"> (a)                              </w:t>
      </w:r>
      <w:r w:rsidR="006B1E1A" w:rsidRPr="009051BA">
        <w:rPr>
          <w:rFonts w:cs="Times New Roman"/>
          <w:noProof/>
        </w:rPr>
        <w:drawing>
          <wp:inline distT="0" distB="0" distL="0" distR="0" wp14:anchorId="316E6168" wp14:editId="729B8E46">
            <wp:extent cx="1664208" cy="24963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agland_switchgrass_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4208" cy="2496312"/>
                    </a:xfrm>
                    <a:prstGeom prst="rect">
                      <a:avLst/>
                    </a:prstGeom>
                  </pic:spPr>
                </pic:pic>
              </a:graphicData>
            </a:graphic>
          </wp:inline>
        </w:drawing>
      </w:r>
      <w:r w:rsidR="006B1E1A">
        <w:rPr>
          <w:rFonts w:cs="Times New Roman"/>
        </w:rPr>
        <w:t xml:space="preserve"> </w:t>
      </w:r>
      <w:r w:rsidRPr="009051BA">
        <w:rPr>
          <w:rFonts w:cs="Times New Roman"/>
        </w:rPr>
        <w:t>(</w:t>
      </w:r>
      <w:proofErr w:type="gramStart"/>
      <w:r w:rsidRPr="009051BA">
        <w:rPr>
          <w:rFonts w:cs="Times New Roman"/>
        </w:rPr>
        <w:t>b</w:t>
      </w:r>
      <w:proofErr w:type="gramEnd"/>
      <w:r w:rsidRPr="009051BA">
        <w:rPr>
          <w:rFonts w:cs="Times New Roman"/>
        </w:rPr>
        <w:t>)</w:t>
      </w:r>
    </w:p>
    <w:p w:rsidR="00E443C8" w:rsidRDefault="00E443C8" w:rsidP="00F33486">
      <w:pPr>
        <w:pStyle w:val="Figurecaption"/>
      </w:pPr>
      <w:bookmarkStart w:id="14" w:name="_Toc364442677"/>
      <w:bookmarkStart w:id="15" w:name="_Toc364505720"/>
      <w:bookmarkStart w:id="16" w:name="_Toc367004732"/>
      <w:r w:rsidRPr="00490F16">
        <w:t>Figure 1.1: Switchgrass (</w:t>
      </w:r>
      <w:r w:rsidRPr="00490F16">
        <w:rPr>
          <w:i/>
        </w:rPr>
        <w:t>Panicum virgatum</w:t>
      </w:r>
      <w:r w:rsidRPr="00490F16">
        <w:t xml:space="preserve"> L.).  a) Image source: Jeff McMillian, from the USDA-NRCS PLANTS Database.   b) Image source: Bruce Hoagland.  Both images used with permission.</w:t>
      </w:r>
      <w:bookmarkEnd w:id="14"/>
      <w:bookmarkEnd w:id="15"/>
      <w:bookmarkEnd w:id="16"/>
    </w:p>
    <w:p w:rsidR="002434D6" w:rsidRPr="002434D6" w:rsidRDefault="002434D6" w:rsidP="002434D6">
      <w:pPr>
        <w:rPr>
          <w:lang w:val="en-GB" w:eastAsia="en-GB"/>
        </w:rPr>
      </w:pPr>
    </w:p>
    <w:p w:rsidR="004F44E9" w:rsidRDefault="004F44E9" w:rsidP="004F44E9">
      <w:pPr>
        <w:spacing w:line="480" w:lineRule="auto"/>
        <w:rPr>
          <w:rFonts w:cs="Times New Roman"/>
        </w:rPr>
      </w:pPr>
      <w:r>
        <w:rPr>
          <w:rFonts w:cs="Times New Roman"/>
        </w:rPr>
        <w:t xml:space="preserve">     </w:t>
      </w:r>
      <w:r w:rsidRPr="009051BA">
        <w:rPr>
          <w:rFonts w:cs="Times New Roman"/>
        </w:rPr>
        <w:t xml:space="preserve">In nature, switchgrass has two different ecotypes: upland and lowland (Porter 1966).  Upland switchgrass grows in mesic locations.  Individuals of this ecotpe have been bred into the cultivars trailblazer, Blackwell, cave-in-rock, dacotah, pathfinder, sunburst, and </w:t>
      </w:r>
      <w:proofErr w:type="gramStart"/>
      <w:r w:rsidRPr="009051BA">
        <w:rPr>
          <w:rFonts w:cs="Times New Roman"/>
        </w:rPr>
        <w:t>caddo</w:t>
      </w:r>
      <w:proofErr w:type="gramEnd"/>
      <w:r w:rsidRPr="009051BA">
        <w:rPr>
          <w:rFonts w:cs="Times New Roman"/>
        </w:rPr>
        <w:t>.  Lowland ecotypes grow in hydric locations and are more sensitive to moisture deficits than other C</w:t>
      </w:r>
      <w:r w:rsidRPr="009051BA">
        <w:rPr>
          <w:rFonts w:cs="Times New Roman"/>
          <w:vertAlign w:val="subscript"/>
        </w:rPr>
        <w:t>4</w:t>
      </w:r>
      <w:r w:rsidRPr="009051BA">
        <w:rPr>
          <w:rFonts w:cs="Times New Roman"/>
        </w:rPr>
        <w:t xml:space="preserve"> grasses (Porter 1966).  Cultivars derived from lowland ecotypes include Alamo, Kanlow, and eg1101.  In the southern tallgrass prairie of Kansas, Texas, and Oklahoma, the upland ecotype dominates while the lowland ecotype occupies the riverine portions (Brunken and Estes 1975).  With respect to genetics, while upland switchgrass cultivars are </w:t>
      </w:r>
      <w:proofErr w:type="gramStart"/>
      <w:r w:rsidRPr="009051BA">
        <w:rPr>
          <w:rFonts w:cs="Times New Roman"/>
        </w:rPr>
        <w:t>either tetraploid</w:t>
      </w:r>
      <w:proofErr w:type="gramEnd"/>
      <w:r w:rsidRPr="009051BA">
        <w:rPr>
          <w:rFonts w:cs="Times New Roman"/>
        </w:rPr>
        <w:t xml:space="preserve">, hexaploid, octoploid, or aneuploid, lowland </w:t>
      </w:r>
      <w:r w:rsidRPr="009051BA">
        <w:rPr>
          <w:rFonts w:cs="Times New Roman"/>
        </w:rPr>
        <w:lastRenderedPageBreak/>
        <w:t>cultivars are tetraploid (Porter 1966, Brunken and Estes 1975, Parrish and Fike 2005).  Switchgrass may grow to heights of 3.0 meters and have rooting depths of 3.0 meters, although lowland types may grow larger (Parrish and Fike 2005).  Lowland ecotypes also have thicker stems and more bluish-green leaves.</w:t>
      </w:r>
    </w:p>
    <w:p w:rsidR="004F44E9" w:rsidRPr="009051BA" w:rsidRDefault="004F44E9" w:rsidP="004F44E9">
      <w:pPr>
        <w:spacing w:line="480" w:lineRule="auto"/>
        <w:rPr>
          <w:rFonts w:cs="Times New Roman"/>
        </w:rPr>
      </w:pPr>
      <w:r w:rsidRPr="009051BA">
        <w:rPr>
          <w:rFonts w:cs="Times New Roman"/>
        </w:rPr>
        <w:t xml:space="preserve">     Despite the presence of two genetically distinct ecotypes, the most frequently reported quantity of switchgrass yields in the literature across both ecotypes is 10-14 Mg ha</w:t>
      </w:r>
      <w:r w:rsidRPr="009051BA">
        <w:rPr>
          <w:rFonts w:cs="Times New Roman"/>
          <w:vertAlign w:val="superscript"/>
        </w:rPr>
        <w:t>-1</w:t>
      </w:r>
      <w:r w:rsidRPr="009051BA">
        <w:rPr>
          <w:rFonts w:cs="Times New Roman"/>
        </w:rPr>
        <w:t xml:space="preserve"> of biomass, although the quantity varies by climate and nitrogen application (Wullschleger et al. 2010).  In general, yields increase with increasing temperature up to 15-20</w:t>
      </w:r>
      <w:r>
        <w:rPr>
          <w:rFonts w:ascii="Calibri" w:hAnsi="Calibri" w:cs="Times New Roman"/>
          <w:vertAlign w:val="superscript"/>
        </w:rPr>
        <w:t>°</w:t>
      </w:r>
      <w:r w:rsidRPr="009051BA">
        <w:rPr>
          <w:rFonts w:cs="Times New Roman"/>
        </w:rPr>
        <w:t xml:space="preserve">C, then decrease.  No correlation </w:t>
      </w:r>
      <w:r>
        <w:rPr>
          <w:rFonts w:cs="Times New Roman"/>
        </w:rPr>
        <w:t>has been</w:t>
      </w:r>
      <w:r w:rsidRPr="009051BA">
        <w:rPr>
          <w:rFonts w:cs="Times New Roman"/>
        </w:rPr>
        <w:t xml:space="preserve"> found between biomass yield and precipitation, although upland switchgrass yields have been shown to increase with increasing April-September precipitation up to 600 mm.  No consensus exists as to the ideal quantity of nitrogen application for switchgrass given local variations in nutrient levels (Parrish and Fike 2005).  Additionally, switchgrass has been successful in both acidic and basic soils (Porter 1966; Parrish and Fike 2005), although soil type is sometimes not as important for plant growth as moisture availability (Evers and Parsons 2003).  </w:t>
      </w:r>
    </w:p>
    <w:p w:rsidR="004F44E9" w:rsidRPr="009051BA" w:rsidRDefault="00AA75E2" w:rsidP="004F44E9">
      <w:pPr>
        <w:spacing w:line="480" w:lineRule="auto"/>
        <w:rPr>
          <w:rFonts w:cs="Times New Roman"/>
        </w:rPr>
      </w:pPr>
      <w:r>
        <w:rPr>
          <w:rFonts w:cs="Times New Roman"/>
        </w:rPr>
        <w:t xml:space="preserve">     </w:t>
      </w:r>
      <w:r w:rsidR="004F44E9" w:rsidRPr="009051BA">
        <w:rPr>
          <w:rFonts w:cs="Times New Roman"/>
        </w:rPr>
        <w:t xml:space="preserve">Switchgrass has been </w:t>
      </w:r>
      <w:r w:rsidR="004F44E9">
        <w:rPr>
          <w:rFonts w:cs="Times New Roman"/>
        </w:rPr>
        <w:t>researched</w:t>
      </w:r>
      <w:r w:rsidR="004F44E9" w:rsidRPr="009051BA">
        <w:rPr>
          <w:rFonts w:cs="Times New Roman"/>
        </w:rPr>
        <w:t xml:space="preserve"> extensively in the Great Plains region, a predominantly semi-arid agricultural region situated between the 98</w:t>
      </w:r>
      <w:r w:rsidR="004F44E9" w:rsidRPr="009051BA">
        <w:rPr>
          <w:rFonts w:cs="Times New Roman"/>
          <w:vertAlign w:val="superscript"/>
        </w:rPr>
        <w:t>th</w:t>
      </w:r>
      <w:r w:rsidR="004F44E9" w:rsidRPr="009051BA">
        <w:rPr>
          <w:rFonts w:cs="Times New Roman"/>
        </w:rPr>
        <w:t xml:space="preserve"> Meridian and the Rocky Mountains.  Various management schemes have been specifically applied to </w:t>
      </w:r>
      <w:r w:rsidR="004F44E9">
        <w:rPr>
          <w:rFonts w:cs="Times New Roman"/>
        </w:rPr>
        <w:t xml:space="preserve">switchgrass </w:t>
      </w:r>
      <w:r w:rsidR="004F44E9" w:rsidRPr="009051BA">
        <w:rPr>
          <w:rFonts w:cs="Times New Roman"/>
        </w:rPr>
        <w:t>stands i</w:t>
      </w:r>
      <w:r w:rsidR="0050039E">
        <w:rPr>
          <w:rFonts w:cs="Times New Roman"/>
        </w:rPr>
        <w:t>n Oklahoma (Porter 1966; Thomaso</w:t>
      </w:r>
      <w:r w:rsidR="004F44E9" w:rsidRPr="009051BA">
        <w:rPr>
          <w:rFonts w:cs="Times New Roman"/>
        </w:rPr>
        <w:t xml:space="preserve">n et al. 2003; Foster et al. 2013).  With the assistance of the government of the State of Oklahoma, the Samuel Roberts Noble </w:t>
      </w:r>
      <w:r w:rsidR="004F44E9" w:rsidRPr="00FA23E1">
        <w:rPr>
          <w:rFonts w:cs="Times New Roman"/>
          <w:color w:val="000000" w:themeColor="text1"/>
        </w:rPr>
        <w:t>Foundation (</w:t>
      </w:r>
      <w:r w:rsidR="004F44E9" w:rsidRPr="00FA23E1">
        <w:rPr>
          <w:rFonts w:cs="Times New Roman"/>
          <w:i/>
          <w:color w:val="000000" w:themeColor="text1"/>
        </w:rPr>
        <w:t>http://www.noble.org/</w:t>
      </w:r>
      <w:r w:rsidR="004F44E9" w:rsidRPr="00FA23E1">
        <w:rPr>
          <w:rFonts w:cs="Times New Roman"/>
          <w:color w:val="000000" w:themeColor="text1"/>
        </w:rPr>
        <w:t xml:space="preserve">), and Oklahoma State University, the </w:t>
      </w:r>
      <w:r w:rsidR="004F44E9" w:rsidRPr="00FA23E1">
        <w:rPr>
          <w:rFonts w:cs="Times New Roman"/>
          <w:color w:val="000000" w:themeColor="text1"/>
        </w:rPr>
        <w:lastRenderedPageBreak/>
        <w:t>Oklahoma Bioenergy Center (</w:t>
      </w:r>
      <w:r w:rsidR="004F44E9" w:rsidRPr="00FA23E1">
        <w:rPr>
          <w:rFonts w:cs="Times New Roman"/>
          <w:i/>
          <w:color w:val="000000" w:themeColor="text1"/>
        </w:rPr>
        <w:t>http://okbioenergycenter.org/</w:t>
      </w:r>
      <w:r w:rsidR="004F44E9" w:rsidRPr="00FA23E1">
        <w:rPr>
          <w:rFonts w:cs="Times New Roman"/>
          <w:color w:val="000000" w:themeColor="text1"/>
        </w:rPr>
        <w:t xml:space="preserve">) are actively engaged in biofuel crop research.  </w:t>
      </w:r>
      <w:r w:rsidR="004F44E9">
        <w:rPr>
          <w:rFonts w:cs="Times New Roman"/>
          <w:color w:val="000000" w:themeColor="text1"/>
        </w:rPr>
        <w:t>In 2008,</w:t>
      </w:r>
      <w:r w:rsidR="004F44E9" w:rsidRPr="00FA23E1">
        <w:rPr>
          <w:rFonts w:cs="Times New Roman"/>
          <w:color w:val="000000" w:themeColor="text1"/>
        </w:rPr>
        <w:t xml:space="preserve"> the Samuel Roberts Noble </w:t>
      </w:r>
      <w:r w:rsidR="004F44E9" w:rsidRPr="009051BA">
        <w:rPr>
          <w:rFonts w:cs="Times New Roman"/>
        </w:rPr>
        <w:t xml:space="preserve">Foundation planted 403 hectares of switchgrass near Guymon, OK </w:t>
      </w:r>
      <w:r w:rsidR="004F44E9">
        <w:rPr>
          <w:rFonts w:cs="Times New Roman"/>
        </w:rPr>
        <w:t xml:space="preserve">on </w:t>
      </w:r>
      <w:r w:rsidR="004F44E9" w:rsidRPr="009051BA">
        <w:rPr>
          <w:rFonts w:cs="Times New Roman"/>
        </w:rPr>
        <w:t>81 hectare</w:t>
      </w:r>
      <w:r w:rsidR="004F44E9">
        <w:rPr>
          <w:rFonts w:cs="Times New Roman"/>
        </w:rPr>
        <w:t>s</w:t>
      </w:r>
      <w:r w:rsidR="00A36EE5">
        <w:rPr>
          <w:rFonts w:cs="Times New Roman"/>
        </w:rPr>
        <w:t xml:space="preserve"> </w:t>
      </w:r>
      <w:r w:rsidR="004F44E9" w:rsidRPr="009051BA">
        <w:rPr>
          <w:rFonts w:cs="Times New Roman"/>
        </w:rPr>
        <w:t xml:space="preserve">near Maysville, OK as demonstration projects (John Blanton, Noble Energy Foundation, pers. com.).  </w:t>
      </w:r>
      <w:r w:rsidR="004F44E9">
        <w:rPr>
          <w:rFonts w:cs="Times New Roman"/>
        </w:rPr>
        <w:t>T</w:t>
      </w:r>
      <w:r w:rsidR="004F44E9" w:rsidRPr="009051BA">
        <w:rPr>
          <w:rFonts w:cs="Times New Roman"/>
        </w:rPr>
        <w:t xml:space="preserve">he demonstration plot </w:t>
      </w:r>
      <w:r w:rsidR="004F44E9">
        <w:rPr>
          <w:rFonts w:cs="Times New Roman"/>
        </w:rPr>
        <w:t xml:space="preserve">at </w:t>
      </w:r>
      <w:r w:rsidR="004F44E9" w:rsidRPr="009051BA">
        <w:rPr>
          <w:rFonts w:cs="Times New Roman"/>
        </w:rPr>
        <w:t xml:space="preserve">Guymon contains 231 hectares of the upland cultivars trailblazer and Blackwell, and 172 hectares of lowland cultivars alamo, kanlow, and eg1101.  The switchgrass in this plot replaced a rotational planting system of wheat, corn, or soybeans (John Blanton, pers. Com.)  Approximately sixty-five kilometers from Guymon in Hugoton, KS, Albengoa Bioenergy Corporation has commenced construction on a biorefinery designed to generate ethanol from this switchgrass.  </w:t>
      </w:r>
    </w:p>
    <w:p w:rsidR="00FF03B2" w:rsidRDefault="004F44E9" w:rsidP="004F44E9">
      <w:pPr>
        <w:spacing w:line="480" w:lineRule="auto"/>
        <w:rPr>
          <w:rFonts w:cs="Times New Roman"/>
        </w:rPr>
      </w:pPr>
      <w:r w:rsidRPr="009051BA">
        <w:rPr>
          <w:rFonts w:cs="Times New Roman"/>
        </w:rPr>
        <w:t xml:space="preserve">     Despite the interest in switchgrass, relatively little is known about the possible hydrologic response to switchgrass cultivation in the Great Plains region, a transition zone between the tallgrass prairies to which switchgrass is native and the shortgrasses associated with the Western US.  </w:t>
      </w:r>
      <w:r>
        <w:rPr>
          <w:rFonts w:cs="Times New Roman"/>
        </w:rPr>
        <w:t xml:space="preserve">To date, much of the </w:t>
      </w:r>
      <w:r w:rsidR="0050326C">
        <w:rPr>
          <w:rFonts w:cs="Times New Roman"/>
        </w:rPr>
        <w:t xml:space="preserve">investigations have </w:t>
      </w:r>
      <w:r w:rsidRPr="009051BA">
        <w:rPr>
          <w:rFonts w:cs="Times New Roman"/>
        </w:rPr>
        <w:t>been conducted in the American South and in the Midwest Corn Belt (e.g. Nyakatawa</w:t>
      </w:r>
      <w:r w:rsidRPr="009051BA">
        <w:rPr>
          <w:rFonts w:cs="Times New Roman"/>
          <w:bCs/>
          <w:i/>
        </w:rPr>
        <w:t xml:space="preserve"> </w:t>
      </w:r>
      <w:r w:rsidRPr="0073343E">
        <w:rPr>
          <w:rFonts w:cs="Times New Roman"/>
          <w:bCs/>
        </w:rPr>
        <w:t>et al.</w:t>
      </w:r>
      <w:r w:rsidRPr="009051BA">
        <w:rPr>
          <w:rFonts w:cs="Times New Roman"/>
          <w:bCs/>
        </w:rPr>
        <w:t xml:space="preserve"> 2006; Simpson </w:t>
      </w:r>
      <w:r w:rsidRPr="00280BDA">
        <w:rPr>
          <w:rFonts w:cs="Times New Roman"/>
          <w:bCs/>
        </w:rPr>
        <w:t>et al.</w:t>
      </w:r>
      <w:r w:rsidRPr="009051BA">
        <w:rPr>
          <w:rFonts w:cs="Times New Roman"/>
          <w:bCs/>
        </w:rPr>
        <w:t xml:space="preserve"> 2008; Chamberlain </w:t>
      </w:r>
      <w:r w:rsidRPr="00280BDA">
        <w:rPr>
          <w:rFonts w:cs="Times New Roman"/>
          <w:bCs/>
        </w:rPr>
        <w:t>et al.</w:t>
      </w:r>
      <w:r w:rsidRPr="009051BA">
        <w:rPr>
          <w:rFonts w:cs="Times New Roman"/>
          <w:bCs/>
        </w:rPr>
        <w:t xml:space="preserve"> 2011; Sarkar </w:t>
      </w:r>
      <w:r w:rsidRPr="00280BDA">
        <w:rPr>
          <w:rFonts w:cs="Times New Roman"/>
          <w:bCs/>
        </w:rPr>
        <w:t xml:space="preserve">et al. </w:t>
      </w:r>
      <w:r w:rsidRPr="009051BA">
        <w:rPr>
          <w:rFonts w:cs="Times New Roman"/>
          <w:bCs/>
        </w:rPr>
        <w:t xml:space="preserve">2011; Demissie </w:t>
      </w:r>
      <w:r w:rsidRPr="00206729">
        <w:rPr>
          <w:rFonts w:cs="Times New Roman"/>
          <w:bCs/>
          <w:i/>
        </w:rPr>
        <w:t>et al.</w:t>
      </w:r>
      <w:r w:rsidRPr="009051BA">
        <w:rPr>
          <w:rFonts w:cs="Times New Roman"/>
          <w:bCs/>
        </w:rPr>
        <w:t xml:space="preserve"> 2012)</w:t>
      </w:r>
      <w:r>
        <w:rPr>
          <w:rFonts w:cs="Times New Roman"/>
        </w:rPr>
        <w:t xml:space="preserve">. There is a need for similar investigation in the Great Plains because </w:t>
      </w:r>
      <w:r w:rsidRPr="009051BA">
        <w:rPr>
          <w:rFonts w:cs="Times New Roman"/>
        </w:rPr>
        <w:t xml:space="preserve">hydrologic response </w:t>
      </w:r>
      <w:r>
        <w:rPr>
          <w:rFonts w:cs="Times New Roman"/>
        </w:rPr>
        <w:t>is</w:t>
      </w:r>
      <w:r w:rsidRPr="009051BA">
        <w:rPr>
          <w:rFonts w:cs="Times New Roman"/>
        </w:rPr>
        <w:t xml:space="preserve"> often </w:t>
      </w:r>
      <w:r>
        <w:rPr>
          <w:rFonts w:cs="Times New Roman"/>
        </w:rPr>
        <w:t xml:space="preserve">a </w:t>
      </w:r>
      <w:r w:rsidRPr="009051BA">
        <w:rPr>
          <w:rFonts w:cs="Times New Roman"/>
        </w:rPr>
        <w:t>function of local conditions</w:t>
      </w:r>
      <w:r>
        <w:rPr>
          <w:rFonts w:cs="Times New Roman"/>
        </w:rPr>
        <w:t xml:space="preserve">.  </w:t>
      </w:r>
      <w:r w:rsidRPr="009051BA">
        <w:rPr>
          <w:rFonts w:cs="Times New Roman"/>
        </w:rPr>
        <w:t xml:space="preserve">In 2008, the National Research Council labeled </w:t>
      </w:r>
      <w:r>
        <w:rPr>
          <w:rFonts w:cs="Times New Roman"/>
        </w:rPr>
        <w:t xml:space="preserve">the hydrology of </w:t>
      </w:r>
      <w:r w:rsidRPr="009051BA">
        <w:rPr>
          <w:rFonts w:cs="Times New Roman"/>
        </w:rPr>
        <w:t xml:space="preserve">biofuel production as an emerging field of study </w:t>
      </w:r>
      <w:r>
        <w:rPr>
          <w:rFonts w:cs="Times New Roman"/>
        </w:rPr>
        <w:t>due to the continued importance of biofuels in helping the US meet its energy needs</w:t>
      </w:r>
      <w:r w:rsidRPr="009051BA">
        <w:rPr>
          <w:rFonts w:cs="Times New Roman"/>
        </w:rPr>
        <w:t xml:space="preserve">.  </w:t>
      </w:r>
    </w:p>
    <w:p w:rsidR="00DA1A32" w:rsidRDefault="00DA1A32" w:rsidP="004F44E9">
      <w:pPr>
        <w:spacing w:line="480" w:lineRule="auto"/>
        <w:rPr>
          <w:rFonts w:cs="Times New Roman"/>
        </w:rPr>
      </w:pPr>
    </w:p>
    <w:p w:rsidR="00DA1A32" w:rsidRPr="009051BA" w:rsidRDefault="00DA1A32" w:rsidP="004F44E9">
      <w:pPr>
        <w:spacing w:line="480" w:lineRule="auto"/>
        <w:rPr>
          <w:rFonts w:cs="Times New Roman"/>
        </w:rPr>
      </w:pPr>
    </w:p>
    <w:p w:rsidR="004F44E9" w:rsidRPr="009051BA" w:rsidRDefault="00F3400E" w:rsidP="00F3400E">
      <w:pPr>
        <w:pStyle w:val="Heading2"/>
      </w:pPr>
      <w:bookmarkStart w:id="17" w:name="_Toc364501618"/>
      <w:bookmarkStart w:id="18" w:name="_Toc368046150"/>
      <w:r>
        <w:lastRenderedPageBreak/>
        <w:t>1.3:</w:t>
      </w:r>
      <w:r w:rsidR="004F44E9" w:rsidRPr="009051BA">
        <w:t xml:space="preserve"> Research Objective</w:t>
      </w:r>
      <w:r w:rsidR="004F44E9">
        <w:t>s</w:t>
      </w:r>
      <w:r w:rsidR="004F44E9" w:rsidRPr="009051BA">
        <w:t xml:space="preserve"> and </w:t>
      </w:r>
      <w:r w:rsidR="004F44E9">
        <w:t>C</w:t>
      </w:r>
      <w:r w:rsidR="004F44E9" w:rsidRPr="009051BA">
        <w:t>ontribution</w:t>
      </w:r>
      <w:bookmarkEnd w:id="17"/>
      <w:bookmarkEnd w:id="18"/>
      <w:r w:rsidR="004F44E9" w:rsidRPr="009051BA">
        <w:t xml:space="preserve"> </w:t>
      </w:r>
    </w:p>
    <w:p w:rsidR="004F44E9" w:rsidRPr="00FA23E1" w:rsidRDefault="004F44E9" w:rsidP="004F44E9">
      <w:pPr>
        <w:spacing w:line="480" w:lineRule="auto"/>
        <w:rPr>
          <w:rFonts w:eastAsia="Times New Roman" w:cs="Times New Roman"/>
        </w:rPr>
      </w:pPr>
      <w:r w:rsidRPr="009051BA">
        <w:rPr>
          <w:rFonts w:cs="Times New Roman"/>
        </w:rPr>
        <w:t xml:space="preserve">     </w:t>
      </w:r>
      <w:r w:rsidRPr="009051BA">
        <w:rPr>
          <w:rFonts w:eastAsia="Times New Roman" w:cs="Times New Roman"/>
        </w:rPr>
        <w:t xml:space="preserve">This study utilizes the Soil and Water Assessment Tool (SWAT) to simulate the hydrologic response of two </w:t>
      </w:r>
      <w:r>
        <w:rPr>
          <w:rFonts w:eastAsia="Times New Roman" w:cs="Times New Roman"/>
        </w:rPr>
        <w:t xml:space="preserve">representative </w:t>
      </w:r>
      <w:r w:rsidRPr="009051BA">
        <w:rPr>
          <w:rFonts w:eastAsia="Times New Roman" w:cs="Times New Roman"/>
        </w:rPr>
        <w:t xml:space="preserve">watersheds in the U.S. </w:t>
      </w:r>
      <w:proofErr w:type="gramStart"/>
      <w:r w:rsidRPr="009051BA">
        <w:rPr>
          <w:rFonts w:eastAsia="Times New Roman" w:cs="Times New Roman"/>
        </w:rPr>
        <w:t>Great Plains to biofuel production</w:t>
      </w:r>
      <w:r>
        <w:rPr>
          <w:rFonts w:eastAsia="Times New Roman" w:cs="Times New Roman"/>
        </w:rPr>
        <w:t>, most notably Alamo switchgrass</w:t>
      </w:r>
      <w:r w:rsidRPr="009051BA">
        <w:rPr>
          <w:rFonts w:eastAsia="Times New Roman" w:cs="Times New Roman"/>
        </w:rPr>
        <w:t>.</w:t>
      </w:r>
      <w:proofErr w:type="gramEnd"/>
      <w:r w:rsidRPr="009051BA">
        <w:rPr>
          <w:rFonts w:eastAsia="Times New Roman" w:cs="Times New Roman"/>
        </w:rPr>
        <w:t>  The objectives of this research are as follows:</w:t>
      </w:r>
      <w:r>
        <w:rPr>
          <w:rFonts w:eastAsia="Times New Roman" w:cs="Times New Roman"/>
        </w:rPr>
        <w:t xml:space="preserve"> </w:t>
      </w:r>
    </w:p>
    <w:p w:rsidR="004F44E9" w:rsidRPr="00856A4D" w:rsidRDefault="004F44E9" w:rsidP="004F44E9">
      <w:pPr>
        <w:spacing w:line="480" w:lineRule="auto"/>
        <w:rPr>
          <w:rFonts w:cs="Times New Roman"/>
        </w:rPr>
      </w:pPr>
      <w:r>
        <w:rPr>
          <w:rFonts w:cs="Times New Roman"/>
        </w:rPr>
        <w:t>(i) To contextualize the</w:t>
      </w:r>
      <w:r w:rsidRPr="009051BA">
        <w:rPr>
          <w:rFonts w:cs="Times New Roman"/>
        </w:rPr>
        <w:t xml:space="preserve"> cultivation of switchgrass </w:t>
      </w:r>
      <w:r>
        <w:rPr>
          <w:rFonts w:cs="Times New Roman"/>
        </w:rPr>
        <w:t xml:space="preserve">for biofuel cultivation within </w:t>
      </w:r>
      <w:r w:rsidRPr="009051BA">
        <w:rPr>
          <w:rFonts w:cs="Times New Roman"/>
        </w:rPr>
        <w:t xml:space="preserve">the GP’s history of land use change and in the discussions regarding sustainability in this region (Chapter </w:t>
      </w:r>
      <w:r>
        <w:rPr>
          <w:rFonts w:cs="Times New Roman"/>
        </w:rPr>
        <w:t>2</w:t>
      </w:r>
      <w:r w:rsidRPr="009051BA">
        <w:rPr>
          <w:rFonts w:cs="Times New Roman"/>
        </w:rPr>
        <w:t>)</w:t>
      </w:r>
      <w:r>
        <w:rPr>
          <w:rFonts w:cs="Times New Roman"/>
        </w:rPr>
        <w:t>.</w:t>
      </w:r>
    </w:p>
    <w:p w:rsidR="004F44E9" w:rsidRPr="009051BA" w:rsidRDefault="004F44E9" w:rsidP="004F44E9">
      <w:pPr>
        <w:spacing w:before="100" w:beforeAutospacing="1" w:after="100" w:afterAutospacing="1" w:line="480" w:lineRule="auto"/>
        <w:rPr>
          <w:rFonts w:eastAsia="Times New Roman" w:cs="Times New Roman"/>
        </w:rPr>
      </w:pPr>
      <w:r>
        <w:rPr>
          <w:rFonts w:eastAsia="Times New Roman" w:cs="Times New Roman"/>
        </w:rPr>
        <w:t xml:space="preserve">(ii)     </w:t>
      </w:r>
      <w:r w:rsidRPr="009051BA">
        <w:rPr>
          <w:rFonts w:eastAsia="Times New Roman" w:cs="Times New Roman"/>
        </w:rPr>
        <w:t>To assess and quantify the direction and magnitude of change in key hydrologic variables, inclu</w:t>
      </w:r>
      <w:r>
        <w:rPr>
          <w:rFonts w:eastAsia="Times New Roman" w:cs="Times New Roman"/>
        </w:rPr>
        <w:t xml:space="preserve">ding seasonal stream discharge and </w:t>
      </w:r>
      <w:r w:rsidRPr="009051BA">
        <w:rPr>
          <w:rFonts w:eastAsia="Times New Roman" w:cs="Times New Roman"/>
        </w:rPr>
        <w:t>seasonal evapotranspiration, that would result from incrementally replacing the existing vegetation within the basin with switchgrass</w:t>
      </w:r>
      <w:r>
        <w:rPr>
          <w:rFonts w:eastAsia="Times New Roman" w:cs="Times New Roman"/>
        </w:rPr>
        <w:t>.</w:t>
      </w:r>
      <w:r w:rsidRPr="009051BA">
        <w:rPr>
          <w:rFonts w:eastAsia="Times New Roman" w:cs="Times New Roman"/>
        </w:rPr>
        <w:t xml:space="preserve"> </w:t>
      </w:r>
      <w:r w:rsidRPr="009051BA">
        <w:rPr>
          <w:rFonts w:cs="Times New Roman"/>
        </w:rPr>
        <w:t xml:space="preserve">Because switchgrass is likely to displace other existing land types, it is essential to determine how such a change in </w:t>
      </w:r>
      <w:r>
        <w:rPr>
          <w:rFonts w:cs="Times New Roman"/>
        </w:rPr>
        <w:t xml:space="preserve">land use </w:t>
      </w:r>
      <w:r w:rsidRPr="009051BA">
        <w:rPr>
          <w:rFonts w:cs="Times New Roman"/>
        </w:rPr>
        <w:t>affects regional hydrology</w:t>
      </w:r>
      <w:r>
        <w:rPr>
          <w:rFonts w:cs="Times New Roman"/>
        </w:rPr>
        <w:t xml:space="preserve"> </w:t>
      </w:r>
      <w:r w:rsidRPr="009051BA">
        <w:rPr>
          <w:rFonts w:eastAsia="Times New Roman" w:cs="Times New Roman"/>
        </w:rPr>
        <w:t>(Chapter</w:t>
      </w:r>
      <w:r>
        <w:rPr>
          <w:rFonts w:eastAsia="Times New Roman" w:cs="Times New Roman"/>
        </w:rPr>
        <w:t>s</w:t>
      </w:r>
      <w:r w:rsidRPr="009051BA">
        <w:rPr>
          <w:rFonts w:eastAsia="Times New Roman" w:cs="Times New Roman"/>
        </w:rPr>
        <w:t xml:space="preserve"> </w:t>
      </w:r>
      <w:r>
        <w:rPr>
          <w:rFonts w:eastAsia="Times New Roman" w:cs="Times New Roman"/>
        </w:rPr>
        <w:t>3, 4</w:t>
      </w:r>
      <w:r w:rsidRPr="009051BA">
        <w:rPr>
          <w:rFonts w:eastAsia="Times New Roman" w:cs="Times New Roman"/>
        </w:rPr>
        <w:t xml:space="preserve">).  </w:t>
      </w:r>
    </w:p>
    <w:p w:rsidR="004F44E9" w:rsidRPr="009051BA" w:rsidRDefault="004F44E9" w:rsidP="004F44E9">
      <w:pPr>
        <w:spacing w:before="100" w:beforeAutospacing="1" w:after="100" w:afterAutospacing="1" w:line="480" w:lineRule="auto"/>
        <w:rPr>
          <w:rFonts w:eastAsia="Times New Roman" w:cs="Times New Roman"/>
        </w:rPr>
      </w:pPr>
      <w:r w:rsidRPr="009051BA">
        <w:rPr>
          <w:rFonts w:eastAsia="Times New Roman" w:cs="Times New Roman"/>
        </w:rPr>
        <w:t>(ii</w:t>
      </w:r>
      <w:r>
        <w:rPr>
          <w:rFonts w:eastAsia="Times New Roman" w:cs="Times New Roman"/>
        </w:rPr>
        <w:t>i</w:t>
      </w:r>
      <w:r w:rsidRPr="009051BA">
        <w:rPr>
          <w:rFonts w:eastAsia="Times New Roman" w:cs="Times New Roman"/>
        </w:rPr>
        <w:t xml:space="preserve">)   To investigate the hydrologic responses of such watersheds to switchgrass production under </w:t>
      </w:r>
      <w:r>
        <w:rPr>
          <w:rFonts w:eastAsia="Times New Roman" w:cs="Times New Roman"/>
        </w:rPr>
        <w:t>a</w:t>
      </w:r>
      <w:r w:rsidRPr="009051BA">
        <w:rPr>
          <w:rFonts w:eastAsia="Times New Roman" w:cs="Times New Roman"/>
        </w:rPr>
        <w:t xml:space="preserve"> climate change </w:t>
      </w:r>
      <w:r>
        <w:rPr>
          <w:rFonts w:eastAsia="Times New Roman" w:cs="Times New Roman"/>
        </w:rPr>
        <w:t>scenario, and to isolate the relative impacts of climate change and switchgrass production (Chapter 4)</w:t>
      </w:r>
      <w:r w:rsidRPr="009051BA">
        <w:rPr>
          <w:rFonts w:eastAsia="Times New Roman" w:cs="Times New Roman"/>
        </w:rPr>
        <w:t>.</w:t>
      </w:r>
    </w:p>
    <w:p w:rsidR="004F44E9" w:rsidRPr="009051BA" w:rsidRDefault="004F44E9" w:rsidP="004F44E9">
      <w:pPr>
        <w:spacing w:before="100" w:beforeAutospacing="1" w:after="100" w:afterAutospacing="1" w:line="480" w:lineRule="auto"/>
        <w:rPr>
          <w:rFonts w:eastAsia="Times New Roman" w:cs="Times New Roman"/>
        </w:rPr>
      </w:pPr>
      <w:proofErr w:type="gramStart"/>
      <w:r w:rsidRPr="009051BA">
        <w:rPr>
          <w:rFonts w:eastAsia="Times New Roman" w:cs="Times New Roman"/>
        </w:rPr>
        <w:t>(i</w:t>
      </w:r>
      <w:r>
        <w:rPr>
          <w:rFonts w:eastAsia="Times New Roman" w:cs="Times New Roman"/>
        </w:rPr>
        <w:t>v</w:t>
      </w:r>
      <w:r w:rsidRPr="009051BA">
        <w:rPr>
          <w:rFonts w:eastAsia="Times New Roman" w:cs="Times New Roman"/>
        </w:rPr>
        <w:t>) To</w:t>
      </w:r>
      <w:proofErr w:type="gramEnd"/>
      <w:r w:rsidRPr="009051BA">
        <w:rPr>
          <w:rFonts w:eastAsia="Times New Roman" w:cs="Times New Roman"/>
        </w:rPr>
        <w:t xml:space="preserve"> ascertain whether the cultivation of switchgrass in the U.S. Great Plains is advantageous</w:t>
      </w:r>
      <w:r>
        <w:rPr>
          <w:rFonts w:eastAsia="Times New Roman" w:cs="Times New Roman"/>
        </w:rPr>
        <w:t xml:space="preserve"> or harmful</w:t>
      </w:r>
      <w:r w:rsidRPr="009051BA">
        <w:rPr>
          <w:rFonts w:eastAsia="Times New Roman" w:cs="Times New Roman"/>
        </w:rPr>
        <w:t xml:space="preserve"> from a water-supply perspective</w:t>
      </w:r>
      <w:r>
        <w:rPr>
          <w:rFonts w:eastAsia="Times New Roman" w:cs="Times New Roman"/>
        </w:rPr>
        <w:t xml:space="preserve"> (Chapters 3, 4)</w:t>
      </w:r>
      <w:r w:rsidRPr="009051BA">
        <w:rPr>
          <w:rFonts w:eastAsia="Times New Roman" w:cs="Times New Roman"/>
        </w:rPr>
        <w:t>.</w:t>
      </w:r>
    </w:p>
    <w:p w:rsidR="004F44E9" w:rsidRPr="009051BA" w:rsidRDefault="004F44E9" w:rsidP="004F44E9">
      <w:pPr>
        <w:spacing w:before="100" w:beforeAutospacing="1" w:after="100" w:afterAutospacing="1" w:line="480" w:lineRule="auto"/>
        <w:rPr>
          <w:rFonts w:eastAsia="Times New Roman" w:cs="Times New Roman"/>
        </w:rPr>
      </w:pPr>
      <w:r w:rsidRPr="009051BA">
        <w:rPr>
          <w:rFonts w:eastAsia="Times New Roman" w:cs="Times New Roman"/>
        </w:rPr>
        <w:t xml:space="preserve">     The research contributes to the scholarly discourse by adding to the growing body of literature on the possible environmental effects of biofuel production</w:t>
      </w:r>
      <w:r>
        <w:rPr>
          <w:rFonts w:eastAsia="Times New Roman" w:cs="Times New Roman"/>
        </w:rPr>
        <w:t>.</w:t>
      </w:r>
      <w:r w:rsidRPr="009051BA">
        <w:rPr>
          <w:rFonts w:eastAsia="Times New Roman" w:cs="Times New Roman"/>
        </w:rPr>
        <w:t xml:space="preserve"> Additionally, the </w:t>
      </w:r>
      <w:r w:rsidRPr="009051BA">
        <w:rPr>
          <w:rFonts w:eastAsia="Times New Roman" w:cs="Times New Roman"/>
        </w:rPr>
        <w:lastRenderedPageBreak/>
        <w:t>study quantifies the magnitude of change in several hydrologic variables expected by the mid-21</w:t>
      </w:r>
      <w:r w:rsidRPr="009051BA">
        <w:rPr>
          <w:rFonts w:eastAsia="Times New Roman" w:cs="Times New Roman"/>
          <w:vertAlign w:val="superscript"/>
        </w:rPr>
        <w:t>st</w:t>
      </w:r>
      <w:r w:rsidRPr="009051BA">
        <w:rPr>
          <w:rFonts w:eastAsia="Times New Roman" w:cs="Times New Roman"/>
        </w:rPr>
        <w:t xml:space="preserve"> century from various climate change scenarios.</w:t>
      </w:r>
    </w:p>
    <w:p w:rsidR="004F44E9" w:rsidRDefault="004F44E9" w:rsidP="004F44E9">
      <w:pPr>
        <w:spacing w:before="100" w:beforeAutospacing="1" w:after="100" w:afterAutospacing="1" w:line="480" w:lineRule="auto"/>
        <w:rPr>
          <w:rFonts w:eastAsia="Times New Roman" w:cs="Times New Roman"/>
        </w:rPr>
      </w:pPr>
      <w:r w:rsidRPr="009051BA">
        <w:rPr>
          <w:rFonts w:eastAsia="Times New Roman" w:cs="Times New Roman"/>
        </w:rPr>
        <w:t xml:space="preserve">     The climate change component is particularly important, as this dimension has received too little discussion in the literature on biofuel production</w:t>
      </w:r>
      <w:r>
        <w:rPr>
          <w:rFonts w:eastAsia="Times New Roman" w:cs="Times New Roman"/>
        </w:rPr>
        <w:t xml:space="preserve"> even though it is generally recognized that </w:t>
      </w:r>
      <w:r w:rsidRPr="009051BA">
        <w:rPr>
          <w:rFonts w:eastAsia="Times New Roman" w:cs="Times New Roman"/>
        </w:rPr>
        <w:t>climate change may alter the amount and timing of precipitation</w:t>
      </w:r>
      <w:r>
        <w:rPr>
          <w:rFonts w:eastAsia="Times New Roman" w:cs="Times New Roman"/>
        </w:rPr>
        <w:t>.</w:t>
      </w:r>
      <w:r w:rsidRPr="009051BA">
        <w:rPr>
          <w:rFonts w:eastAsia="Times New Roman" w:cs="Times New Roman"/>
        </w:rPr>
        <w:t xml:space="preserve">  To the author’s knowledge, only </w:t>
      </w:r>
      <w:r>
        <w:rPr>
          <w:rFonts w:eastAsia="Times New Roman" w:cs="Times New Roman"/>
        </w:rPr>
        <w:t>two</w:t>
      </w:r>
      <w:r w:rsidRPr="009051BA">
        <w:rPr>
          <w:rFonts w:eastAsia="Times New Roman" w:cs="Times New Roman"/>
        </w:rPr>
        <w:t xml:space="preserve"> article</w:t>
      </w:r>
      <w:r>
        <w:rPr>
          <w:rFonts w:eastAsia="Times New Roman" w:cs="Times New Roman"/>
        </w:rPr>
        <w:t>s</w:t>
      </w:r>
      <w:r w:rsidRPr="009051BA">
        <w:rPr>
          <w:rFonts w:eastAsia="Times New Roman" w:cs="Times New Roman"/>
        </w:rPr>
        <w:t xml:space="preserve"> to date in the field of biofuel hydrology considers the impact of climate change.  Brown et al. (2000) investigated the hydrologic response of a region spanning Minnesota to Southeastern Colorado to the planting of corn, sorghum, soybean, winter wheat, and switchgrass using two climate scenarios.  However, they </w:t>
      </w:r>
      <w:r w:rsidR="00280BDA">
        <w:rPr>
          <w:rFonts w:eastAsia="Times New Roman" w:cs="Times New Roman"/>
        </w:rPr>
        <w:t>did</w:t>
      </w:r>
      <w:r w:rsidRPr="009051BA">
        <w:rPr>
          <w:rFonts w:eastAsia="Times New Roman" w:cs="Times New Roman"/>
        </w:rPr>
        <w:t xml:space="preserve"> not simulate combinations of the planting of such crops [i.e. they simulate the sole planting of switchgrass, the sole planting of sorghum, etc.], and their study is specific to the Upper Midwest and northern Great Plains.  </w:t>
      </w:r>
      <w:r>
        <w:rPr>
          <w:rFonts w:eastAsia="Times New Roman" w:cs="Times New Roman"/>
        </w:rPr>
        <w:t>Recently, Kim et al. (2013) investigated the impact of climate change and the replacement of soybeans and corn with switchgrass and the grass Miscanthus (</w:t>
      </w:r>
      <w:r w:rsidRPr="009D773B">
        <w:rPr>
          <w:rFonts w:eastAsia="Times New Roman" w:cs="Times New Roman"/>
          <w:i/>
        </w:rPr>
        <w:t>Miscanthus giganteus</w:t>
      </w:r>
      <w:r>
        <w:rPr>
          <w:rFonts w:eastAsia="Times New Roman" w:cs="Times New Roman"/>
        </w:rPr>
        <w:t xml:space="preserve">) for bioenergy purposes in the Upper Yazoo River Basin in the Southern US.  They devised eight scenarios, two of which involved solely replacing such crops with switchgrass and miscanthus, respectively, without considering climate change, and six where climate change was considered.  However, they only used the outputs from one </w:t>
      </w:r>
      <w:r w:rsidR="00280BDA">
        <w:rPr>
          <w:rFonts w:eastAsia="Times New Roman" w:cs="Times New Roman"/>
        </w:rPr>
        <w:t>GCM, the Goddard Fluid Dynamics-</w:t>
      </w:r>
      <w:r>
        <w:rPr>
          <w:rFonts w:eastAsia="Times New Roman" w:cs="Times New Roman"/>
        </w:rPr>
        <w:t xml:space="preserve">2.1 GCM; their climate change scenarios used this GCM’s outputs at different future periods with various combinations of land use change.   </w:t>
      </w:r>
    </w:p>
    <w:p w:rsidR="00130E42" w:rsidRDefault="00130E42" w:rsidP="00F3400E">
      <w:pPr>
        <w:pStyle w:val="Heading2"/>
      </w:pPr>
      <w:bookmarkStart w:id="19" w:name="_Toc364501619"/>
    </w:p>
    <w:p w:rsidR="004F44E9" w:rsidRPr="00856A4D" w:rsidRDefault="00F3400E" w:rsidP="00F3400E">
      <w:pPr>
        <w:pStyle w:val="Heading2"/>
      </w:pPr>
      <w:bookmarkStart w:id="20" w:name="_Toc368046151"/>
      <w:r>
        <w:lastRenderedPageBreak/>
        <w:t>1.4:</w:t>
      </w:r>
      <w:r w:rsidR="004F44E9" w:rsidRPr="00856A4D">
        <w:t xml:space="preserve"> Organization of the Dissertation</w:t>
      </w:r>
      <w:bookmarkEnd w:id="19"/>
      <w:bookmarkEnd w:id="20"/>
    </w:p>
    <w:p w:rsidR="004F44E9" w:rsidRDefault="004F44E9" w:rsidP="00CF14DE">
      <w:pPr>
        <w:spacing w:before="100" w:beforeAutospacing="1" w:after="100" w:afterAutospacing="1" w:line="480" w:lineRule="auto"/>
        <w:rPr>
          <w:rFonts w:eastAsia="Times New Roman" w:cs="Times New Roman"/>
        </w:rPr>
      </w:pPr>
      <w:r>
        <w:rPr>
          <w:rFonts w:eastAsia="Times New Roman" w:cs="Times New Roman"/>
        </w:rPr>
        <w:t xml:space="preserve">     The dissertation is organized as three chapters which are written as journal articles and therefore necessarily need to be self-sufficient or stand alone.  That is, each article/chapter con</w:t>
      </w:r>
      <w:r w:rsidR="00CF14DE">
        <w:rPr>
          <w:rFonts w:eastAsia="Times New Roman" w:cs="Times New Roman"/>
        </w:rPr>
        <w:t xml:space="preserve">tains a statement of objectives, </w:t>
      </w:r>
      <w:r>
        <w:rPr>
          <w:rFonts w:eastAsia="Times New Roman" w:cs="Times New Roman"/>
        </w:rPr>
        <w:t>literature review</w:t>
      </w:r>
      <w:r w:rsidR="00CF14DE">
        <w:rPr>
          <w:rFonts w:eastAsia="Times New Roman" w:cs="Times New Roman"/>
        </w:rPr>
        <w:t>, data sources and methods</w:t>
      </w:r>
      <w:r>
        <w:rPr>
          <w:rFonts w:eastAsia="Times New Roman" w:cs="Times New Roman"/>
        </w:rPr>
        <w:t xml:space="preserve"> and is written as a mini independent study.  Therefore, some repetition, especially related to probl</w:t>
      </w:r>
      <w:r w:rsidR="00CF14DE">
        <w:rPr>
          <w:rFonts w:eastAsia="Times New Roman" w:cs="Times New Roman"/>
        </w:rPr>
        <w:t xml:space="preserve">em statement, literature review, </w:t>
      </w:r>
      <w:r>
        <w:rPr>
          <w:rFonts w:eastAsia="Times New Roman" w:cs="Times New Roman"/>
        </w:rPr>
        <w:t>study area,</w:t>
      </w:r>
      <w:r w:rsidR="00CF14DE">
        <w:rPr>
          <w:rFonts w:eastAsia="Times New Roman" w:cs="Times New Roman"/>
        </w:rPr>
        <w:t xml:space="preserve"> and model description</w:t>
      </w:r>
      <w:r>
        <w:rPr>
          <w:rFonts w:eastAsia="Times New Roman" w:cs="Times New Roman"/>
        </w:rPr>
        <w:t xml:space="preserve"> is unavoidable although efforts have been made to minimize it.</w:t>
      </w:r>
      <w:r w:rsidR="00280BDA">
        <w:rPr>
          <w:rFonts w:eastAsia="Times New Roman" w:cs="Times New Roman"/>
        </w:rPr>
        <w:t xml:space="preserve">  Consequently, the format of each chapter’s </w:t>
      </w:r>
      <w:r w:rsidR="00B8698C">
        <w:rPr>
          <w:rFonts w:eastAsia="Times New Roman" w:cs="Times New Roman"/>
        </w:rPr>
        <w:t xml:space="preserve">in-text citations and </w:t>
      </w:r>
      <w:r w:rsidR="00280BDA">
        <w:rPr>
          <w:rFonts w:eastAsia="Times New Roman" w:cs="Times New Roman"/>
        </w:rPr>
        <w:t>bibliography varies according to the specification of the journal to which the chapter was sent.</w:t>
      </w:r>
      <w:r>
        <w:rPr>
          <w:rFonts w:eastAsia="Times New Roman" w:cs="Times New Roman"/>
        </w:rPr>
        <w:t xml:space="preserve"> </w:t>
      </w:r>
    </w:p>
    <w:p w:rsidR="00E60A0F" w:rsidRDefault="004F44E9" w:rsidP="004F44E9">
      <w:pPr>
        <w:spacing w:line="480" w:lineRule="auto"/>
        <w:rPr>
          <w:rFonts w:cs="Times New Roman"/>
        </w:rPr>
      </w:pPr>
      <w:r w:rsidRPr="009051BA">
        <w:rPr>
          <w:rFonts w:cs="Times New Roman"/>
          <w:b/>
        </w:rPr>
        <w:t xml:space="preserve">     </w:t>
      </w:r>
      <w:r>
        <w:rPr>
          <w:rFonts w:cs="Times New Roman"/>
        </w:rPr>
        <w:t xml:space="preserve">The dissertation proceeds as follows.  Following this introductory </w:t>
      </w:r>
      <w:r w:rsidR="00B8698C">
        <w:rPr>
          <w:rFonts w:cs="Times New Roman"/>
        </w:rPr>
        <w:t>c</w:t>
      </w:r>
      <w:r>
        <w:rPr>
          <w:rFonts w:cs="Times New Roman"/>
        </w:rPr>
        <w:t xml:space="preserve">hapter (Chapter 1), </w:t>
      </w:r>
      <w:r w:rsidRPr="009051BA">
        <w:rPr>
          <w:rFonts w:cs="Times New Roman"/>
        </w:rPr>
        <w:t xml:space="preserve">Chapter </w:t>
      </w:r>
      <w:r>
        <w:rPr>
          <w:rFonts w:cs="Times New Roman"/>
        </w:rPr>
        <w:t>2</w:t>
      </w:r>
      <w:r w:rsidRPr="009051BA">
        <w:rPr>
          <w:rFonts w:cs="Times New Roman"/>
        </w:rPr>
        <w:t xml:space="preserve"> investigates the history of </w:t>
      </w:r>
      <w:r>
        <w:rPr>
          <w:rFonts w:cs="Times New Roman"/>
        </w:rPr>
        <w:t>land use change</w:t>
      </w:r>
      <w:r w:rsidRPr="009051BA">
        <w:rPr>
          <w:rFonts w:cs="Times New Roman"/>
        </w:rPr>
        <w:t xml:space="preserve"> in the Great Plains</w:t>
      </w:r>
      <w:r w:rsidR="00835792">
        <w:rPr>
          <w:rFonts w:cs="Times New Roman"/>
        </w:rPr>
        <w:t xml:space="preserve"> portion of the US</w:t>
      </w:r>
      <w:r w:rsidRPr="009051BA">
        <w:rPr>
          <w:rFonts w:cs="Times New Roman"/>
        </w:rPr>
        <w:t xml:space="preserve">.  It </w:t>
      </w:r>
      <w:r>
        <w:rPr>
          <w:rFonts w:cs="Times New Roman"/>
        </w:rPr>
        <w:t>describes</w:t>
      </w:r>
      <w:r w:rsidRPr="009051BA">
        <w:rPr>
          <w:rFonts w:cs="Times New Roman"/>
        </w:rPr>
        <w:t xml:space="preserve"> how Federal government policies and railroad promotions fostered settlement in what many considered to be “the Great America</w:t>
      </w:r>
      <w:r>
        <w:rPr>
          <w:rFonts w:cs="Times New Roman"/>
        </w:rPr>
        <w:t>n Desert</w:t>
      </w:r>
      <w:r w:rsidRPr="009051BA">
        <w:rPr>
          <w:rFonts w:cs="Times New Roman"/>
        </w:rPr>
        <w:t>”</w:t>
      </w:r>
      <w:r>
        <w:rPr>
          <w:rFonts w:cs="Times New Roman"/>
        </w:rPr>
        <w:t xml:space="preserve"> from the 1860s-1880s.</w:t>
      </w:r>
      <w:r w:rsidRPr="009051BA">
        <w:rPr>
          <w:rFonts w:cs="Times New Roman"/>
        </w:rPr>
        <w:t xml:space="preserve">  Drought caused a mass-exodus from </w:t>
      </w:r>
      <w:r w:rsidR="00B8698C">
        <w:rPr>
          <w:rFonts w:cs="Times New Roman"/>
        </w:rPr>
        <w:t>portions of the</w:t>
      </w:r>
      <w:r w:rsidRPr="009051BA">
        <w:rPr>
          <w:rFonts w:cs="Times New Roman"/>
        </w:rPr>
        <w:t xml:space="preserve"> Plains and caused those </w:t>
      </w:r>
      <w:r>
        <w:rPr>
          <w:rFonts w:cs="Times New Roman"/>
        </w:rPr>
        <w:t>who</w:t>
      </w:r>
      <w:r w:rsidRPr="009051BA">
        <w:rPr>
          <w:rFonts w:cs="Times New Roman"/>
        </w:rPr>
        <w:t xml:space="preserve"> s</w:t>
      </w:r>
      <w:r>
        <w:rPr>
          <w:rFonts w:cs="Times New Roman"/>
        </w:rPr>
        <w:t xml:space="preserve">tayed to alter </w:t>
      </w:r>
      <w:r w:rsidRPr="009051BA">
        <w:rPr>
          <w:rFonts w:cs="Times New Roman"/>
        </w:rPr>
        <w:t xml:space="preserve">their agricultural practices through planting drought-resistant wheat.  To foster agricultural expansion, many </w:t>
      </w:r>
      <w:r>
        <w:rPr>
          <w:rFonts w:cs="Times New Roman"/>
        </w:rPr>
        <w:t>farmers removed</w:t>
      </w:r>
      <w:r w:rsidRPr="009051BA">
        <w:rPr>
          <w:rFonts w:cs="Times New Roman"/>
        </w:rPr>
        <w:t xml:space="preserve"> native range grasses (</w:t>
      </w:r>
      <w:r>
        <w:rPr>
          <w:rFonts w:cs="Times New Roman"/>
        </w:rPr>
        <w:t xml:space="preserve">resulting in the Dust Bowl) and, after the 1930s, </w:t>
      </w:r>
      <w:r w:rsidRPr="009051BA">
        <w:rPr>
          <w:rFonts w:cs="Times New Roman"/>
        </w:rPr>
        <w:t xml:space="preserve">exploited the waters of the deep Ogallala Aquifer, creating a patchwork of irrigation circles throughout the Plains.  The </w:t>
      </w:r>
      <w:r>
        <w:rPr>
          <w:rFonts w:cs="Times New Roman"/>
        </w:rPr>
        <w:t>c</w:t>
      </w:r>
      <w:r w:rsidRPr="009051BA">
        <w:rPr>
          <w:rFonts w:cs="Times New Roman"/>
        </w:rPr>
        <w:t>hapter then looks to the future to contextualize biofuel crop cultivation as the next chapter in agricultural land management in the Great Plains.</w:t>
      </w:r>
      <w:r>
        <w:rPr>
          <w:rFonts w:cs="Times New Roman"/>
        </w:rPr>
        <w:t xml:space="preserve">  </w:t>
      </w:r>
      <w:r w:rsidR="00B8698C">
        <w:rPr>
          <w:rFonts w:cs="Times New Roman"/>
        </w:rPr>
        <w:t>Th</w:t>
      </w:r>
      <w:r>
        <w:rPr>
          <w:rFonts w:cs="Times New Roman"/>
        </w:rPr>
        <w:t xml:space="preserve">is chapter has been submitted to the </w:t>
      </w:r>
      <w:r>
        <w:rPr>
          <w:rFonts w:cs="Times New Roman"/>
          <w:i/>
        </w:rPr>
        <w:t>Geographical Review</w:t>
      </w:r>
      <w:r>
        <w:rPr>
          <w:rFonts w:cs="Times New Roman"/>
        </w:rPr>
        <w:t xml:space="preserve">.  </w:t>
      </w:r>
    </w:p>
    <w:p w:rsidR="004F44E9" w:rsidRPr="0052056B" w:rsidRDefault="00E60A0F" w:rsidP="004F44E9">
      <w:pPr>
        <w:spacing w:line="480" w:lineRule="auto"/>
        <w:rPr>
          <w:rFonts w:asciiTheme="majorHAnsi" w:hAnsiTheme="majorHAnsi" w:cstheme="majorHAnsi"/>
        </w:rPr>
      </w:pPr>
      <w:r w:rsidRPr="0052056B">
        <w:rPr>
          <w:rFonts w:asciiTheme="majorHAnsi" w:hAnsiTheme="majorHAnsi" w:cstheme="majorHAnsi"/>
        </w:rPr>
        <w:lastRenderedPageBreak/>
        <w:t xml:space="preserve">     </w:t>
      </w:r>
      <w:r w:rsidR="004F44E9" w:rsidRPr="0052056B">
        <w:rPr>
          <w:rFonts w:asciiTheme="majorHAnsi" w:hAnsiTheme="majorHAnsi" w:cstheme="majorHAnsi"/>
        </w:rPr>
        <w:t>Chapter 3 evaluates the hydrologic response of a watershed in Western Oklahoma to a theoretical replacement of winter wheat and range grasses with switchgrass, using the semidistributed Soil and Water Assessment Tool (SWAT) hydrologic model.  It found that replacing native land uses</w:t>
      </w:r>
      <w:r w:rsidR="002D3A6F" w:rsidRPr="0052056B">
        <w:rPr>
          <w:rFonts w:asciiTheme="majorHAnsi" w:hAnsiTheme="majorHAnsi" w:cstheme="majorHAnsi"/>
        </w:rPr>
        <w:t>, namely winter wheat and range grasses,</w:t>
      </w:r>
      <w:r w:rsidR="004F44E9" w:rsidRPr="0052056B">
        <w:rPr>
          <w:rFonts w:asciiTheme="majorHAnsi" w:hAnsiTheme="majorHAnsi" w:cstheme="majorHAnsi"/>
        </w:rPr>
        <w:t xml:space="preserve"> with switchgrass results in decreased discharges and increased evapotranspiration </w:t>
      </w:r>
      <w:r w:rsidR="00280BDA" w:rsidRPr="0052056B">
        <w:rPr>
          <w:rFonts w:asciiTheme="majorHAnsi" w:hAnsiTheme="majorHAnsi" w:cstheme="majorHAnsi"/>
        </w:rPr>
        <w:t>(</w:t>
      </w:r>
      <w:proofErr w:type="gramStart"/>
      <w:r w:rsidR="00280BDA" w:rsidRPr="0052056B">
        <w:rPr>
          <w:rFonts w:asciiTheme="majorHAnsi" w:hAnsiTheme="majorHAnsi" w:cstheme="majorHAnsi"/>
        </w:rPr>
        <w:t>eT</w:t>
      </w:r>
      <w:proofErr w:type="gramEnd"/>
      <w:r w:rsidR="00280BDA" w:rsidRPr="0052056B">
        <w:rPr>
          <w:rFonts w:asciiTheme="majorHAnsi" w:hAnsiTheme="majorHAnsi" w:cstheme="majorHAnsi"/>
        </w:rPr>
        <w:t xml:space="preserve">) </w:t>
      </w:r>
      <w:r w:rsidR="004F44E9" w:rsidRPr="0052056B">
        <w:rPr>
          <w:rFonts w:asciiTheme="majorHAnsi" w:hAnsiTheme="majorHAnsi" w:cstheme="majorHAnsi"/>
        </w:rPr>
        <w:t xml:space="preserve">relative to current conditions, which is an important consideration in semi-arid areas.  </w:t>
      </w:r>
      <w:r w:rsidR="00885CDF" w:rsidRPr="0052056B">
        <w:rPr>
          <w:rFonts w:asciiTheme="majorHAnsi" w:hAnsiTheme="majorHAnsi" w:cstheme="majorHAnsi"/>
        </w:rPr>
        <w:t>The definitive peer-reviewed and edited version of this</w:t>
      </w:r>
      <w:r w:rsidR="004F44E9" w:rsidRPr="0052056B">
        <w:rPr>
          <w:rFonts w:asciiTheme="majorHAnsi" w:hAnsiTheme="majorHAnsi" w:cstheme="majorHAnsi"/>
        </w:rPr>
        <w:t xml:space="preserve"> chapter </w:t>
      </w:r>
      <w:r w:rsidR="00885CDF" w:rsidRPr="0052056B">
        <w:rPr>
          <w:rFonts w:asciiTheme="majorHAnsi" w:hAnsiTheme="majorHAnsi" w:cstheme="majorHAnsi"/>
        </w:rPr>
        <w:t xml:space="preserve">will be published in </w:t>
      </w:r>
      <w:r w:rsidR="00885CDF" w:rsidRPr="0052056B">
        <w:rPr>
          <w:rFonts w:asciiTheme="majorHAnsi" w:hAnsiTheme="majorHAnsi" w:cstheme="majorHAnsi"/>
          <w:i/>
        </w:rPr>
        <w:t>Hydrology Research</w:t>
      </w:r>
      <w:r w:rsidR="00885CDF" w:rsidRPr="0052056B">
        <w:rPr>
          <w:rFonts w:asciiTheme="majorHAnsi" w:hAnsiTheme="majorHAnsi" w:cstheme="majorHAnsi"/>
        </w:rPr>
        <w:t xml:space="preserve"> </w:t>
      </w:r>
      <w:r w:rsidR="00885CDF" w:rsidRPr="00C40497">
        <w:rPr>
          <w:rFonts w:asciiTheme="majorHAnsi" w:hAnsiTheme="majorHAnsi" w:cstheme="majorHAnsi"/>
          <w:b/>
        </w:rPr>
        <w:t>44</w:t>
      </w:r>
      <w:r w:rsidR="00885CDF" w:rsidRPr="0052056B">
        <w:rPr>
          <w:rFonts w:asciiTheme="majorHAnsi" w:hAnsiTheme="majorHAnsi" w:cstheme="majorHAnsi"/>
        </w:rPr>
        <w:t>(6) 2013</w:t>
      </w:r>
      <w:r w:rsidR="00C40497">
        <w:rPr>
          <w:rFonts w:asciiTheme="majorHAnsi" w:hAnsiTheme="majorHAnsi" w:cstheme="majorHAnsi"/>
        </w:rPr>
        <w:t>,</w:t>
      </w:r>
      <w:r w:rsidR="00885CDF" w:rsidRPr="0052056B">
        <w:rPr>
          <w:rFonts w:asciiTheme="majorHAnsi" w:hAnsiTheme="majorHAnsi" w:cstheme="majorHAnsi"/>
        </w:rPr>
        <w:t xml:space="preserve"> doi </w:t>
      </w:r>
      <w:r w:rsidR="00885CDF" w:rsidRPr="0052056B">
        <w:rPr>
          <w:rFonts w:asciiTheme="majorHAnsi" w:hAnsiTheme="majorHAnsi" w:cstheme="majorHAnsi"/>
          <w:color w:val="000000"/>
          <w:shd w:val="clear" w:color="auto" w:fill="FFFFFF"/>
        </w:rPr>
        <w:t>10.2166/nh.2013.163 and is available at iwapublishing.</w:t>
      </w:r>
      <w:r w:rsidR="0052056B" w:rsidRPr="0052056B">
        <w:rPr>
          <w:rFonts w:asciiTheme="majorHAnsi" w:hAnsiTheme="majorHAnsi" w:cstheme="majorHAnsi"/>
          <w:color w:val="000000"/>
          <w:shd w:val="clear" w:color="auto" w:fill="FFFFFF"/>
        </w:rPr>
        <w:t>com.</w:t>
      </w:r>
    </w:p>
    <w:p w:rsidR="004F44E9" w:rsidRDefault="004F44E9" w:rsidP="004F44E9">
      <w:pPr>
        <w:spacing w:line="480" w:lineRule="auto"/>
        <w:rPr>
          <w:rFonts w:cs="Times New Roman"/>
        </w:rPr>
      </w:pPr>
      <w:r w:rsidRPr="0052056B">
        <w:rPr>
          <w:rFonts w:asciiTheme="majorHAnsi" w:hAnsiTheme="majorHAnsi" w:cstheme="majorHAnsi"/>
        </w:rPr>
        <w:t xml:space="preserve">     Chapter 4 evaluates the hydrologic response of a watershed at the eastern boundary</w:t>
      </w:r>
      <w:r w:rsidRPr="009051BA">
        <w:rPr>
          <w:rFonts w:cs="Times New Roman"/>
        </w:rPr>
        <w:t xml:space="preserve"> of the Great Plains to both climate change and switchgrass cultivation using the SWAT model.  Climate change is included in this analysis because it will likely combine with the impacts </w:t>
      </w:r>
      <w:r w:rsidRPr="008D4C33">
        <w:rPr>
          <w:rFonts w:cs="Times New Roman"/>
        </w:rPr>
        <w:t xml:space="preserve">of switchgrass cultivation in determining the hydrologic regime of this region.  </w:t>
      </w:r>
      <w:r>
        <w:rPr>
          <w:rFonts w:cs="Times New Roman"/>
        </w:rPr>
        <w:t>The chapter</w:t>
      </w:r>
      <w:r w:rsidRPr="008D4C33">
        <w:rPr>
          <w:rFonts w:cs="Times New Roman"/>
        </w:rPr>
        <w:t xml:space="preserve"> found </w:t>
      </w:r>
      <w:r>
        <w:rPr>
          <w:rFonts w:cs="Times New Roman"/>
        </w:rPr>
        <w:t xml:space="preserve">that switchgrass cultivation amplified the decreases in winter and summer runoff associated with climate change, </w:t>
      </w:r>
      <w:r w:rsidR="00280BDA">
        <w:rPr>
          <w:rFonts w:cs="Times New Roman"/>
        </w:rPr>
        <w:t xml:space="preserve">as well as that in winter and </w:t>
      </w:r>
      <w:proofErr w:type="gramStart"/>
      <w:r w:rsidR="00280BDA">
        <w:rPr>
          <w:rFonts w:cs="Times New Roman"/>
        </w:rPr>
        <w:t>eT</w:t>
      </w:r>
      <w:proofErr w:type="gramEnd"/>
      <w:r>
        <w:rPr>
          <w:rFonts w:cs="Times New Roman"/>
        </w:rPr>
        <w:t xml:space="preserve">.  Switchgrass cultivation </w:t>
      </w:r>
      <w:r w:rsidRPr="00AA168E">
        <w:rPr>
          <w:rFonts w:cs="Times New Roman"/>
        </w:rPr>
        <w:t xml:space="preserve">also reversed increases in spring runoff that occur under climate change and increases spring </w:t>
      </w:r>
      <w:proofErr w:type="gramStart"/>
      <w:r w:rsidRPr="00AA168E">
        <w:rPr>
          <w:rFonts w:cs="Times New Roman"/>
        </w:rPr>
        <w:t>eT</w:t>
      </w:r>
      <w:proofErr w:type="gramEnd"/>
      <w:r w:rsidRPr="00AA168E">
        <w:rPr>
          <w:rFonts w:cs="Times New Roman"/>
        </w:rPr>
        <w:t>.  Depending on the GCM utilized, either climate change or switchgrass</w:t>
      </w:r>
      <w:r>
        <w:rPr>
          <w:rFonts w:cs="Times New Roman"/>
        </w:rPr>
        <w:t xml:space="preserve"> cultivation </w:t>
      </w:r>
      <w:r w:rsidRPr="00AA168E">
        <w:rPr>
          <w:rFonts w:cs="Times New Roman"/>
        </w:rPr>
        <w:t>was the dominant driver of chang</w:t>
      </w:r>
      <w:r>
        <w:rPr>
          <w:rFonts w:cs="Times New Roman"/>
        </w:rPr>
        <w:t>es</w:t>
      </w:r>
      <w:r w:rsidRPr="00AA168E">
        <w:rPr>
          <w:rFonts w:cs="Times New Roman"/>
        </w:rPr>
        <w:t xml:space="preserve"> in surface runoff while switchgrass cultivation was the major driver of changes in </w:t>
      </w:r>
      <w:proofErr w:type="gramStart"/>
      <w:r w:rsidRPr="00AA168E">
        <w:rPr>
          <w:rFonts w:cs="Times New Roman"/>
        </w:rPr>
        <w:t>eT</w:t>
      </w:r>
      <w:proofErr w:type="gramEnd"/>
      <w:r w:rsidRPr="00AA168E">
        <w:rPr>
          <w:rFonts w:cs="Times New Roman"/>
        </w:rPr>
        <w:t>.</w:t>
      </w:r>
      <w:r>
        <w:rPr>
          <w:rFonts w:cs="Times New Roman"/>
        </w:rPr>
        <w:t xml:space="preserve">  These findings suggest that switchgrass cultivation will aggravate existing and projected water issues in the GP.  This chapter has been submitted to </w:t>
      </w:r>
      <w:r>
        <w:rPr>
          <w:rFonts w:cs="Times New Roman"/>
          <w:i/>
        </w:rPr>
        <w:t>Hydrological Processes</w:t>
      </w:r>
      <w:r>
        <w:rPr>
          <w:rFonts w:cs="Times New Roman"/>
        </w:rPr>
        <w:t xml:space="preserve"> for publication consideration.</w:t>
      </w:r>
      <w:r>
        <w:t xml:space="preserve">  </w:t>
      </w:r>
      <w:r w:rsidRPr="009051BA">
        <w:rPr>
          <w:rFonts w:cs="Times New Roman"/>
        </w:rPr>
        <w:t xml:space="preserve">     </w:t>
      </w:r>
    </w:p>
    <w:p w:rsidR="004F44E9" w:rsidRPr="00354A49" w:rsidRDefault="004F44E9" w:rsidP="004F44E9">
      <w:pPr>
        <w:spacing w:line="480" w:lineRule="auto"/>
        <w:rPr>
          <w:rFonts w:cs="Times New Roman"/>
        </w:rPr>
      </w:pPr>
      <w:r>
        <w:rPr>
          <w:rFonts w:cs="Times New Roman"/>
        </w:rPr>
        <w:lastRenderedPageBreak/>
        <w:t xml:space="preserve">     </w:t>
      </w:r>
      <w:r w:rsidR="00B8698C">
        <w:rPr>
          <w:rFonts w:cs="Times New Roman"/>
        </w:rPr>
        <w:t>Chapter 5, t</w:t>
      </w:r>
      <w:r w:rsidRPr="009051BA">
        <w:rPr>
          <w:rFonts w:cs="Times New Roman"/>
        </w:rPr>
        <w:t xml:space="preserve">he </w:t>
      </w:r>
      <w:r>
        <w:rPr>
          <w:rFonts w:cs="Times New Roman"/>
        </w:rPr>
        <w:t>conclusion chapter of the dissertation</w:t>
      </w:r>
      <w:r w:rsidR="00B8698C">
        <w:rPr>
          <w:rFonts w:cs="Times New Roman"/>
        </w:rPr>
        <w:t>,</w:t>
      </w:r>
      <w:r>
        <w:rPr>
          <w:rFonts w:cs="Times New Roman"/>
        </w:rPr>
        <w:t xml:space="preserve"> </w:t>
      </w:r>
      <w:r w:rsidRPr="009051BA">
        <w:rPr>
          <w:rFonts w:cs="Times New Roman"/>
        </w:rPr>
        <w:t>summarizes the key findings and discusses avenues for future research.</w:t>
      </w:r>
    </w:p>
    <w:p w:rsidR="004F44E9" w:rsidRPr="007E1754" w:rsidRDefault="00F3400E" w:rsidP="00E60A0F">
      <w:pPr>
        <w:pStyle w:val="Heading2"/>
      </w:pPr>
      <w:bookmarkStart w:id="21" w:name="_Toc364501620"/>
      <w:bookmarkStart w:id="22" w:name="_Toc368046152"/>
      <w:r>
        <w:t>1.5:</w:t>
      </w:r>
      <w:r w:rsidR="004F44E9" w:rsidRPr="007E1754">
        <w:t xml:space="preserve"> </w:t>
      </w:r>
      <w:bookmarkEnd w:id="21"/>
      <w:r w:rsidR="00AD57A3">
        <w:t>Description of</w:t>
      </w:r>
      <w:r w:rsidR="00FC75E7">
        <w:t xml:space="preserve"> the SWAT Hydrologic Model</w:t>
      </w:r>
      <w:bookmarkEnd w:id="22"/>
    </w:p>
    <w:p w:rsidR="00FC75E7" w:rsidRPr="00050C9B" w:rsidRDefault="004F44E9" w:rsidP="00FC75E7">
      <w:pPr>
        <w:spacing w:line="480" w:lineRule="auto"/>
        <w:rPr>
          <w:rFonts w:cs="Times New Roman"/>
        </w:rPr>
      </w:pPr>
      <w:r w:rsidRPr="009051BA">
        <w:rPr>
          <w:rFonts w:cs="Times New Roman"/>
        </w:rPr>
        <w:t xml:space="preserve">     </w:t>
      </w:r>
      <w:r w:rsidR="00FC75E7">
        <w:rPr>
          <w:rFonts w:cs="Times New Roman"/>
        </w:rPr>
        <w:t xml:space="preserve">As Chapters 3 and 4 are </w:t>
      </w:r>
      <w:r w:rsidR="002D3A6F">
        <w:rPr>
          <w:rFonts w:cs="Times New Roman"/>
        </w:rPr>
        <w:t xml:space="preserve">SWAT-based </w:t>
      </w:r>
      <w:r w:rsidR="00FC75E7">
        <w:rPr>
          <w:rFonts w:cs="Times New Roman"/>
        </w:rPr>
        <w:t>hydrologic modeling studies, a short overview of this model is relevant.  SWAT</w:t>
      </w:r>
      <w:r w:rsidR="00FC75E7" w:rsidRPr="00050C9B">
        <w:rPr>
          <w:rFonts w:cs="Times New Roman"/>
        </w:rPr>
        <w:t xml:space="preserve"> is a physics-based, semi-distributed hydrologic model developed by the US Department of Agriculture in Temple, Texas, and which has been employed in over six-hundred published studies worldwide (Gassman et al. 2007; Douglas-Mankin et al. 2010).  The purpose of SWAT is to predict the impact of land management on the local hydrology and sediment budgets on large, ungaged basins (Arnold et al. 1998).  It is frequently run as an </w:t>
      </w:r>
      <w:r w:rsidR="002D3A6F">
        <w:rPr>
          <w:rFonts w:cs="Times New Roman"/>
        </w:rPr>
        <w:t>extension in the ArcGIS program</w:t>
      </w:r>
      <w:r w:rsidR="00FC75E7" w:rsidRPr="00050C9B">
        <w:rPr>
          <w:rFonts w:cs="Times New Roman"/>
        </w:rPr>
        <w:t xml:space="preserve"> developed by ESRI.  The user divides a watershed into smaller subbasins, and then into smaller hydrologic research units (HRUs) which are areas of homogeneous land use, soil, and slope.  Required inputs to this model include a digital elevation model (DEM), land use grids, soil grids, information concerning land management, and weather.  The water balance model employed by SWAT may be stated as follows.  For day </w:t>
      </w:r>
      <m:oMath>
        <m:r>
          <w:rPr>
            <w:rFonts w:ascii="Cambria Math" w:hAnsi="Cambria Math" w:cs="Times New Roman"/>
          </w:rPr>
          <m:t>i</m:t>
        </m:r>
      </m:oMath>
      <w:r w:rsidR="00FC75E7" w:rsidRPr="00050C9B">
        <w:rPr>
          <w:rFonts w:cs="Times New Roman"/>
        </w:rPr>
        <w:t xml:space="preserve">, </w:t>
      </w:r>
      <m:oMath>
        <m:r>
          <m:rPr>
            <m:sty m:val="p"/>
          </m:rPr>
          <w:rPr>
            <w:rFonts w:ascii="Cambria Math" w:hAnsi="Cambria Math" w:cs="Times New Roman"/>
          </w:rPr>
          <m:t>given</m:t>
        </m:r>
        <m:r>
          <w:rPr>
            <w:rFonts w:ascii="Cambria Math" w:hAnsi="Cambria Math" w:cs="Times New Roman"/>
          </w:rPr>
          <m:t xml:space="preserve"> </m:t>
        </m:r>
      </m:oMath>
      <w:r w:rsidR="00FC75E7" w:rsidRPr="00050C9B">
        <w:rPr>
          <w:rFonts w:cs="Times New Roman"/>
        </w:rPr>
        <w:t xml:space="preserve">soil water content </w:t>
      </w:r>
      <m:oMath>
        <m:r>
          <w:rPr>
            <w:rFonts w:ascii="Cambria Math" w:hAnsi="Cambria Math" w:cs="Times New Roman"/>
          </w:rPr>
          <m:t>SW</m:t>
        </m:r>
      </m:oMath>
      <w:r w:rsidR="00FC75E7" w:rsidRPr="00050C9B">
        <w:rPr>
          <w:rFonts w:cs="Times New Roman"/>
        </w:rPr>
        <w:t xml:space="preserve">, number of days </w:t>
      </w:r>
      <m:oMath>
        <m:r>
          <w:rPr>
            <w:rFonts w:ascii="Cambria Math" w:hAnsi="Cambria Math" w:cs="Times New Roman"/>
          </w:rPr>
          <m:t>t</m:t>
        </m:r>
      </m:oMath>
      <w:r w:rsidR="00FC75E7" w:rsidRPr="00050C9B">
        <w:rPr>
          <w:rFonts w:cs="Times New Roman"/>
        </w:rPr>
        <w:t xml:space="preserve"> in the simulation, precipitation </w:t>
      </w:r>
      <m:oMath>
        <m:r>
          <w:rPr>
            <w:rFonts w:ascii="Cambria Math" w:hAnsi="Cambria Math" w:cs="Times New Roman"/>
          </w:rPr>
          <m:t>P,</m:t>
        </m:r>
      </m:oMath>
      <w:r w:rsidR="00FC75E7" w:rsidRPr="00050C9B">
        <w:rPr>
          <w:rFonts w:cs="Times New Roman"/>
        </w:rPr>
        <w:t xml:space="preserve"> runoff </w:t>
      </w:r>
      <m:oMath>
        <m:r>
          <w:rPr>
            <w:rFonts w:ascii="Cambria Math" w:hAnsi="Cambria Math" w:cs="Times New Roman"/>
          </w:rPr>
          <m:t>R</m:t>
        </m:r>
      </m:oMath>
      <w:r w:rsidR="00FC75E7" w:rsidRPr="00050C9B">
        <w:rPr>
          <w:rFonts w:cs="Times New Roman"/>
        </w:rPr>
        <w:t xml:space="preserve">, evapotranspiration </w:t>
      </w:r>
      <m:oMath>
        <m:r>
          <w:rPr>
            <w:rFonts w:ascii="Cambria Math" w:hAnsi="Cambria Math" w:cs="Times New Roman"/>
          </w:rPr>
          <m:t>ET</m:t>
        </m:r>
      </m:oMath>
      <w:r w:rsidR="00FC75E7" w:rsidRPr="00050C9B">
        <w:rPr>
          <w:rFonts w:cs="Times New Roman"/>
        </w:rPr>
        <w:t xml:space="preserve">, seepage from the soil profile to the vadose zone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seep</m:t>
            </m:r>
          </m:sub>
        </m:sSub>
      </m:oMath>
      <w:r w:rsidR="00FC75E7" w:rsidRPr="00050C9B">
        <w:rPr>
          <w:rFonts w:cs="Times New Roman"/>
        </w:rPr>
        <w:t xml:space="preserve">, and return flow </w:t>
      </w:r>
      <w:r w:rsidR="00FC75E7" w:rsidRPr="00050C9B">
        <w:rPr>
          <w:rFonts w:cs="Times New Roman"/>
          <w:i/>
        </w:rPr>
        <w:t>RF</w:t>
      </w:r>
      <w:r w:rsidR="00FC75E7" w:rsidRPr="00050C9B">
        <w:rPr>
          <w:rFonts w:cs="Times New Roman"/>
        </w:rPr>
        <w:t>, then (Arnold et al. 1998):</w:t>
      </w:r>
    </w:p>
    <w:p w:rsidR="00FC75E7" w:rsidRDefault="00FC75E7" w:rsidP="00FC75E7">
      <w:pPr>
        <w:spacing w:line="480" w:lineRule="auto"/>
        <w:ind w:firstLine="720"/>
      </w:pPr>
      <m:oMath>
        <m:r>
          <w:rPr>
            <w:rFonts w:ascii="Cambria Math" w:hAnsi="Cambria Math"/>
          </w:rPr>
          <m:t xml:space="preserve"> </m:t>
        </m:r>
        <m:sSub>
          <m:sSubPr>
            <m:ctrlPr>
              <w:rPr>
                <w:rFonts w:ascii="Cambria Math" w:hAnsi="Cambria Math"/>
                <w:i/>
              </w:rPr>
            </m:ctrlPr>
          </m:sSubPr>
          <m:e>
            <m:r>
              <w:rPr>
                <w:rFonts w:ascii="Cambria Math" w:hAnsi="Cambria Math"/>
              </w:rPr>
              <m:t>SW</m:t>
            </m:r>
          </m:e>
          <m:sub>
            <m:r>
              <w:rPr>
                <w:rFonts w:ascii="Cambria Math" w:hAnsi="Cambria Math"/>
              </w:rPr>
              <m:t>t</m:t>
            </m:r>
          </m:sub>
        </m:sSub>
        <m:r>
          <w:rPr>
            <w:rFonts w:ascii="Cambria Math" w:hAnsi="Cambria Math"/>
          </w:rPr>
          <m:t>=SW+</m:t>
        </m:r>
        <m:nary>
          <m:naryPr>
            <m:chr m:val="∑"/>
            <m:limLoc m:val="undOvr"/>
            <m:ctrlPr>
              <w:rPr>
                <w:rFonts w:ascii="Cambria Math" w:hAnsi="Cambria Math"/>
                <w:i/>
              </w:rPr>
            </m:ctrlPr>
          </m:naryPr>
          <m:sub>
            <m:r>
              <w:rPr>
                <w:rFonts w:ascii="Cambria Math" w:hAnsi="Cambria Math"/>
              </w:rPr>
              <m:t>i=1</m:t>
            </m:r>
          </m:sub>
          <m:sup>
            <m:r>
              <w:rPr>
                <w:rFonts w:ascii="Cambria Math" w:hAnsi="Cambria Math"/>
              </w:rPr>
              <m:t>t</m:t>
            </m:r>
          </m:sup>
          <m:e>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ET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seep,i</m:t>
                </m:r>
              </m:sub>
            </m:sSub>
            <m:r>
              <w:rPr>
                <w:rFonts w:ascii="Cambria Math" w:hAnsi="Cambria Math"/>
              </w:rPr>
              <m:t xml:space="preserve"> — </m:t>
            </m:r>
            <m:sSub>
              <m:sSubPr>
                <m:ctrlPr>
                  <w:rPr>
                    <w:rFonts w:ascii="Cambria Math" w:hAnsi="Cambria Math"/>
                    <w:i/>
                  </w:rPr>
                </m:ctrlPr>
              </m:sSubPr>
              <m:e>
                <m:r>
                  <w:rPr>
                    <w:rFonts w:ascii="Cambria Math" w:hAnsi="Cambria Math"/>
                  </w:rPr>
                  <m:t>RF</m:t>
                </m:r>
              </m:e>
              <m:sub>
                <m:r>
                  <w:rPr>
                    <w:rFonts w:ascii="Cambria Math" w:hAnsi="Cambria Math"/>
                  </w:rPr>
                  <m:t>i</m:t>
                </m:r>
              </m:sub>
            </m:sSub>
            <m:r>
              <w:rPr>
                <w:rFonts w:ascii="Cambria Math" w:hAnsi="Cambria Math"/>
              </w:rPr>
              <m:t>)</m:t>
            </m:r>
          </m:e>
        </m:nary>
      </m:oMath>
      <w:r>
        <w:t xml:space="preserve">       </w:t>
      </w:r>
      <w:r w:rsidR="00FD730B">
        <w:t xml:space="preserve">                             </w:t>
      </w:r>
      <w:r>
        <w:t>(</w:t>
      </w:r>
      <w:r w:rsidR="00FD730B">
        <w:t>1.</w:t>
      </w:r>
      <w:r>
        <w:t xml:space="preserve">1)                                                                           </w:t>
      </w:r>
    </w:p>
    <w:p w:rsidR="00DE551C" w:rsidRDefault="00FC75E7" w:rsidP="00FC75E7">
      <w:pPr>
        <w:spacing w:line="480" w:lineRule="auto"/>
        <w:rPr>
          <w:rFonts w:cs="Times New Roman"/>
        </w:rPr>
      </w:pPr>
      <w:r w:rsidRPr="0042498E">
        <w:rPr>
          <w:rFonts w:cs="Times New Roman"/>
        </w:rPr>
        <w:t xml:space="preserve">All </w:t>
      </w:r>
      <w:r w:rsidR="00E81C75">
        <w:rPr>
          <w:rFonts w:cs="Times New Roman"/>
        </w:rPr>
        <w:t>values</w:t>
      </w:r>
      <w:r w:rsidRPr="0042498E">
        <w:rPr>
          <w:rFonts w:cs="Times New Roman"/>
        </w:rPr>
        <w:t xml:space="preserve"> are in millimeters.  SWAT computes each of these factors at the outlet of every HRU on a daily timestep, and routes them from the individual HRU to the </w:t>
      </w:r>
      <w:r w:rsidR="00FF03B2">
        <w:rPr>
          <w:rFonts w:cs="Times New Roman"/>
        </w:rPr>
        <w:t>outl</w:t>
      </w:r>
      <w:r w:rsidR="00035FA6">
        <w:rPr>
          <w:rFonts w:cs="Times New Roman"/>
        </w:rPr>
        <w:t xml:space="preserve">et </w:t>
      </w:r>
      <w:r w:rsidR="00035FA6">
        <w:rPr>
          <w:rFonts w:cs="Times New Roman"/>
        </w:rPr>
        <w:lastRenderedPageBreak/>
        <w:t xml:space="preserve">of the </w:t>
      </w:r>
      <w:r w:rsidRPr="0042498E">
        <w:rPr>
          <w:rFonts w:cs="Times New Roman"/>
        </w:rPr>
        <w:t>larger subbasin.  In equation (</w:t>
      </w:r>
      <w:r w:rsidR="002D3A6F">
        <w:rPr>
          <w:rFonts w:cs="Times New Roman"/>
        </w:rPr>
        <w:t>1</w:t>
      </w:r>
      <w:r w:rsidR="00FD730B">
        <w:rPr>
          <w:rFonts w:cs="Times New Roman"/>
        </w:rPr>
        <w:t>.</w:t>
      </w:r>
      <w:r w:rsidRPr="0042498E">
        <w:rPr>
          <w:rFonts w:cs="Times New Roman"/>
        </w:rPr>
        <w:t>1) above, precipitation over each HRU is obtained from the closest weather station to each subbasin.  Each subbasin is comprised of one main channel and one “tributary.”  The user-selected subbasin outlets are placed on stream channels.</w:t>
      </w:r>
    </w:p>
    <w:p w:rsidR="00756395" w:rsidRDefault="00DE551C" w:rsidP="00FC75E7">
      <w:pPr>
        <w:spacing w:line="480" w:lineRule="auto"/>
        <w:rPr>
          <w:rFonts w:cs="Times New Roman"/>
        </w:rPr>
      </w:pPr>
      <w:r>
        <w:rPr>
          <w:rFonts w:cs="Times New Roman"/>
        </w:rPr>
        <w:t xml:space="preserve">     </w:t>
      </w:r>
      <w:r w:rsidRPr="009051BA">
        <w:rPr>
          <w:rFonts w:cs="Times New Roman"/>
        </w:rPr>
        <w:t xml:space="preserve">SWAT </w:t>
      </w:r>
      <w:r>
        <w:rPr>
          <w:rFonts w:cs="Times New Roman"/>
        </w:rPr>
        <w:t xml:space="preserve">is </w:t>
      </w:r>
      <w:r w:rsidRPr="009051BA">
        <w:rPr>
          <w:rFonts w:cs="Times New Roman"/>
        </w:rPr>
        <w:t>an ideal model for this study because of its demonstrated efficacy in modeling the hydrologic impacts of watershed crop substitution (e.g. Schilling et al. 2008; Baskaran et al. 2010; Ng et al. 2010</w:t>
      </w:r>
      <w:r>
        <w:rPr>
          <w:rFonts w:cs="Times New Roman"/>
        </w:rPr>
        <w:t>; Gramig et al. 2013; Kim et al. 2013</w:t>
      </w:r>
      <w:r w:rsidRPr="009051BA">
        <w:rPr>
          <w:rFonts w:cs="Times New Roman"/>
        </w:rPr>
        <w:t xml:space="preserve">). </w:t>
      </w:r>
      <w:r w:rsidR="00756395">
        <w:rPr>
          <w:rFonts w:cs="Times New Roman"/>
        </w:rPr>
        <w:t>By</w:t>
      </w:r>
      <w:r w:rsidRPr="009051BA">
        <w:rPr>
          <w:rFonts w:cs="Times New Roman"/>
        </w:rPr>
        <w:t xml:space="preserve"> design, SWAT is linked to various databases containing the data and information required for simulation, greatly simplifying model setup and operation.  The crop database contains alterable biophysical information (e.g. extinction coefficient, leaf area index) for 108 crops, including many biofuels such as Alamo Switchgrass, corn, oil palm, sugarcane, grain sorghum, and soybeans.</w:t>
      </w:r>
      <w:r w:rsidR="00756395">
        <w:rPr>
          <w:rFonts w:cs="Times New Roman"/>
        </w:rPr>
        <w:t xml:space="preserve">  The availability of such information within the model permits the user to focus on hydrologic simulations rather than on developing a model to simulate crop production.  SWAT uses the EPIC crop growth model when simulating plant growth, developed by Texas </w:t>
      </w:r>
      <w:proofErr w:type="gramStart"/>
      <w:r w:rsidR="00756395">
        <w:rPr>
          <w:rFonts w:cs="Times New Roman"/>
        </w:rPr>
        <w:t>A&amp;M</w:t>
      </w:r>
      <w:proofErr w:type="gramEnd"/>
      <w:r w:rsidR="00756395">
        <w:rPr>
          <w:rFonts w:cs="Times New Roman"/>
        </w:rPr>
        <w:t xml:space="preserve"> Agrilife Research.  The model is </w:t>
      </w:r>
      <w:r w:rsidR="00756395" w:rsidRPr="009051BA">
        <w:rPr>
          <w:rFonts w:cs="Times New Roman"/>
        </w:rPr>
        <w:t>built to differentiate various agricultural patterns, as opposed to the grouping of all agricu</w:t>
      </w:r>
      <w:r w:rsidR="00756395">
        <w:rPr>
          <w:rFonts w:cs="Times New Roman"/>
        </w:rPr>
        <w:t>ltural land into one category.  Additionally, t</w:t>
      </w:r>
      <w:r w:rsidRPr="009051BA">
        <w:rPr>
          <w:rFonts w:cs="Times New Roman"/>
        </w:rPr>
        <w:t xml:space="preserve">he land management database contains information concerning the properties of various fertilizers and harvesting schedules and tillage strategies, which are important considering that winter wheat </w:t>
      </w:r>
      <w:r w:rsidR="002D3A6F">
        <w:rPr>
          <w:rFonts w:cs="Times New Roman"/>
        </w:rPr>
        <w:t xml:space="preserve">and </w:t>
      </w:r>
      <w:proofErr w:type="gramStart"/>
      <w:r w:rsidR="002D3A6F">
        <w:rPr>
          <w:rFonts w:cs="Times New Roman"/>
        </w:rPr>
        <w:t>switchgrass</w:t>
      </w:r>
      <w:proofErr w:type="gramEnd"/>
      <w:r w:rsidR="002D3A6F">
        <w:rPr>
          <w:rFonts w:cs="Times New Roman"/>
        </w:rPr>
        <w:t xml:space="preserve"> are</w:t>
      </w:r>
      <w:r w:rsidRPr="009051BA">
        <w:rPr>
          <w:rFonts w:cs="Times New Roman"/>
        </w:rPr>
        <w:t xml:space="preserve"> </w:t>
      </w:r>
      <w:r w:rsidR="002D3A6F">
        <w:rPr>
          <w:rFonts w:cs="Times New Roman"/>
        </w:rPr>
        <w:t xml:space="preserve">often </w:t>
      </w:r>
      <w:r w:rsidR="00756395">
        <w:rPr>
          <w:rFonts w:cs="Times New Roman"/>
        </w:rPr>
        <w:t xml:space="preserve">fertilized.  </w:t>
      </w:r>
    </w:p>
    <w:p w:rsidR="00DE551C" w:rsidRPr="0042498E" w:rsidRDefault="00756395" w:rsidP="00FC75E7">
      <w:pPr>
        <w:spacing w:line="480" w:lineRule="auto"/>
        <w:rPr>
          <w:rFonts w:cs="Times New Roman"/>
        </w:rPr>
      </w:pPr>
      <w:r>
        <w:rPr>
          <w:rFonts w:cs="Times New Roman"/>
        </w:rPr>
        <w:t xml:space="preserve">     </w:t>
      </w:r>
      <w:r w:rsidR="00DE551C" w:rsidRPr="009051BA">
        <w:rPr>
          <w:rFonts w:cs="Times New Roman"/>
        </w:rPr>
        <w:t>The weather station database provides numerous monthly data for 1112 climate stations</w:t>
      </w:r>
      <w:r w:rsidR="00DE551C">
        <w:rPr>
          <w:rFonts w:cs="Times New Roman"/>
        </w:rPr>
        <w:t xml:space="preserve"> in the USA</w:t>
      </w:r>
      <w:r w:rsidR="00DE551C" w:rsidRPr="009051BA">
        <w:rPr>
          <w:rFonts w:cs="Times New Roman"/>
        </w:rPr>
        <w:t xml:space="preserve">.  These data include absolute location, minimum and maximum </w:t>
      </w:r>
      <w:r w:rsidR="00DE551C" w:rsidRPr="009051BA">
        <w:rPr>
          <w:rFonts w:cs="Times New Roman"/>
        </w:rPr>
        <w:lastRenderedPageBreak/>
        <w:t>monthly temperatures (</w:t>
      </w:r>
      <w:r w:rsidR="00DE551C" w:rsidRPr="009051BA">
        <w:rPr>
          <w:rFonts w:cs="Times New Roman"/>
          <w:vertAlign w:val="superscript"/>
        </w:rPr>
        <w:t>O</w:t>
      </w:r>
      <w:r w:rsidR="00DE551C" w:rsidRPr="009051BA">
        <w:rPr>
          <w:rFonts w:cs="Times New Roman"/>
        </w:rPr>
        <w:t>C), minimum, average, and maximum monthly rainfall totals (mm), average number of days with precipitation in each month, average monthly dew point (</w:t>
      </w:r>
      <w:r w:rsidR="00DE551C">
        <w:rPr>
          <w:rFonts w:ascii="Calibri" w:hAnsi="Calibri" w:cs="Times New Roman"/>
          <w:b/>
          <w:vertAlign w:val="superscript"/>
        </w:rPr>
        <w:t>°</w:t>
      </w:r>
      <w:r w:rsidR="00DE551C" w:rsidRPr="009051BA">
        <w:rPr>
          <w:rFonts w:cs="Times New Roman"/>
        </w:rPr>
        <w:t>C), wind speed (m/s), elevation (m), average monthly solar radiation (mJ m</w:t>
      </w:r>
      <w:r w:rsidR="00DE551C" w:rsidRPr="009051BA">
        <w:rPr>
          <w:rFonts w:cs="Times New Roman"/>
          <w:vertAlign w:val="superscript"/>
        </w:rPr>
        <w:t>-2</w:t>
      </w:r>
      <w:r w:rsidR="00DE551C" w:rsidRPr="009051BA">
        <w:rPr>
          <w:rFonts w:cs="Times New Roman"/>
        </w:rPr>
        <w:t xml:space="preserve">), and probability of a wet day following a dry day and that of a wet day following a wet day during a particular month.  The availability of such weather data within the SWAT model not only obviates the need for a user to locate this information, but it also allows one to edit </w:t>
      </w:r>
      <w:r w:rsidR="00F025D1">
        <w:rPr>
          <w:rFonts w:cs="Times New Roman"/>
        </w:rPr>
        <w:t>weather</w:t>
      </w:r>
      <w:r w:rsidR="00DE551C" w:rsidRPr="009051BA">
        <w:rPr>
          <w:rFonts w:cs="Times New Roman"/>
        </w:rPr>
        <w:t xml:space="preserve"> data </w:t>
      </w:r>
      <w:r w:rsidR="00B949EB">
        <w:rPr>
          <w:rFonts w:cs="Times New Roman"/>
        </w:rPr>
        <w:t>when investigating</w:t>
      </w:r>
      <w:r w:rsidR="00DE551C">
        <w:rPr>
          <w:rFonts w:cs="Times New Roman"/>
        </w:rPr>
        <w:t xml:space="preserve"> climate change scenarios.</w:t>
      </w:r>
      <w:r w:rsidR="00DE551C" w:rsidRPr="009051BA">
        <w:rPr>
          <w:rFonts w:cs="Times New Roman"/>
        </w:rPr>
        <w:t xml:space="preserve"> </w:t>
      </w:r>
    </w:p>
    <w:p w:rsidR="004F44E9" w:rsidRPr="00A25DD0" w:rsidRDefault="00AD57A3" w:rsidP="00E60A0F">
      <w:pPr>
        <w:pStyle w:val="Heading2"/>
        <w:rPr>
          <w:u w:val="single"/>
        </w:rPr>
      </w:pPr>
      <w:bookmarkStart w:id="23" w:name="_Toc364501621"/>
      <w:bookmarkStart w:id="24" w:name="_Toc368046153"/>
      <w:r>
        <w:t>1.6</w:t>
      </w:r>
      <w:r w:rsidR="00117993" w:rsidRPr="00A25DD0">
        <w:t xml:space="preserve">: </w:t>
      </w:r>
      <w:r w:rsidR="00A25DD0" w:rsidRPr="00A25DD0">
        <w:t>Limitations to</w:t>
      </w:r>
      <w:r w:rsidR="004F44E9" w:rsidRPr="00A25DD0">
        <w:t xml:space="preserve"> </w:t>
      </w:r>
      <w:r w:rsidR="00A25DD0" w:rsidRPr="00A25DD0">
        <w:t>th</w:t>
      </w:r>
      <w:bookmarkEnd w:id="23"/>
      <w:r>
        <w:t>is Study</w:t>
      </w:r>
      <w:bookmarkEnd w:id="24"/>
    </w:p>
    <w:p w:rsidR="004F44E9" w:rsidRPr="007B00EF" w:rsidRDefault="00A25DD0" w:rsidP="004F44E9">
      <w:pPr>
        <w:spacing w:line="480" w:lineRule="auto"/>
        <w:rPr>
          <w:rFonts w:cs="Times New Roman"/>
        </w:rPr>
      </w:pPr>
      <w:r>
        <w:rPr>
          <w:rFonts w:cs="Times New Roman"/>
        </w:rPr>
        <w:t xml:space="preserve">     </w:t>
      </w:r>
      <w:r w:rsidR="004F44E9">
        <w:rPr>
          <w:rFonts w:cs="Times New Roman"/>
        </w:rPr>
        <w:t xml:space="preserve">As investigations are by definition finite in nature, this dissertation contains limitations.  </w:t>
      </w:r>
      <w:r w:rsidR="00A26ABF">
        <w:rPr>
          <w:rFonts w:cs="Times New Roman"/>
        </w:rPr>
        <w:t xml:space="preserve">First, the results of any study are a function of its geographic extent.  Likewise, the Great Plains, as with other regions, is not associated with any eastern boundary which is uniform across all investigations </w:t>
      </w:r>
      <w:r w:rsidR="004F44E9">
        <w:rPr>
          <w:rFonts w:cs="Times New Roman"/>
        </w:rPr>
        <w:t xml:space="preserve">(see Lavin et al. 2011, pp. 11-13).  Hudson (2011) recognized 50 different geographical extents for the Great Plains in the published literature.  </w:t>
      </w:r>
      <w:r w:rsidR="00A26ABF">
        <w:rPr>
          <w:rFonts w:cs="Times New Roman"/>
        </w:rPr>
        <w:t>Some articles cited in Chapter 2</w:t>
      </w:r>
      <w:r w:rsidR="004F44E9">
        <w:rPr>
          <w:rFonts w:cs="Times New Roman"/>
        </w:rPr>
        <w:t xml:space="preserve"> (e.g. Sohl et al. 2012) use the EPA Level-1 ecoregion which extends eastward into Southern Minnesota, Iowa and Northern Missouri (</w:t>
      </w:r>
      <w:r w:rsidR="004F44E9" w:rsidRPr="006634E6">
        <w:t>ftp://ftp.epa.gov/wed/ecoregions/cec_na/NA_LEVEL_I.pdf</w:t>
      </w:r>
      <w:r w:rsidR="004F44E9">
        <w:t>))</w:t>
      </w:r>
      <w:r w:rsidR="004F44E9">
        <w:rPr>
          <w:rFonts w:cs="Times New Roman"/>
        </w:rPr>
        <w:t xml:space="preserve">.  </w:t>
      </w:r>
      <w:r w:rsidR="00756395">
        <w:rPr>
          <w:rFonts w:cs="Times New Roman"/>
        </w:rPr>
        <w:t xml:space="preserve">For instance, </w:t>
      </w:r>
      <w:r w:rsidR="004F44E9">
        <w:rPr>
          <w:rFonts w:cs="Times New Roman"/>
        </w:rPr>
        <w:t>Popper and Popper (1987) relied fully on state boundaries.  Gutmann et al. (2005) and Parton et al. (2007) restrict the eastern scope of their study to the eastern borders of North and South Dakota and the 98</w:t>
      </w:r>
      <w:r w:rsidR="004F44E9" w:rsidRPr="00D73F16">
        <w:rPr>
          <w:rFonts w:cs="Times New Roman"/>
          <w:vertAlign w:val="superscript"/>
        </w:rPr>
        <w:t>th</w:t>
      </w:r>
      <w:r w:rsidR="004F44E9">
        <w:rPr>
          <w:rFonts w:cs="Times New Roman"/>
        </w:rPr>
        <w:t xml:space="preserve"> meridian through Nebraska, Kansas, and Texas, but terminate their study area on the southern border of New Mexico.  Due to the modifiable areal unit problem, the results from the literature cited in this chapter may not be directly intercomparable.  This is an unavoidable problem but for the quantitative </w:t>
      </w:r>
      <w:r w:rsidR="004F44E9">
        <w:rPr>
          <w:rFonts w:cs="Times New Roman"/>
        </w:rPr>
        <w:lastRenderedPageBreak/>
        <w:t>portion of Chapter 2, the Great Plains was defined as the area between the 98</w:t>
      </w:r>
      <w:r w:rsidR="004F44E9" w:rsidRPr="005B0ADA">
        <w:rPr>
          <w:rFonts w:cs="Times New Roman"/>
          <w:vertAlign w:val="superscript"/>
        </w:rPr>
        <w:t>th</w:t>
      </w:r>
      <w:r w:rsidR="004F44E9">
        <w:rPr>
          <w:rFonts w:cs="Times New Roman"/>
        </w:rPr>
        <w:t xml:space="preserve"> meridian and the westward extent of the Great Plains ecoregion.  The 98</w:t>
      </w:r>
      <w:r w:rsidR="004F44E9" w:rsidRPr="00D73F16">
        <w:rPr>
          <w:rFonts w:cs="Times New Roman"/>
          <w:vertAlign w:val="superscript"/>
        </w:rPr>
        <w:t>th</w:t>
      </w:r>
      <w:r w:rsidR="004F44E9">
        <w:rPr>
          <w:rFonts w:cs="Times New Roman"/>
        </w:rPr>
        <w:t xml:space="preserve"> meridian was selected as the eastern border for this study to be consistent with the pioneering work of the historian Walter Prescott Webb (1931).     </w:t>
      </w:r>
    </w:p>
    <w:p w:rsidR="004F44E9" w:rsidRDefault="004F44E9" w:rsidP="004F44E9">
      <w:pPr>
        <w:spacing w:line="480" w:lineRule="auto"/>
        <w:rPr>
          <w:rFonts w:cs="Times New Roman"/>
        </w:rPr>
      </w:pPr>
      <w:r>
        <w:rPr>
          <w:rFonts w:cs="Times New Roman"/>
        </w:rPr>
        <w:t xml:space="preserve">     Chapter 3 discusses the impacts of four scenarios involving switchgrass substitution on seasonal discharge and evapotranspiration.  It does not investigate impacts on other facets of the water balance, including soil moisture and subsurface runoff, due to difficulties in getting SWAT to calibrate to baseflow, despite an overall excellent calibration.  Likewise, Chapter 3 only deals with Alamo switchgrass, whereas other biofuel crops, such as miscanthus, may be worth examining.  The investigation discussed in Chapter 4 may contain the most limitations of any study in the dissertation.  A reliance on NEXRAD precipitation data due to the inability of weather gages to capture some high-rain events, combined with calibrating to a stream gage with discharge records going back only to 2000 resulted in the utilization of a short-calibration period.  Due to the need to have as long of a calibration period as possibl</w:t>
      </w:r>
      <w:r w:rsidR="00491D29">
        <w:rPr>
          <w:rFonts w:cs="Times New Roman"/>
        </w:rPr>
        <w:t xml:space="preserve">e, </w:t>
      </w:r>
      <w:r>
        <w:rPr>
          <w:rFonts w:cs="Times New Roman"/>
        </w:rPr>
        <w:t xml:space="preserve">a validation period was not used.  Additionally, because of the short, nine-year calibration period, only a correspondingly short “climate change” period could be investigated.  However, climate change studies require a longer analysis timeframe in order to minimize the impacts of interannual and interdecadal variability.  Finally, only one decade, and one IPCC </w:t>
      </w:r>
      <w:r w:rsidR="0050326C">
        <w:rPr>
          <w:rFonts w:cs="Times New Roman"/>
        </w:rPr>
        <w:t xml:space="preserve">SRES </w:t>
      </w:r>
      <w:r>
        <w:rPr>
          <w:rFonts w:cs="Times New Roman"/>
        </w:rPr>
        <w:t>emissions scenario, the A2, was used in order to minimize the scope of work required to complete a study which would otherwise have involved other modelers and scientists.  While all these criticisms are legitimate, the nature of the resea</w:t>
      </w:r>
      <w:r w:rsidR="002534E8">
        <w:rPr>
          <w:rFonts w:cs="Times New Roman"/>
        </w:rPr>
        <w:t xml:space="preserve">rch required some compromises.  </w:t>
      </w:r>
      <w:r>
        <w:rPr>
          <w:rFonts w:cs="Times New Roman"/>
        </w:rPr>
        <w:t xml:space="preserve">Large gaps in radar coverage exist over much of </w:t>
      </w:r>
      <w:r>
        <w:rPr>
          <w:rFonts w:cs="Times New Roman"/>
        </w:rPr>
        <w:lastRenderedPageBreak/>
        <w:t>the Great Plains, including the western portion of the Oklahoma Panhandle and Southeastern Colorado through which large rivers such as the North Canadian flow (</w:t>
      </w:r>
      <w:r w:rsidR="002534E8" w:rsidRPr="002534E8">
        <w:rPr>
          <w:i/>
        </w:rPr>
        <w:t>http://www.roc.noaa.gov/WSR88D/Maps.aspx</w:t>
      </w:r>
      <w:r w:rsidR="002534E8">
        <w:t xml:space="preserve">).  </w:t>
      </w:r>
      <w:r>
        <w:rPr>
          <w:rFonts w:cs="Times New Roman"/>
        </w:rPr>
        <w:t xml:space="preserve">Watersheds in such areas therefore may not be calibrate-able without high-resolution precipitation data.  The region suffers from intense groundwater mining which is not easily captured in SWAT and which results in near-zero discharges, to which calibration would be nearly impossible.  Such challenges make the Great Plains a fascinating area in which to conduct hydrologic modeling, as well as an area which mandates one’s selection of less than ideal watersheds. </w:t>
      </w:r>
    </w:p>
    <w:p w:rsidR="004F44E9" w:rsidRDefault="004F44E9" w:rsidP="00E60A0F">
      <w:pPr>
        <w:pStyle w:val="Heading2"/>
      </w:pPr>
      <w:bookmarkStart w:id="25" w:name="_Toc364501623"/>
      <w:bookmarkStart w:id="26" w:name="_Toc368046154"/>
      <w:r w:rsidRPr="009051BA">
        <w:t>References</w:t>
      </w:r>
      <w:bookmarkEnd w:id="25"/>
      <w:bookmarkEnd w:id="26"/>
    </w:p>
    <w:p w:rsidR="004F44E9" w:rsidRDefault="004F44E9" w:rsidP="004F44E9">
      <w:pPr>
        <w:rPr>
          <w:rFonts w:cs="Times New Roman"/>
        </w:rPr>
      </w:pPr>
      <w:r w:rsidRPr="00C523D2">
        <w:rPr>
          <w:rFonts w:cs="Times New Roman"/>
        </w:rPr>
        <w:t>Arnold, J. G., R. Srinivasan, R. S. Muttia</w:t>
      </w:r>
      <w:r w:rsidR="00821E44">
        <w:rPr>
          <w:rFonts w:cs="Times New Roman"/>
        </w:rPr>
        <w:t>h, and J. R. Williams 1998</w:t>
      </w:r>
      <w:r w:rsidRPr="00C523D2">
        <w:rPr>
          <w:rFonts w:cs="Times New Roman"/>
        </w:rPr>
        <w:t xml:space="preserve"> Large area </w:t>
      </w:r>
      <w:r>
        <w:rPr>
          <w:rFonts w:cs="Times New Roman"/>
        </w:rPr>
        <w:tab/>
      </w:r>
      <w:r w:rsidRPr="00C523D2">
        <w:rPr>
          <w:rFonts w:cs="Times New Roman"/>
        </w:rPr>
        <w:t xml:space="preserve">hydrologic modeling and assessment - </w:t>
      </w:r>
      <w:r w:rsidR="00AD16C7">
        <w:rPr>
          <w:rFonts w:cs="Times New Roman"/>
        </w:rPr>
        <w:t>p</w:t>
      </w:r>
      <w:r w:rsidRPr="00C523D2">
        <w:rPr>
          <w:rFonts w:cs="Times New Roman"/>
        </w:rPr>
        <w:t xml:space="preserve">art 1: </w:t>
      </w:r>
      <w:r w:rsidR="00AD16C7">
        <w:rPr>
          <w:rFonts w:cs="Times New Roman"/>
        </w:rPr>
        <w:t>m</w:t>
      </w:r>
      <w:r w:rsidRPr="00C523D2">
        <w:rPr>
          <w:rFonts w:cs="Times New Roman"/>
        </w:rPr>
        <w:t xml:space="preserve">odel development, </w:t>
      </w:r>
      <w:r w:rsidRPr="00C7005B">
        <w:rPr>
          <w:rFonts w:cs="Times New Roman"/>
          <w:i/>
        </w:rPr>
        <w:t>J</w:t>
      </w:r>
      <w:r w:rsidR="00C32A4E">
        <w:rPr>
          <w:rFonts w:cs="Times New Roman"/>
          <w:i/>
        </w:rPr>
        <w:t>.</w:t>
      </w:r>
      <w:r w:rsidRPr="00C7005B">
        <w:rPr>
          <w:rFonts w:cs="Times New Roman"/>
          <w:i/>
        </w:rPr>
        <w:t xml:space="preserve"> Am</w:t>
      </w:r>
      <w:r w:rsidR="00C32A4E">
        <w:rPr>
          <w:rFonts w:cs="Times New Roman"/>
          <w:i/>
        </w:rPr>
        <w:t>.</w:t>
      </w:r>
      <w:r w:rsidRPr="00C7005B">
        <w:rPr>
          <w:rFonts w:cs="Times New Roman"/>
          <w:i/>
        </w:rPr>
        <w:t xml:space="preserve"> </w:t>
      </w:r>
      <w:r w:rsidR="004750FF">
        <w:rPr>
          <w:rFonts w:cs="Times New Roman"/>
          <w:i/>
        </w:rPr>
        <w:tab/>
      </w:r>
      <w:r w:rsidRPr="00C7005B">
        <w:rPr>
          <w:rFonts w:cs="Times New Roman"/>
          <w:i/>
        </w:rPr>
        <w:t>Water Resour</w:t>
      </w:r>
      <w:r w:rsidR="00C32A4E">
        <w:rPr>
          <w:rFonts w:cs="Times New Roman"/>
          <w:i/>
        </w:rPr>
        <w:t>.</w:t>
      </w:r>
      <w:r w:rsidRPr="00C7005B">
        <w:rPr>
          <w:rFonts w:cs="Times New Roman"/>
          <w:i/>
        </w:rPr>
        <w:t xml:space="preserve"> As</w:t>
      </w:r>
      <w:r w:rsidR="00C32A4E">
        <w:rPr>
          <w:rFonts w:cs="Times New Roman"/>
          <w:i/>
        </w:rPr>
        <w:t>.</w:t>
      </w:r>
      <w:r w:rsidRPr="00C523D2">
        <w:rPr>
          <w:rFonts w:cs="Times New Roman"/>
        </w:rPr>
        <w:t xml:space="preserve">, </w:t>
      </w:r>
      <w:r w:rsidRPr="00C7005B">
        <w:rPr>
          <w:rFonts w:cs="Times New Roman"/>
          <w:b/>
        </w:rPr>
        <w:t>34</w:t>
      </w:r>
      <w:r w:rsidRPr="00C523D2">
        <w:rPr>
          <w:rFonts w:cs="Times New Roman"/>
        </w:rPr>
        <w:t>, 73-89.</w:t>
      </w:r>
    </w:p>
    <w:p w:rsidR="004F44E9" w:rsidRDefault="004F44E9" w:rsidP="004F44E9">
      <w:pPr>
        <w:rPr>
          <w:rFonts w:cs="Times New Roman"/>
        </w:rPr>
      </w:pPr>
      <w:r w:rsidRPr="004206F8">
        <w:rPr>
          <w:rFonts w:cs="Times New Roman"/>
        </w:rPr>
        <w:t xml:space="preserve">Brown, R. A., N. J. Rosenberg, C. J. Hays, W. E. Easterling, </w:t>
      </w:r>
      <w:r>
        <w:rPr>
          <w:rFonts w:cs="Times New Roman"/>
        </w:rPr>
        <w:t>and</w:t>
      </w:r>
      <w:r w:rsidR="00821E44">
        <w:rPr>
          <w:rFonts w:cs="Times New Roman"/>
        </w:rPr>
        <w:t xml:space="preserve"> L. O. Mearns 2000</w:t>
      </w:r>
      <w:r w:rsidR="004750FF">
        <w:rPr>
          <w:rFonts w:cs="Times New Roman"/>
        </w:rPr>
        <w:t xml:space="preserve"> </w:t>
      </w:r>
      <w:r w:rsidR="007868F4">
        <w:rPr>
          <w:rFonts w:cs="Times New Roman"/>
        </w:rPr>
        <w:tab/>
      </w:r>
      <w:r w:rsidR="00AD16C7">
        <w:rPr>
          <w:rFonts w:cs="Times New Roman"/>
        </w:rPr>
        <w:t>p</w:t>
      </w:r>
      <w:r w:rsidRPr="004206F8">
        <w:rPr>
          <w:rFonts w:cs="Times New Roman"/>
        </w:rPr>
        <w:t xml:space="preserve">otential </w:t>
      </w:r>
      <w:r w:rsidR="00AD16C7">
        <w:rPr>
          <w:rFonts w:cs="Times New Roman"/>
        </w:rPr>
        <w:t>p</w:t>
      </w:r>
      <w:r w:rsidRPr="004206F8">
        <w:rPr>
          <w:rFonts w:cs="Times New Roman"/>
        </w:rPr>
        <w:t xml:space="preserve">roduction and </w:t>
      </w:r>
      <w:r w:rsidR="00AD16C7">
        <w:rPr>
          <w:rFonts w:cs="Times New Roman"/>
        </w:rPr>
        <w:t>e</w:t>
      </w:r>
      <w:r w:rsidRPr="004206F8">
        <w:rPr>
          <w:rFonts w:cs="Times New Roman"/>
        </w:rPr>
        <w:t xml:space="preserve">nvironmental </w:t>
      </w:r>
      <w:r w:rsidR="00AD16C7">
        <w:rPr>
          <w:rFonts w:cs="Times New Roman"/>
        </w:rPr>
        <w:t>e</w:t>
      </w:r>
      <w:r w:rsidRPr="004206F8">
        <w:rPr>
          <w:rFonts w:cs="Times New Roman"/>
        </w:rPr>
        <w:t xml:space="preserve">ffects of </w:t>
      </w:r>
      <w:r w:rsidR="00AD16C7">
        <w:rPr>
          <w:rFonts w:cs="Times New Roman"/>
        </w:rPr>
        <w:t>s</w:t>
      </w:r>
      <w:r w:rsidRPr="004206F8">
        <w:rPr>
          <w:rFonts w:cs="Times New Roman"/>
        </w:rPr>
        <w:t xml:space="preserve">witchgrass and </w:t>
      </w:r>
      <w:r w:rsidR="004750FF">
        <w:rPr>
          <w:rFonts w:cs="Times New Roman"/>
        </w:rPr>
        <w:tab/>
      </w:r>
      <w:r w:rsidR="00AD16C7">
        <w:rPr>
          <w:rFonts w:cs="Times New Roman"/>
        </w:rPr>
        <w:t>t</w:t>
      </w:r>
      <w:r w:rsidRPr="004206F8">
        <w:rPr>
          <w:rFonts w:cs="Times New Roman"/>
        </w:rPr>
        <w:t xml:space="preserve">raditional </w:t>
      </w:r>
      <w:r w:rsidR="00AD16C7">
        <w:rPr>
          <w:rFonts w:cs="Times New Roman"/>
        </w:rPr>
        <w:tab/>
        <w:t>c</w:t>
      </w:r>
      <w:r w:rsidRPr="004206F8">
        <w:rPr>
          <w:rFonts w:cs="Times New Roman"/>
        </w:rPr>
        <w:t xml:space="preserve">rops under </w:t>
      </w:r>
      <w:r w:rsidR="00AD16C7">
        <w:rPr>
          <w:rFonts w:cs="Times New Roman"/>
        </w:rPr>
        <w:t>c</w:t>
      </w:r>
      <w:r w:rsidRPr="004206F8">
        <w:rPr>
          <w:rFonts w:cs="Times New Roman"/>
        </w:rPr>
        <w:t xml:space="preserve">urrent and </w:t>
      </w:r>
      <w:r w:rsidR="00AD16C7">
        <w:rPr>
          <w:rFonts w:cs="Times New Roman"/>
        </w:rPr>
        <w:t>g</w:t>
      </w:r>
      <w:r w:rsidRPr="004206F8">
        <w:rPr>
          <w:rFonts w:cs="Times New Roman"/>
        </w:rPr>
        <w:t xml:space="preserve">reenhouse-altered </w:t>
      </w:r>
      <w:r w:rsidR="00AD16C7">
        <w:rPr>
          <w:rFonts w:cs="Times New Roman"/>
        </w:rPr>
        <w:t>c</w:t>
      </w:r>
      <w:r w:rsidRPr="004206F8">
        <w:rPr>
          <w:rFonts w:cs="Times New Roman"/>
        </w:rPr>
        <w:t xml:space="preserve">limate in the </w:t>
      </w:r>
      <w:r w:rsidR="00BB441E">
        <w:rPr>
          <w:rFonts w:cs="Times New Roman"/>
        </w:rPr>
        <w:t>C</w:t>
      </w:r>
      <w:r w:rsidRPr="004206F8">
        <w:rPr>
          <w:rFonts w:cs="Times New Roman"/>
        </w:rPr>
        <w:t xml:space="preserve">entral United States: </w:t>
      </w:r>
      <w:r w:rsidR="00AD16C7">
        <w:rPr>
          <w:rFonts w:cs="Times New Roman"/>
        </w:rPr>
        <w:tab/>
      </w:r>
      <w:r w:rsidRPr="004206F8">
        <w:rPr>
          <w:rFonts w:cs="Times New Roman"/>
        </w:rPr>
        <w:t xml:space="preserve">a simulation study, </w:t>
      </w:r>
      <w:r w:rsidRPr="00C411A3">
        <w:rPr>
          <w:rFonts w:cs="Times New Roman"/>
          <w:i/>
        </w:rPr>
        <w:t>Agr</w:t>
      </w:r>
      <w:r>
        <w:rPr>
          <w:rFonts w:cs="Times New Roman"/>
          <w:i/>
        </w:rPr>
        <w:t xml:space="preserve">. </w:t>
      </w:r>
      <w:proofErr w:type="gramStart"/>
      <w:r>
        <w:rPr>
          <w:rFonts w:cs="Times New Roman"/>
          <w:i/>
        </w:rPr>
        <w:t>Ecosyst.</w:t>
      </w:r>
      <w:proofErr w:type="gramEnd"/>
      <w:r w:rsidRPr="00C411A3">
        <w:rPr>
          <w:rFonts w:cs="Times New Roman"/>
          <w:i/>
        </w:rPr>
        <w:t xml:space="preserve"> </w:t>
      </w:r>
      <w:proofErr w:type="gramStart"/>
      <w:r w:rsidRPr="00C411A3">
        <w:rPr>
          <w:rFonts w:cs="Times New Roman"/>
          <w:i/>
        </w:rPr>
        <w:t>Environ</w:t>
      </w:r>
      <w:r>
        <w:rPr>
          <w:rFonts w:cs="Times New Roman"/>
          <w:i/>
        </w:rPr>
        <w:t>.</w:t>
      </w:r>
      <w:r w:rsidRPr="004206F8">
        <w:rPr>
          <w:rFonts w:cs="Times New Roman"/>
        </w:rPr>
        <w:t>,</w:t>
      </w:r>
      <w:proofErr w:type="gramEnd"/>
      <w:r w:rsidRPr="004206F8">
        <w:rPr>
          <w:rFonts w:cs="Times New Roman"/>
        </w:rPr>
        <w:t xml:space="preserve"> </w:t>
      </w:r>
      <w:r w:rsidRPr="004206F8">
        <w:rPr>
          <w:rFonts w:cs="Times New Roman"/>
          <w:b/>
        </w:rPr>
        <w:t>78</w:t>
      </w:r>
      <w:r w:rsidRPr="004206F8">
        <w:rPr>
          <w:rFonts w:cs="Times New Roman"/>
        </w:rPr>
        <w:t>, 31-47.</w:t>
      </w:r>
    </w:p>
    <w:p w:rsidR="004F44E9" w:rsidRPr="001473C5" w:rsidRDefault="004F44E9" w:rsidP="004F44E9">
      <w:pPr>
        <w:rPr>
          <w:rFonts w:cs="Times New Roman"/>
          <w:b/>
        </w:rPr>
      </w:pPr>
      <w:proofErr w:type="gramStart"/>
      <w:r w:rsidRPr="001473C5">
        <w:rPr>
          <w:rFonts w:cs="Times New Roman"/>
        </w:rPr>
        <w:t>B</w:t>
      </w:r>
      <w:r>
        <w:rPr>
          <w:rFonts w:cs="Times New Roman"/>
        </w:rPr>
        <w:t>runken</w:t>
      </w:r>
      <w:r w:rsidR="00AD16C7">
        <w:rPr>
          <w:rFonts w:cs="Times New Roman"/>
        </w:rPr>
        <w:t xml:space="preserve">, J. N., and J. R. Estes </w:t>
      </w:r>
      <w:r w:rsidR="00821E44">
        <w:rPr>
          <w:rFonts w:cs="Times New Roman"/>
        </w:rPr>
        <w:t>1975</w:t>
      </w:r>
      <w:r w:rsidR="00AD16C7">
        <w:rPr>
          <w:rFonts w:cs="Times New Roman"/>
        </w:rPr>
        <w:t xml:space="preserve"> </w:t>
      </w:r>
      <w:r w:rsidRPr="001473C5">
        <w:rPr>
          <w:rFonts w:cs="Times New Roman"/>
        </w:rPr>
        <w:t xml:space="preserve">Cytological and </w:t>
      </w:r>
      <w:r w:rsidR="00AD16C7">
        <w:rPr>
          <w:rFonts w:cs="Times New Roman"/>
        </w:rPr>
        <w:t>m</w:t>
      </w:r>
      <w:r w:rsidRPr="001473C5">
        <w:rPr>
          <w:rFonts w:cs="Times New Roman"/>
        </w:rPr>
        <w:t xml:space="preserve">orphological </w:t>
      </w:r>
      <w:r w:rsidR="00AD16C7">
        <w:rPr>
          <w:rFonts w:cs="Times New Roman"/>
        </w:rPr>
        <w:t>v</w:t>
      </w:r>
      <w:r w:rsidRPr="001473C5">
        <w:rPr>
          <w:rFonts w:cs="Times New Roman"/>
        </w:rPr>
        <w:t xml:space="preserve">ariation in </w:t>
      </w:r>
      <w:r w:rsidR="00AD16C7">
        <w:rPr>
          <w:rFonts w:cs="Times New Roman"/>
        </w:rPr>
        <w:tab/>
      </w:r>
      <w:r w:rsidRPr="001473C5">
        <w:rPr>
          <w:rFonts w:cs="Times New Roman"/>
        </w:rPr>
        <w:t xml:space="preserve">Panicum virgatum L., </w:t>
      </w:r>
      <w:r>
        <w:rPr>
          <w:rFonts w:cs="Times New Roman"/>
          <w:i/>
        </w:rPr>
        <w:t>Southwest.</w:t>
      </w:r>
      <w:proofErr w:type="gramEnd"/>
      <w:r>
        <w:rPr>
          <w:rFonts w:cs="Times New Roman"/>
          <w:i/>
        </w:rPr>
        <w:t xml:space="preserve"> Nat.</w:t>
      </w:r>
      <w:r w:rsidRPr="001473C5">
        <w:rPr>
          <w:rFonts w:cs="Times New Roman"/>
        </w:rPr>
        <w:t xml:space="preserve">, </w:t>
      </w:r>
      <w:r w:rsidRPr="001473C5">
        <w:rPr>
          <w:rFonts w:cs="Times New Roman"/>
          <w:b/>
        </w:rPr>
        <w:t>19</w:t>
      </w:r>
      <w:r>
        <w:rPr>
          <w:rFonts w:cs="Times New Roman"/>
        </w:rPr>
        <w:t>,</w:t>
      </w:r>
      <w:r w:rsidRPr="001473C5">
        <w:rPr>
          <w:rFonts w:cs="Times New Roman"/>
        </w:rPr>
        <w:t xml:space="preserve"> 379-385.</w:t>
      </w:r>
    </w:p>
    <w:p w:rsidR="004F44E9" w:rsidRPr="00103971" w:rsidRDefault="004F44E9" w:rsidP="004F44E9">
      <w:pPr>
        <w:rPr>
          <w:rFonts w:cs="Times New Roman"/>
        </w:rPr>
      </w:pPr>
      <w:r>
        <w:rPr>
          <w:rFonts w:cs="Times New Roman"/>
        </w:rPr>
        <w:t>Chamberlain,</w:t>
      </w:r>
      <w:r w:rsidRPr="009051BA">
        <w:rPr>
          <w:rFonts w:cs="Times New Roman"/>
        </w:rPr>
        <w:t xml:space="preserve"> J.F., </w:t>
      </w:r>
      <w:r>
        <w:rPr>
          <w:rFonts w:cs="Times New Roman"/>
        </w:rPr>
        <w:t xml:space="preserve">S. A. </w:t>
      </w:r>
      <w:r w:rsidRPr="009051BA">
        <w:rPr>
          <w:rFonts w:cs="Times New Roman"/>
        </w:rPr>
        <w:t>Miller</w:t>
      </w:r>
      <w:r w:rsidR="00AD16C7">
        <w:rPr>
          <w:rFonts w:cs="Times New Roman"/>
        </w:rPr>
        <w:t xml:space="preserve">, and J. R. Frederick </w:t>
      </w:r>
      <w:r w:rsidRPr="009051BA">
        <w:rPr>
          <w:rFonts w:cs="Times New Roman"/>
        </w:rPr>
        <w:t xml:space="preserve">2011 Using DAYCENT to </w:t>
      </w:r>
      <w:r>
        <w:rPr>
          <w:rFonts w:cs="Times New Roman"/>
        </w:rPr>
        <w:tab/>
      </w:r>
      <w:r w:rsidR="00AD16C7">
        <w:rPr>
          <w:rFonts w:cs="Times New Roman"/>
        </w:rPr>
        <w:t>q</w:t>
      </w:r>
      <w:r w:rsidRPr="009051BA">
        <w:rPr>
          <w:rFonts w:cs="Times New Roman"/>
        </w:rPr>
        <w:t xml:space="preserve">uantify on-farm GHG emissions and N dynamics of land use conversion </w:t>
      </w:r>
      <w:r w:rsidR="004750FF">
        <w:rPr>
          <w:rFonts w:cs="Times New Roman"/>
        </w:rPr>
        <w:tab/>
      </w:r>
      <w:r w:rsidRPr="009051BA">
        <w:rPr>
          <w:rFonts w:cs="Times New Roman"/>
        </w:rPr>
        <w:t>to N-</w:t>
      </w:r>
      <w:r w:rsidR="007868F4">
        <w:rPr>
          <w:rFonts w:cs="Times New Roman"/>
        </w:rPr>
        <w:tab/>
      </w:r>
      <w:r w:rsidRPr="009051BA">
        <w:rPr>
          <w:rFonts w:cs="Times New Roman"/>
        </w:rPr>
        <w:t>managed switchgrass in the Southern U.S.</w:t>
      </w:r>
      <w:r w:rsidR="00AD16C7">
        <w:rPr>
          <w:rFonts w:cs="Times New Roman"/>
        </w:rPr>
        <w:t>,</w:t>
      </w:r>
      <w:r w:rsidRPr="009051BA">
        <w:rPr>
          <w:rFonts w:cs="Times New Roman"/>
        </w:rPr>
        <w:t xml:space="preserve"> </w:t>
      </w:r>
      <w:r w:rsidRPr="009051BA">
        <w:rPr>
          <w:rFonts w:cs="Times New Roman"/>
          <w:i/>
        </w:rPr>
        <w:t xml:space="preserve">Agr. </w:t>
      </w:r>
      <w:proofErr w:type="gramStart"/>
      <w:r w:rsidRPr="009051BA">
        <w:rPr>
          <w:rFonts w:cs="Times New Roman"/>
          <w:i/>
        </w:rPr>
        <w:t>Ecosyst.</w:t>
      </w:r>
      <w:proofErr w:type="gramEnd"/>
      <w:r w:rsidRPr="009051BA">
        <w:rPr>
          <w:rFonts w:cs="Times New Roman"/>
          <w:i/>
        </w:rPr>
        <w:t xml:space="preserve"> Environ. </w:t>
      </w:r>
      <w:r w:rsidRPr="009051BA">
        <w:rPr>
          <w:rFonts w:cs="Times New Roman"/>
          <w:b/>
        </w:rPr>
        <w:t>141</w:t>
      </w:r>
      <w:r w:rsidRPr="009051BA">
        <w:rPr>
          <w:rFonts w:cs="Times New Roman"/>
        </w:rPr>
        <w:t>, 332-341</w:t>
      </w:r>
      <w:r w:rsidRPr="009051BA">
        <w:rPr>
          <w:rFonts w:cs="Times New Roman"/>
          <w:color w:val="00B050"/>
        </w:rPr>
        <w:t xml:space="preserve">. </w:t>
      </w:r>
    </w:p>
    <w:p w:rsidR="004F44E9" w:rsidRPr="00C523D2" w:rsidRDefault="004F44E9" w:rsidP="004F44E9">
      <w:pPr>
        <w:pStyle w:val="References"/>
        <w:spacing w:line="240" w:lineRule="auto"/>
        <w:rPr>
          <w:rFonts w:eastAsiaTheme="minorHAnsi"/>
          <w:lang w:val="en-US" w:eastAsia="en-US"/>
        </w:rPr>
      </w:pPr>
      <w:r w:rsidRPr="00C523D2">
        <w:rPr>
          <w:rFonts w:eastAsiaTheme="minorHAnsi"/>
          <w:lang w:val="en-US" w:eastAsia="en-US"/>
        </w:rPr>
        <w:t>Demissie</w:t>
      </w:r>
      <w:r w:rsidR="00821E44">
        <w:rPr>
          <w:rFonts w:eastAsiaTheme="minorHAnsi"/>
          <w:lang w:val="en-US" w:eastAsia="en-US"/>
        </w:rPr>
        <w:t>, Y., E. Yan, and M. Wu 2012</w:t>
      </w:r>
      <w:r w:rsidRPr="00C523D2">
        <w:rPr>
          <w:rFonts w:eastAsiaTheme="minorHAnsi"/>
          <w:lang w:val="en-US" w:eastAsia="en-US"/>
        </w:rPr>
        <w:t xml:space="preserve"> Assessi</w:t>
      </w:r>
      <w:r>
        <w:rPr>
          <w:rFonts w:eastAsiaTheme="minorHAnsi"/>
          <w:lang w:val="en-US" w:eastAsia="en-US"/>
        </w:rPr>
        <w:t xml:space="preserve">ng </w:t>
      </w:r>
      <w:r w:rsidR="00AD16C7">
        <w:rPr>
          <w:rFonts w:eastAsiaTheme="minorHAnsi"/>
          <w:lang w:val="en-US" w:eastAsia="en-US"/>
        </w:rPr>
        <w:t>r</w:t>
      </w:r>
      <w:r>
        <w:rPr>
          <w:rFonts w:eastAsiaTheme="minorHAnsi"/>
          <w:lang w:val="en-US" w:eastAsia="en-US"/>
        </w:rPr>
        <w:t xml:space="preserve">egional </w:t>
      </w:r>
      <w:r w:rsidR="00AD16C7">
        <w:rPr>
          <w:rFonts w:eastAsiaTheme="minorHAnsi"/>
          <w:lang w:val="en-US" w:eastAsia="en-US"/>
        </w:rPr>
        <w:t>h</w:t>
      </w:r>
      <w:r>
        <w:rPr>
          <w:rFonts w:eastAsiaTheme="minorHAnsi"/>
          <w:lang w:val="en-US" w:eastAsia="en-US"/>
        </w:rPr>
        <w:t xml:space="preserve">ydrology and </w:t>
      </w:r>
      <w:r w:rsidR="00AD16C7">
        <w:rPr>
          <w:rFonts w:eastAsiaTheme="minorHAnsi"/>
          <w:lang w:val="en-US" w:eastAsia="en-US"/>
        </w:rPr>
        <w:t>w</w:t>
      </w:r>
      <w:r>
        <w:rPr>
          <w:rFonts w:eastAsiaTheme="minorHAnsi"/>
          <w:lang w:val="en-US" w:eastAsia="en-US"/>
        </w:rPr>
        <w:t xml:space="preserve">ater </w:t>
      </w:r>
      <w:r w:rsidR="00AD16C7">
        <w:rPr>
          <w:rFonts w:eastAsiaTheme="minorHAnsi"/>
          <w:lang w:val="en-US" w:eastAsia="en-US"/>
        </w:rPr>
        <w:t>quality i</w:t>
      </w:r>
      <w:r w:rsidRPr="00C523D2">
        <w:rPr>
          <w:rFonts w:eastAsiaTheme="minorHAnsi"/>
          <w:lang w:val="en-US" w:eastAsia="en-US"/>
        </w:rPr>
        <w:t xml:space="preserve">mplications of </w:t>
      </w:r>
      <w:r w:rsidR="00AD16C7">
        <w:rPr>
          <w:rFonts w:eastAsiaTheme="minorHAnsi"/>
          <w:lang w:val="en-US" w:eastAsia="en-US"/>
        </w:rPr>
        <w:t>l</w:t>
      </w:r>
      <w:r w:rsidRPr="00C523D2">
        <w:rPr>
          <w:rFonts w:eastAsiaTheme="minorHAnsi"/>
          <w:lang w:val="en-US" w:eastAsia="en-US"/>
        </w:rPr>
        <w:t>arge-</w:t>
      </w:r>
      <w:r w:rsidR="00AD16C7">
        <w:rPr>
          <w:rFonts w:eastAsiaTheme="minorHAnsi"/>
          <w:lang w:val="en-US" w:eastAsia="en-US"/>
        </w:rPr>
        <w:t>s</w:t>
      </w:r>
      <w:r w:rsidRPr="00C523D2">
        <w:rPr>
          <w:rFonts w:eastAsiaTheme="minorHAnsi"/>
          <w:lang w:val="en-US" w:eastAsia="en-US"/>
        </w:rPr>
        <w:t xml:space="preserve">cale </w:t>
      </w:r>
      <w:r w:rsidR="00AD16C7">
        <w:rPr>
          <w:rFonts w:eastAsiaTheme="minorHAnsi"/>
          <w:lang w:val="en-US" w:eastAsia="en-US"/>
        </w:rPr>
        <w:t>b</w:t>
      </w:r>
      <w:r w:rsidRPr="00C523D2">
        <w:rPr>
          <w:rFonts w:eastAsiaTheme="minorHAnsi"/>
          <w:lang w:val="en-US" w:eastAsia="en-US"/>
        </w:rPr>
        <w:t xml:space="preserve">iofuel </w:t>
      </w:r>
      <w:r w:rsidR="00AD16C7">
        <w:rPr>
          <w:rFonts w:eastAsiaTheme="minorHAnsi"/>
          <w:lang w:val="en-US" w:eastAsia="en-US"/>
        </w:rPr>
        <w:t>f</w:t>
      </w:r>
      <w:r w:rsidRPr="00C523D2">
        <w:rPr>
          <w:rFonts w:eastAsiaTheme="minorHAnsi"/>
          <w:lang w:val="en-US" w:eastAsia="en-US"/>
        </w:rPr>
        <w:t xml:space="preserve">eedstock </w:t>
      </w:r>
      <w:r w:rsidR="00AD16C7">
        <w:rPr>
          <w:rFonts w:eastAsiaTheme="minorHAnsi"/>
          <w:lang w:val="en-US" w:eastAsia="en-US"/>
        </w:rPr>
        <w:t>p</w:t>
      </w:r>
      <w:r w:rsidRPr="00C523D2">
        <w:rPr>
          <w:rFonts w:eastAsiaTheme="minorHAnsi"/>
          <w:lang w:val="en-US" w:eastAsia="en-US"/>
        </w:rPr>
        <w:t xml:space="preserve">roduction in the Upper Mississippi River Basin, </w:t>
      </w:r>
      <w:r>
        <w:rPr>
          <w:rFonts w:eastAsiaTheme="minorHAnsi"/>
          <w:i/>
          <w:lang w:val="en-US" w:eastAsia="en-US"/>
        </w:rPr>
        <w:t>Environ. Sci. Technol.</w:t>
      </w:r>
      <w:r w:rsidRPr="00C523D2">
        <w:rPr>
          <w:rFonts w:eastAsiaTheme="minorHAnsi"/>
          <w:lang w:val="en-US" w:eastAsia="en-US"/>
        </w:rPr>
        <w:t xml:space="preserve">, </w:t>
      </w:r>
      <w:r w:rsidRPr="00C7005B">
        <w:rPr>
          <w:rFonts w:eastAsiaTheme="minorHAnsi"/>
          <w:b/>
          <w:lang w:val="en-US" w:eastAsia="en-US"/>
        </w:rPr>
        <w:t>46</w:t>
      </w:r>
      <w:r w:rsidRPr="00C523D2">
        <w:rPr>
          <w:rFonts w:eastAsiaTheme="minorHAnsi"/>
          <w:lang w:val="en-US" w:eastAsia="en-US"/>
        </w:rPr>
        <w:t>, 9174-9182.</w:t>
      </w:r>
    </w:p>
    <w:p w:rsidR="004F44E9" w:rsidRDefault="004F44E9" w:rsidP="004F44E9">
      <w:pPr>
        <w:pStyle w:val="References"/>
        <w:spacing w:line="240" w:lineRule="auto"/>
        <w:rPr>
          <w:rFonts w:eastAsiaTheme="minorHAnsi"/>
          <w:lang w:val="en-US" w:eastAsia="en-US"/>
        </w:rPr>
      </w:pPr>
    </w:p>
    <w:p w:rsidR="004F44E9" w:rsidRDefault="004F44E9" w:rsidP="004F44E9">
      <w:pPr>
        <w:pStyle w:val="References"/>
        <w:spacing w:line="240" w:lineRule="auto"/>
        <w:rPr>
          <w:rFonts w:eastAsiaTheme="minorHAnsi"/>
          <w:lang w:val="en-US" w:eastAsia="en-US"/>
        </w:rPr>
      </w:pPr>
      <w:r w:rsidRPr="00C523D2">
        <w:rPr>
          <w:rFonts w:eastAsiaTheme="minorHAnsi"/>
          <w:lang w:val="en-US" w:eastAsia="en-US"/>
        </w:rPr>
        <w:t>Douglas-Mankin K. R., R. Srinivasan, and J</w:t>
      </w:r>
      <w:r w:rsidR="00821E44">
        <w:rPr>
          <w:rFonts w:eastAsiaTheme="minorHAnsi"/>
          <w:lang w:val="en-US" w:eastAsia="en-US"/>
        </w:rPr>
        <w:t>. G. Arnold 2010</w:t>
      </w:r>
      <w:r w:rsidRPr="00C523D2">
        <w:rPr>
          <w:rFonts w:eastAsiaTheme="minorHAnsi"/>
          <w:lang w:val="en-US" w:eastAsia="en-US"/>
        </w:rPr>
        <w:t xml:space="preserve"> Soil and </w:t>
      </w:r>
      <w:r w:rsidR="00AD16C7">
        <w:rPr>
          <w:rFonts w:eastAsiaTheme="minorHAnsi"/>
          <w:lang w:val="en-US" w:eastAsia="en-US"/>
        </w:rPr>
        <w:t>W</w:t>
      </w:r>
      <w:r w:rsidRPr="00C523D2">
        <w:rPr>
          <w:rFonts w:eastAsiaTheme="minorHAnsi"/>
          <w:lang w:val="en-US" w:eastAsia="en-US"/>
        </w:rPr>
        <w:t xml:space="preserve">ater Assessment Tool (SWAT) Model: </w:t>
      </w:r>
      <w:r w:rsidR="007868F4">
        <w:rPr>
          <w:rFonts w:eastAsiaTheme="minorHAnsi"/>
          <w:lang w:val="en-US" w:eastAsia="en-US"/>
        </w:rPr>
        <w:t>c</w:t>
      </w:r>
      <w:r w:rsidRPr="00C523D2">
        <w:rPr>
          <w:rFonts w:eastAsiaTheme="minorHAnsi"/>
          <w:lang w:val="en-US" w:eastAsia="en-US"/>
        </w:rPr>
        <w:t xml:space="preserve">urrent </w:t>
      </w:r>
      <w:r w:rsidR="007868F4">
        <w:rPr>
          <w:rFonts w:eastAsiaTheme="minorHAnsi"/>
          <w:lang w:val="en-US" w:eastAsia="en-US"/>
        </w:rPr>
        <w:t>d</w:t>
      </w:r>
      <w:r w:rsidRPr="00C523D2">
        <w:rPr>
          <w:rFonts w:eastAsiaTheme="minorHAnsi"/>
          <w:lang w:val="en-US" w:eastAsia="en-US"/>
        </w:rPr>
        <w:t xml:space="preserve">evelopments and </w:t>
      </w:r>
      <w:r w:rsidR="007868F4">
        <w:rPr>
          <w:rFonts w:eastAsiaTheme="minorHAnsi"/>
          <w:lang w:val="en-US" w:eastAsia="en-US"/>
        </w:rPr>
        <w:t>a</w:t>
      </w:r>
      <w:r w:rsidRPr="00C523D2">
        <w:rPr>
          <w:rFonts w:eastAsiaTheme="minorHAnsi"/>
          <w:lang w:val="en-US" w:eastAsia="en-US"/>
        </w:rPr>
        <w:t xml:space="preserve">pplications, </w:t>
      </w:r>
      <w:r w:rsidRPr="007A04ED">
        <w:rPr>
          <w:rFonts w:eastAsiaTheme="minorHAnsi"/>
          <w:i/>
          <w:lang w:val="en-US" w:eastAsia="en-US"/>
        </w:rPr>
        <w:t>Trans. ASABE</w:t>
      </w:r>
      <w:r w:rsidRPr="00C523D2">
        <w:rPr>
          <w:rFonts w:eastAsiaTheme="minorHAnsi"/>
          <w:lang w:val="en-US" w:eastAsia="en-US"/>
        </w:rPr>
        <w:t xml:space="preserve">, </w:t>
      </w:r>
      <w:r w:rsidRPr="00C7005B">
        <w:rPr>
          <w:rFonts w:eastAsiaTheme="minorHAnsi"/>
          <w:b/>
          <w:lang w:val="en-US" w:eastAsia="en-US"/>
        </w:rPr>
        <w:t>53</w:t>
      </w:r>
      <w:r w:rsidRPr="00C523D2">
        <w:rPr>
          <w:rFonts w:eastAsiaTheme="minorHAnsi"/>
          <w:lang w:val="en-US" w:eastAsia="en-US"/>
        </w:rPr>
        <w:t>, 1423-1431.</w:t>
      </w:r>
    </w:p>
    <w:p w:rsidR="004F44E9" w:rsidRDefault="004F44E9" w:rsidP="004F44E9">
      <w:pPr>
        <w:pStyle w:val="References"/>
        <w:spacing w:line="240" w:lineRule="auto"/>
        <w:rPr>
          <w:rFonts w:eastAsiaTheme="minorHAnsi"/>
          <w:lang w:val="en-US" w:eastAsia="en-US"/>
        </w:rPr>
      </w:pPr>
    </w:p>
    <w:p w:rsidR="001C7579" w:rsidRPr="0050039E" w:rsidRDefault="004F44E9" w:rsidP="0050039E">
      <w:pPr>
        <w:rPr>
          <w:rFonts w:cs="Times New Roman"/>
        </w:rPr>
      </w:pPr>
      <w:r>
        <w:rPr>
          <w:rFonts w:cs="Times New Roman"/>
        </w:rPr>
        <w:lastRenderedPageBreak/>
        <w:t>EPA</w:t>
      </w:r>
      <w:r w:rsidR="001C7579">
        <w:rPr>
          <w:rFonts w:cs="Times New Roman"/>
        </w:rPr>
        <w:t xml:space="preserve"> </w:t>
      </w:r>
      <w:r w:rsidRPr="009051BA">
        <w:rPr>
          <w:rFonts w:cs="Times New Roman"/>
        </w:rPr>
        <w:t>2011</w:t>
      </w:r>
      <w:r>
        <w:rPr>
          <w:rFonts w:cs="Times New Roman"/>
        </w:rPr>
        <w:t xml:space="preserve"> </w:t>
      </w:r>
      <w:r w:rsidRPr="009051BA">
        <w:rPr>
          <w:rFonts w:cs="Times New Roman"/>
          <w:i/>
        </w:rPr>
        <w:t xml:space="preserve">Biofuels and the </w:t>
      </w:r>
      <w:r w:rsidR="004750FF">
        <w:rPr>
          <w:rFonts w:cs="Times New Roman"/>
          <w:i/>
        </w:rPr>
        <w:t>E</w:t>
      </w:r>
      <w:r w:rsidRPr="009051BA">
        <w:rPr>
          <w:rFonts w:cs="Times New Roman"/>
          <w:i/>
        </w:rPr>
        <w:t xml:space="preserve">nvironment: </w:t>
      </w:r>
      <w:r w:rsidR="004750FF">
        <w:rPr>
          <w:rFonts w:cs="Times New Roman"/>
          <w:i/>
        </w:rPr>
        <w:t>F</w:t>
      </w:r>
      <w:r w:rsidRPr="009051BA">
        <w:rPr>
          <w:rFonts w:cs="Times New Roman"/>
          <w:i/>
        </w:rPr>
        <w:t xml:space="preserve">irst </w:t>
      </w:r>
      <w:r w:rsidR="004750FF">
        <w:rPr>
          <w:rFonts w:cs="Times New Roman"/>
          <w:i/>
        </w:rPr>
        <w:t>T</w:t>
      </w:r>
      <w:r w:rsidRPr="009051BA">
        <w:rPr>
          <w:rFonts w:cs="Times New Roman"/>
          <w:i/>
        </w:rPr>
        <w:t xml:space="preserve">riennial </w:t>
      </w:r>
      <w:r w:rsidR="004750FF">
        <w:rPr>
          <w:rFonts w:cs="Times New Roman"/>
          <w:i/>
        </w:rPr>
        <w:t>R</w:t>
      </w:r>
      <w:r w:rsidRPr="009051BA">
        <w:rPr>
          <w:rFonts w:cs="Times New Roman"/>
          <w:i/>
        </w:rPr>
        <w:t xml:space="preserve">eport to </w:t>
      </w:r>
      <w:r w:rsidR="004750FF">
        <w:rPr>
          <w:rFonts w:cs="Times New Roman"/>
          <w:i/>
        </w:rPr>
        <w:t>C</w:t>
      </w:r>
      <w:r w:rsidRPr="009051BA">
        <w:rPr>
          <w:rFonts w:cs="Times New Roman"/>
          <w:i/>
        </w:rPr>
        <w:t>ongress</w:t>
      </w:r>
      <w:r w:rsidR="007868F4">
        <w:rPr>
          <w:rFonts w:cs="Times New Roman"/>
        </w:rPr>
        <w:t xml:space="preserve">, </w:t>
      </w:r>
      <w:r w:rsidRPr="009051BA">
        <w:rPr>
          <w:rFonts w:cs="Times New Roman"/>
        </w:rPr>
        <w:t xml:space="preserve">U.S. </w:t>
      </w:r>
      <w:r w:rsidR="007868F4">
        <w:rPr>
          <w:rFonts w:cs="Times New Roman"/>
        </w:rPr>
        <w:tab/>
      </w:r>
      <w:proofErr w:type="gramStart"/>
      <w:r w:rsidRPr="009051BA">
        <w:rPr>
          <w:rFonts w:cs="Times New Roman"/>
        </w:rPr>
        <w:t xml:space="preserve">Environmental Protection Agency, Office of Research and </w:t>
      </w:r>
      <w:r w:rsidR="004750FF">
        <w:rPr>
          <w:rFonts w:cs="Times New Roman"/>
        </w:rPr>
        <w:tab/>
      </w:r>
      <w:r w:rsidRPr="009051BA">
        <w:rPr>
          <w:rFonts w:cs="Times New Roman"/>
        </w:rPr>
        <w:t>Development.</w:t>
      </w:r>
      <w:proofErr w:type="gramEnd"/>
    </w:p>
    <w:p w:rsidR="004F44E9" w:rsidRPr="009051BA" w:rsidRDefault="004F44E9" w:rsidP="004F44E9">
      <w:pPr>
        <w:pStyle w:val="References"/>
        <w:spacing w:line="240" w:lineRule="auto"/>
        <w:rPr>
          <w:rFonts w:eastAsiaTheme="minorHAnsi"/>
          <w:lang w:val="en-US" w:eastAsia="en-US"/>
        </w:rPr>
      </w:pPr>
      <w:proofErr w:type="gramStart"/>
      <w:r w:rsidRPr="009051BA">
        <w:rPr>
          <w:rFonts w:eastAsiaTheme="minorHAnsi"/>
          <w:lang w:val="en-US" w:eastAsia="en-US"/>
        </w:rPr>
        <w:t xml:space="preserve">FAPRI-MU 2008 </w:t>
      </w:r>
      <w:r w:rsidRPr="00C32A4E">
        <w:rPr>
          <w:rFonts w:eastAsiaTheme="minorHAnsi"/>
          <w:i/>
          <w:lang w:val="en-US" w:eastAsia="en-US"/>
        </w:rPr>
        <w:t>Causes and Implications of the Food Price Surge</w:t>
      </w:r>
      <w:r>
        <w:rPr>
          <w:rFonts w:eastAsiaTheme="minorHAnsi"/>
          <w:lang w:val="en-US" w:eastAsia="en-US"/>
        </w:rPr>
        <w:t>.</w:t>
      </w:r>
      <w:proofErr w:type="gramEnd"/>
      <w:r>
        <w:rPr>
          <w:rFonts w:eastAsiaTheme="minorHAnsi"/>
          <w:lang w:val="en-US" w:eastAsia="en-US"/>
        </w:rPr>
        <w:t xml:space="preserve">  </w:t>
      </w:r>
      <w:proofErr w:type="gramStart"/>
      <w:r>
        <w:rPr>
          <w:rFonts w:eastAsiaTheme="minorHAnsi"/>
          <w:lang w:val="en-US" w:eastAsia="en-US"/>
        </w:rPr>
        <w:t>FAPRI-MU report #12-08.</w:t>
      </w:r>
      <w:proofErr w:type="gramEnd"/>
      <w:r>
        <w:rPr>
          <w:rFonts w:eastAsiaTheme="minorHAnsi"/>
          <w:lang w:val="en-US" w:eastAsia="en-US"/>
        </w:rPr>
        <w:t xml:space="preserve">  Available on-line at: </w:t>
      </w:r>
      <w:r w:rsidRPr="004206F8">
        <w:t>http://www.fapri.missouri.edu/outreach/publications/2008/FAPRI_MU_Report_12_</w:t>
      </w:r>
      <w:proofErr w:type="gramStart"/>
      <w:r w:rsidRPr="004206F8">
        <w:t>08.pdf</w:t>
      </w:r>
      <w:r>
        <w:t xml:space="preserve">  Last</w:t>
      </w:r>
      <w:proofErr w:type="gramEnd"/>
      <w:r>
        <w:t xml:space="preserve"> accessed 12 June 2013.</w:t>
      </w:r>
    </w:p>
    <w:p w:rsidR="004F44E9" w:rsidRPr="009051BA" w:rsidRDefault="004F44E9" w:rsidP="004F44E9">
      <w:pPr>
        <w:pStyle w:val="References"/>
        <w:spacing w:line="240" w:lineRule="auto"/>
        <w:rPr>
          <w:rFonts w:eastAsiaTheme="minorHAnsi"/>
          <w:lang w:val="en-US" w:eastAsia="en-US"/>
        </w:rPr>
      </w:pPr>
    </w:p>
    <w:p w:rsidR="004F44E9" w:rsidRPr="009051BA" w:rsidRDefault="004F44E9" w:rsidP="004F44E9">
      <w:pPr>
        <w:pStyle w:val="References"/>
        <w:spacing w:line="240" w:lineRule="auto"/>
        <w:rPr>
          <w:rFonts w:eastAsiaTheme="minorHAnsi"/>
          <w:lang w:val="en-US" w:eastAsia="en-US"/>
        </w:rPr>
      </w:pPr>
      <w:r w:rsidRPr="009051BA">
        <w:rPr>
          <w:rFonts w:eastAsiaTheme="minorHAnsi"/>
          <w:lang w:val="en-US" w:eastAsia="en-US"/>
        </w:rPr>
        <w:t>Forrestal, P. J., R. J. Kratochvil, and J. J. M</w:t>
      </w:r>
      <w:r w:rsidR="00F53943">
        <w:rPr>
          <w:rFonts w:eastAsiaTheme="minorHAnsi"/>
          <w:lang w:val="en-US" w:eastAsia="en-US"/>
        </w:rPr>
        <w:t>eisinger 2012</w:t>
      </w:r>
      <w:r w:rsidRPr="009051BA">
        <w:rPr>
          <w:rFonts w:eastAsiaTheme="minorHAnsi"/>
          <w:lang w:val="en-US" w:eastAsia="en-US"/>
        </w:rPr>
        <w:t xml:space="preserve"> Late-</w:t>
      </w:r>
      <w:r w:rsidR="00AD16C7">
        <w:rPr>
          <w:rFonts w:eastAsiaTheme="minorHAnsi"/>
          <w:lang w:val="en-US" w:eastAsia="en-US"/>
        </w:rPr>
        <w:t>s</w:t>
      </w:r>
      <w:r w:rsidRPr="009051BA">
        <w:rPr>
          <w:rFonts w:eastAsiaTheme="minorHAnsi"/>
          <w:lang w:val="en-US" w:eastAsia="en-US"/>
        </w:rPr>
        <w:t xml:space="preserve">eason </w:t>
      </w:r>
      <w:r w:rsidR="00AD16C7">
        <w:rPr>
          <w:rFonts w:eastAsiaTheme="minorHAnsi"/>
          <w:lang w:val="en-US" w:eastAsia="en-US"/>
        </w:rPr>
        <w:t>c</w:t>
      </w:r>
      <w:r w:rsidRPr="009051BA">
        <w:rPr>
          <w:rFonts w:eastAsiaTheme="minorHAnsi"/>
          <w:lang w:val="en-US" w:eastAsia="en-US"/>
        </w:rPr>
        <w:t xml:space="preserve">orn </w:t>
      </w:r>
      <w:r w:rsidR="00AD16C7">
        <w:rPr>
          <w:rFonts w:eastAsiaTheme="minorHAnsi"/>
          <w:lang w:val="en-US" w:eastAsia="en-US"/>
        </w:rPr>
        <w:t>m</w:t>
      </w:r>
      <w:r w:rsidRPr="009051BA">
        <w:rPr>
          <w:rFonts w:eastAsiaTheme="minorHAnsi"/>
          <w:lang w:val="en-US" w:eastAsia="en-US"/>
        </w:rPr>
        <w:t xml:space="preserve">easurements </w:t>
      </w:r>
      <w:r w:rsidR="00AD16C7">
        <w:rPr>
          <w:rFonts w:eastAsiaTheme="minorHAnsi"/>
          <w:lang w:val="en-US" w:eastAsia="en-US"/>
        </w:rPr>
        <w:t>to a</w:t>
      </w:r>
      <w:r w:rsidRPr="009051BA">
        <w:rPr>
          <w:rFonts w:eastAsiaTheme="minorHAnsi"/>
          <w:lang w:val="en-US" w:eastAsia="en-US"/>
        </w:rPr>
        <w:t xml:space="preserve">ssess </w:t>
      </w:r>
      <w:r w:rsidR="00AD16C7">
        <w:rPr>
          <w:rFonts w:eastAsiaTheme="minorHAnsi"/>
          <w:lang w:val="en-US" w:eastAsia="en-US"/>
        </w:rPr>
        <w:t>s</w:t>
      </w:r>
      <w:r w:rsidRPr="009051BA">
        <w:rPr>
          <w:rFonts w:eastAsiaTheme="minorHAnsi"/>
          <w:lang w:val="en-US" w:eastAsia="en-US"/>
        </w:rPr>
        <w:t xml:space="preserve">oil </w:t>
      </w:r>
      <w:r w:rsidR="00AD16C7">
        <w:rPr>
          <w:rFonts w:eastAsiaTheme="minorHAnsi"/>
          <w:lang w:val="en-US" w:eastAsia="en-US"/>
        </w:rPr>
        <w:t>r</w:t>
      </w:r>
      <w:r w:rsidRPr="009051BA">
        <w:rPr>
          <w:rFonts w:eastAsiaTheme="minorHAnsi"/>
          <w:lang w:val="en-US" w:eastAsia="en-US"/>
        </w:rPr>
        <w:t xml:space="preserve">esidual </w:t>
      </w:r>
      <w:r w:rsidR="00AD16C7">
        <w:rPr>
          <w:rFonts w:eastAsiaTheme="minorHAnsi"/>
          <w:lang w:val="en-US" w:eastAsia="en-US"/>
        </w:rPr>
        <w:t>n</w:t>
      </w:r>
      <w:r w:rsidRPr="009051BA">
        <w:rPr>
          <w:rFonts w:eastAsiaTheme="minorHAnsi"/>
          <w:lang w:val="en-US" w:eastAsia="en-US"/>
        </w:rPr>
        <w:t xml:space="preserve">itrate and </w:t>
      </w:r>
      <w:r w:rsidR="00AD16C7">
        <w:rPr>
          <w:rFonts w:eastAsiaTheme="minorHAnsi"/>
          <w:lang w:val="en-US" w:eastAsia="en-US"/>
        </w:rPr>
        <w:t>n</w:t>
      </w:r>
      <w:r w:rsidRPr="009051BA">
        <w:rPr>
          <w:rFonts w:eastAsiaTheme="minorHAnsi"/>
          <w:lang w:val="en-US" w:eastAsia="en-US"/>
        </w:rPr>
        <w:t xml:space="preserve">itrogen </w:t>
      </w:r>
      <w:r w:rsidR="00AD16C7">
        <w:rPr>
          <w:rFonts w:eastAsiaTheme="minorHAnsi"/>
          <w:lang w:val="en-US" w:eastAsia="en-US"/>
        </w:rPr>
        <w:t>m</w:t>
      </w:r>
      <w:r w:rsidRPr="009051BA">
        <w:rPr>
          <w:rFonts w:eastAsiaTheme="minorHAnsi"/>
          <w:lang w:val="en-US" w:eastAsia="en-US"/>
        </w:rPr>
        <w:t xml:space="preserve">anagement, </w:t>
      </w:r>
      <w:r w:rsidRPr="009051BA">
        <w:rPr>
          <w:rFonts w:eastAsiaTheme="minorHAnsi"/>
          <w:i/>
          <w:lang w:val="en-US" w:eastAsia="en-US"/>
        </w:rPr>
        <w:t>Agron. J</w:t>
      </w:r>
      <w:r w:rsidRPr="009051BA">
        <w:rPr>
          <w:rFonts w:eastAsiaTheme="minorHAnsi"/>
          <w:lang w:val="en-US" w:eastAsia="en-US"/>
        </w:rPr>
        <w:t xml:space="preserve">., </w:t>
      </w:r>
      <w:r w:rsidRPr="009051BA">
        <w:rPr>
          <w:rFonts w:eastAsiaTheme="minorHAnsi"/>
          <w:b/>
          <w:lang w:val="en-US" w:eastAsia="en-US"/>
        </w:rPr>
        <w:t>104</w:t>
      </w:r>
      <w:r w:rsidRPr="009051BA">
        <w:rPr>
          <w:rFonts w:eastAsiaTheme="minorHAnsi"/>
          <w:lang w:val="en-US" w:eastAsia="en-US"/>
        </w:rPr>
        <w:t>, 148-157.</w:t>
      </w:r>
    </w:p>
    <w:p w:rsidR="004F44E9" w:rsidRPr="009051BA" w:rsidRDefault="004F44E9" w:rsidP="004F44E9">
      <w:pPr>
        <w:pStyle w:val="References"/>
        <w:spacing w:line="240" w:lineRule="auto"/>
        <w:rPr>
          <w:rFonts w:eastAsiaTheme="minorHAnsi"/>
          <w:lang w:val="en-US" w:eastAsia="en-US"/>
        </w:rPr>
      </w:pPr>
    </w:p>
    <w:p w:rsidR="004F44E9" w:rsidRDefault="004F44E9" w:rsidP="004F44E9">
      <w:pPr>
        <w:pStyle w:val="References"/>
        <w:spacing w:line="240" w:lineRule="auto"/>
        <w:rPr>
          <w:rFonts w:eastAsiaTheme="minorHAnsi"/>
          <w:lang w:val="en-US" w:eastAsia="en-US"/>
        </w:rPr>
      </w:pPr>
      <w:r w:rsidRPr="009051BA">
        <w:rPr>
          <w:rFonts w:eastAsiaTheme="minorHAnsi"/>
          <w:lang w:val="en-US" w:eastAsia="en-US"/>
        </w:rPr>
        <w:t xml:space="preserve">Foster, J. L., J. Guretzky, C. Huo, </w:t>
      </w:r>
      <w:r w:rsidR="00821E44">
        <w:rPr>
          <w:rFonts w:eastAsiaTheme="minorHAnsi"/>
          <w:lang w:val="en-US" w:eastAsia="en-US"/>
        </w:rPr>
        <w:t>M. K. Kering, and T. J. Butler 2013</w:t>
      </w:r>
      <w:r w:rsidRPr="009051BA">
        <w:rPr>
          <w:rFonts w:eastAsiaTheme="minorHAnsi"/>
          <w:lang w:val="en-US" w:eastAsia="en-US"/>
        </w:rPr>
        <w:t xml:space="preserve"> Effects of row spacing, seeding rate, and planting date on establishment of switchgrass, </w:t>
      </w:r>
      <w:r w:rsidRPr="00C7005B">
        <w:rPr>
          <w:rFonts w:eastAsiaTheme="minorHAnsi"/>
          <w:i/>
          <w:lang w:val="en-US" w:eastAsia="en-US"/>
        </w:rPr>
        <w:t>Crop Sci</w:t>
      </w:r>
      <w:r w:rsidR="007868F4">
        <w:rPr>
          <w:rFonts w:eastAsiaTheme="minorHAnsi"/>
          <w:i/>
          <w:lang w:val="en-US" w:eastAsia="en-US"/>
        </w:rPr>
        <w:t>.</w:t>
      </w:r>
      <w:r>
        <w:rPr>
          <w:rFonts w:eastAsiaTheme="minorHAnsi"/>
          <w:lang w:val="en-US" w:eastAsia="en-US"/>
        </w:rPr>
        <w:t xml:space="preserve">, </w:t>
      </w:r>
      <w:r w:rsidRPr="00C7005B">
        <w:rPr>
          <w:rFonts w:eastAsiaTheme="minorHAnsi"/>
          <w:b/>
          <w:lang w:val="en-US" w:eastAsia="en-US"/>
        </w:rPr>
        <w:t>53</w:t>
      </w:r>
      <w:r w:rsidRPr="009051BA">
        <w:rPr>
          <w:rFonts w:eastAsiaTheme="minorHAnsi"/>
          <w:lang w:val="en-US" w:eastAsia="en-US"/>
        </w:rPr>
        <w:t>, 309–314.</w:t>
      </w:r>
    </w:p>
    <w:p w:rsidR="004F44E9" w:rsidRDefault="004F44E9" w:rsidP="004F44E9">
      <w:pPr>
        <w:pStyle w:val="References"/>
        <w:spacing w:line="240" w:lineRule="auto"/>
        <w:rPr>
          <w:rFonts w:eastAsiaTheme="minorHAnsi"/>
          <w:lang w:val="en-US" w:eastAsia="en-US"/>
        </w:rPr>
      </w:pPr>
    </w:p>
    <w:p w:rsidR="004F44E9" w:rsidRDefault="004F44E9" w:rsidP="004F44E9">
      <w:pPr>
        <w:pStyle w:val="References"/>
        <w:spacing w:line="240" w:lineRule="auto"/>
        <w:rPr>
          <w:rFonts w:eastAsiaTheme="minorHAnsi"/>
          <w:lang w:val="en-US" w:eastAsia="en-US"/>
        </w:rPr>
      </w:pPr>
      <w:r w:rsidRPr="003B79E1">
        <w:rPr>
          <w:rFonts w:eastAsiaTheme="minorHAnsi"/>
          <w:lang w:val="en-US" w:eastAsia="en-US"/>
        </w:rPr>
        <w:t>Gassman, P. W., M. R. Reyes</w:t>
      </w:r>
      <w:r w:rsidR="00821E44">
        <w:rPr>
          <w:rFonts w:eastAsiaTheme="minorHAnsi"/>
          <w:lang w:val="en-US" w:eastAsia="en-US"/>
        </w:rPr>
        <w:t>, C.H. Green, and J. G. Arnold 2007</w:t>
      </w:r>
      <w:r w:rsidRPr="003B79E1">
        <w:rPr>
          <w:rFonts w:eastAsiaTheme="minorHAnsi"/>
          <w:lang w:val="en-US" w:eastAsia="en-US"/>
        </w:rPr>
        <w:t xml:space="preserve"> The Soil </w:t>
      </w:r>
      <w:proofErr w:type="gramStart"/>
      <w:r w:rsidRPr="003B79E1">
        <w:rPr>
          <w:rFonts w:eastAsiaTheme="minorHAnsi"/>
          <w:lang w:val="en-US" w:eastAsia="en-US"/>
        </w:rPr>
        <w:t>And</w:t>
      </w:r>
      <w:proofErr w:type="gramEnd"/>
      <w:r w:rsidRPr="003B79E1">
        <w:rPr>
          <w:rFonts w:eastAsiaTheme="minorHAnsi"/>
          <w:lang w:val="en-US" w:eastAsia="en-US"/>
        </w:rPr>
        <w:t xml:space="preserve"> Water Assessment Tool: </w:t>
      </w:r>
      <w:r w:rsidR="00AD16C7">
        <w:rPr>
          <w:rFonts w:eastAsiaTheme="minorHAnsi"/>
          <w:lang w:val="en-US" w:eastAsia="en-US"/>
        </w:rPr>
        <w:t>h</w:t>
      </w:r>
      <w:r w:rsidRPr="003B79E1">
        <w:rPr>
          <w:rFonts w:eastAsiaTheme="minorHAnsi"/>
          <w:lang w:val="en-US" w:eastAsia="en-US"/>
        </w:rPr>
        <w:t xml:space="preserve">istorical </w:t>
      </w:r>
      <w:r w:rsidR="00AD16C7">
        <w:rPr>
          <w:rFonts w:eastAsiaTheme="minorHAnsi"/>
          <w:lang w:val="en-US" w:eastAsia="en-US"/>
        </w:rPr>
        <w:t>d</w:t>
      </w:r>
      <w:r w:rsidRPr="003B79E1">
        <w:rPr>
          <w:rFonts w:eastAsiaTheme="minorHAnsi"/>
          <w:lang w:val="en-US" w:eastAsia="en-US"/>
        </w:rPr>
        <w:t xml:space="preserve">evelopment, </w:t>
      </w:r>
      <w:r w:rsidR="00AD16C7">
        <w:rPr>
          <w:rFonts w:eastAsiaTheme="minorHAnsi"/>
          <w:lang w:val="en-US" w:eastAsia="en-US"/>
        </w:rPr>
        <w:t>a</w:t>
      </w:r>
      <w:r w:rsidRPr="003B79E1">
        <w:rPr>
          <w:rFonts w:eastAsiaTheme="minorHAnsi"/>
          <w:lang w:val="en-US" w:eastAsia="en-US"/>
        </w:rPr>
        <w:t xml:space="preserve">pplications, and </w:t>
      </w:r>
      <w:r w:rsidR="00AD16C7">
        <w:rPr>
          <w:rFonts w:eastAsiaTheme="minorHAnsi"/>
          <w:lang w:val="en-US" w:eastAsia="en-US"/>
        </w:rPr>
        <w:t>f</w:t>
      </w:r>
      <w:r w:rsidRPr="003B79E1">
        <w:rPr>
          <w:rFonts w:eastAsiaTheme="minorHAnsi"/>
          <w:lang w:val="en-US" w:eastAsia="en-US"/>
        </w:rPr>
        <w:t xml:space="preserve">uture </w:t>
      </w:r>
      <w:r w:rsidR="00AD16C7">
        <w:rPr>
          <w:rFonts w:eastAsiaTheme="minorHAnsi"/>
          <w:lang w:val="en-US" w:eastAsia="en-US"/>
        </w:rPr>
        <w:t>r</w:t>
      </w:r>
      <w:r w:rsidRPr="003B79E1">
        <w:rPr>
          <w:rFonts w:eastAsiaTheme="minorHAnsi"/>
          <w:lang w:val="en-US" w:eastAsia="en-US"/>
        </w:rPr>
        <w:t xml:space="preserve">esearch </w:t>
      </w:r>
      <w:r w:rsidR="00AD16C7">
        <w:rPr>
          <w:rFonts w:eastAsiaTheme="minorHAnsi"/>
          <w:lang w:val="en-US" w:eastAsia="en-US"/>
        </w:rPr>
        <w:t>d</w:t>
      </w:r>
      <w:r w:rsidRPr="003B79E1">
        <w:rPr>
          <w:rFonts w:eastAsiaTheme="minorHAnsi"/>
          <w:lang w:val="en-US" w:eastAsia="en-US"/>
        </w:rPr>
        <w:t xml:space="preserve">irections, </w:t>
      </w:r>
      <w:r w:rsidRPr="00C7005B">
        <w:rPr>
          <w:rFonts w:eastAsiaTheme="minorHAnsi"/>
          <w:i/>
          <w:lang w:val="en-US" w:eastAsia="en-US"/>
        </w:rPr>
        <w:t>Trans. ASABE</w:t>
      </w:r>
      <w:r>
        <w:rPr>
          <w:rFonts w:eastAsiaTheme="minorHAnsi"/>
          <w:lang w:val="en-US" w:eastAsia="en-US"/>
        </w:rPr>
        <w:t xml:space="preserve">, </w:t>
      </w:r>
      <w:r w:rsidRPr="00C7005B">
        <w:rPr>
          <w:rFonts w:eastAsiaTheme="minorHAnsi"/>
          <w:b/>
          <w:lang w:val="en-US" w:eastAsia="en-US"/>
        </w:rPr>
        <w:t>50</w:t>
      </w:r>
      <w:r w:rsidRPr="003B79E1">
        <w:rPr>
          <w:rFonts w:eastAsiaTheme="minorHAnsi"/>
          <w:lang w:val="en-US" w:eastAsia="en-US"/>
        </w:rPr>
        <w:t>, 1211-1250.</w:t>
      </w:r>
    </w:p>
    <w:p w:rsidR="004F44E9" w:rsidRDefault="004F44E9" w:rsidP="004F44E9">
      <w:pPr>
        <w:pStyle w:val="References"/>
        <w:spacing w:line="240" w:lineRule="auto"/>
        <w:rPr>
          <w:rFonts w:eastAsiaTheme="minorHAnsi"/>
          <w:lang w:val="en-US" w:eastAsia="en-US"/>
        </w:rPr>
      </w:pPr>
    </w:p>
    <w:p w:rsidR="004F44E9" w:rsidRPr="009051BA" w:rsidRDefault="004F44E9" w:rsidP="004F44E9">
      <w:pPr>
        <w:pStyle w:val="References"/>
        <w:spacing w:line="240" w:lineRule="auto"/>
        <w:rPr>
          <w:rFonts w:eastAsiaTheme="minorHAnsi"/>
          <w:lang w:val="en-US" w:eastAsia="en-US"/>
        </w:rPr>
      </w:pPr>
      <w:r w:rsidRPr="004625D1">
        <w:t>Gramig, B. M., C. J. Ree</w:t>
      </w:r>
      <w:r w:rsidR="00821E44">
        <w:t>ling, R. Cibin, and I. Chaubey 2013</w:t>
      </w:r>
      <w:r w:rsidR="00AD16C7">
        <w:t xml:space="preserve"> Environmental and economic trade-</w:t>
      </w:r>
      <w:r w:rsidR="0050039E">
        <w:t>o</w:t>
      </w:r>
      <w:r w:rsidR="00AD16C7">
        <w:t>ffs in a watershed when using corn stover for b</w:t>
      </w:r>
      <w:r w:rsidRPr="004625D1">
        <w:t xml:space="preserve">ioenergy, </w:t>
      </w:r>
      <w:r>
        <w:rPr>
          <w:i/>
        </w:rPr>
        <w:t>Environ. Sci. Technol.</w:t>
      </w:r>
      <w:r>
        <w:t xml:space="preserve">, </w:t>
      </w:r>
      <w:r w:rsidRPr="00C7005B">
        <w:rPr>
          <w:b/>
        </w:rPr>
        <w:t>47</w:t>
      </w:r>
      <w:r w:rsidRPr="004625D1">
        <w:t>, 1784-1791.</w:t>
      </w:r>
      <w:r w:rsidR="0050039E">
        <w:t xml:space="preserve"> </w:t>
      </w:r>
    </w:p>
    <w:p w:rsidR="004F44E9" w:rsidRDefault="004F44E9" w:rsidP="004F44E9">
      <w:pPr>
        <w:pStyle w:val="References"/>
        <w:spacing w:line="240" w:lineRule="auto"/>
        <w:rPr>
          <w:rFonts w:eastAsiaTheme="minorHAnsi"/>
          <w:lang w:val="en-US" w:eastAsia="en-US"/>
        </w:rPr>
      </w:pPr>
    </w:p>
    <w:p w:rsidR="004F44E9" w:rsidRDefault="004F44E9" w:rsidP="004F44E9">
      <w:pPr>
        <w:pStyle w:val="References"/>
        <w:spacing w:line="240" w:lineRule="auto"/>
        <w:rPr>
          <w:rFonts w:eastAsiaTheme="minorHAnsi"/>
          <w:lang w:val="en-US" w:eastAsia="en-US"/>
        </w:rPr>
      </w:pPr>
      <w:r w:rsidRPr="004625D1">
        <w:rPr>
          <w:rFonts w:eastAsiaTheme="minorHAnsi"/>
          <w:lang w:val="en-US" w:eastAsia="en-US"/>
        </w:rPr>
        <w:t>Graham, R. L</w:t>
      </w:r>
      <w:r w:rsidR="00821E44">
        <w:rPr>
          <w:rFonts w:eastAsiaTheme="minorHAnsi"/>
          <w:lang w:val="en-US" w:eastAsia="en-US"/>
        </w:rPr>
        <w:t>., M. Downing, and M. E. Walsh 1996</w:t>
      </w:r>
      <w:r w:rsidRPr="004625D1">
        <w:rPr>
          <w:rFonts w:eastAsiaTheme="minorHAnsi"/>
          <w:lang w:val="en-US" w:eastAsia="en-US"/>
        </w:rPr>
        <w:t xml:space="preserve"> A </w:t>
      </w:r>
      <w:proofErr w:type="gramStart"/>
      <w:r w:rsidRPr="004625D1">
        <w:rPr>
          <w:rFonts w:eastAsiaTheme="minorHAnsi"/>
          <w:lang w:val="en-US" w:eastAsia="en-US"/>
        </w:rPr>
        <w:t>Framework</w:t>
      </w:r>
      <w:proofErr w:type="gramEnd"/>
      <w:r w:rsidRPr="004625D1">
        <w:rPr>
          <w:rFonts w:eastAsiaTheme="minorHAnsi"/>
          <w:lang w:val="en-US" w:eastAsia="en-US"/>
        </w:rPr>
        <w:t xml:space="preserve"> to </w:t>
      </w:r>
      <w:r w:rsidR="00AD16C7">
        <w:rPr>
          <w:rFonts w:eastAsiaTheme="minorHAnsi"/>
          <w:lang w:val="en-US" w:eastAsia="en-US"/>
        </w:rPr>
        <w:t>a</w:t>
      </w:r>
      <w:r w:rsidRPr="004625D1">
        <w:rPr>
          <w:rFonts w:eastAsiaTheme="minorHAnsi"/>
          <w:lang w:val="en-US" w:eastAsia="en-US"/>
        </w:rPr>
        <w:t xml:space="preserve">ssess </w:t>
      </w:r>
      <w:r w:rsidR="00AD16C7">
        <w:rPr>
          <w:rFonts w:eastAsiaTheme="minorHAnsi"/>
          <w:lang w:val="en-US" w:eastAsia="en-US"/>
        </w:rPr>
        <w:t>regional e</w:t>
      </w:r>
      <w:r w:rsidRPr="004625D1">
        <w:rPr>
          <w:rFonts w:eastAsiaTheme="minorHAnsi"/>
          <w:lang w:val="en-US" w:eastAsia="en-US"/>
        </w:rPr>
        <w:t xml:space="preserve">nvironmental </w:t>
      </w:r>
      <w:r w:rsidR="00AD16C7">
        <w:rPr>
          <w:rFonts w:eastAsiaTheme="minorHAnsi"/>
          <w:lang w:val="en-US" w:eastAsia="en-US"/>
        </w:rPr>
        <w:t>i</w:t>
      </w:r>
      <w:r w:rsidRPr="004625D1">
        <w:rPr>
          <w:rFonts w:eastAsiaTheme="minorHAnsi"/>
          <w:lang w:val="en-US" w:eastAsia="en-US"/>
        </w:rPr>
        <w:t xml:space="preserve">mpacts of </w:t>
      </w:r>
      <w:r w:rsidR="00AD16C7">
        <w:rPr>
          <w:rFonts w:eastAsiaTheme="minorHAnsi"/>
          <w:lang w:val="en-US" w:eastAsia="en-US"/>
        </w:rPr>
        <w:t>d</w:t>
      </w:r>
      <w:r w:rsidRPr="004625D1">
        <w:rPr>
          <w:rFonts w:eastAsiaTheme="minorHAnsi"/>
          <w:lang w:val="en-US" w:eastAsia="en-US"/>
        </w:rPr>
        <w:t xml:space="preserve">edicated </w:t>
      </w:r>
      <w:r w:rsidR="00AD16C7">
        <w:rPr>
          <w:rFonts w:eastAsiaTheme="minorHAnsi"/>
          <w:lang w:val="en-US" w:eastAsia="en-US"/>
        </w:rPr>
        <w:t>e</w:t>
      </w:r>
      <w:r w:rsidRPr="004625D1">
        <w:rPr>
          <w:rFonts w:eastAsiaTheme="minorHAnsi"/>
          <w:lang w:val="en-US" w:eastAsia="en-US"/>
        </w:rPr>
        <w:t xml:space="preserve">nergy </w:t>
      </w:r>
      <w:r w:rsidR="00AD16C7">
        <w:rPr>
          <w:rFonts w:eastAsiaTheme="minorHAnsi"/>
          <w:lang w:val="en-US" w:eastAsia="en-US"/>
        </w:rPr>
        <w:t>c</w:t>
      </w:r>
      <w:r w:rsidRPr="004625D1">
        <w:rPr>
          <w:rFonts w:eastAsiaTheme="minorHAnsi"/>
          <w:lang w:val="en-US" w:eastAsia="en-US"/>
        </w:rPr>
        <w:t xml:space="preserve">rop </w:t>
      </w:r>
      <w:r w:rsidR="00AD16C7">
        <w:rPr>
          <w:rFonts w:eastAsiaTheme="minorHAnsi"/>
          <w:lang w:val="en-US" w:eastAsia="en-US"/>
        </w:rPr>
        <w:t>p</w:t>
      </w:r>
      <w:r w:rsidRPr="004625D1">
        <w:rPr>
          <w:rFonts w:eastAsiaTheme="minorHAnsi"/>
          <w:lang w:val="en-US" w:eastAsia="en-US"/>
        </w:rPr>
        <w:t xml:space="preserve">roduction, </w:t>
      </w:r>
      <w:r w:rsidRPr="00103971">
        <w:rPr>
          <w:rFonts w:eastAsiaTheme="minorHAnsi"/>
          <w:i/>
          <w:lang w:val="en-US" w:eastAsia="en-US"/>
        </w:rPr>
        <w:t xml:space="preserve">Environ. </w:t>
      </w:r>
      <w:proofErr w:type="gramStart"/>
      <w:r w:rsidRPr="00103971">
        <w:rPr>
          <w:rFonts w:eastAsiaTheme="minorHAnsi"/>
          <w:i/>
          <w:lang w:val="en-US" w:eastAsia="en-US"/>
        </w:rPr>
        <w:t>Manage.</w:t>
      </w:r>
      <w:r w:rsidRPr="004625D1">
        <w:rPr>
          <w:rFonts w:eastAsiaTheme="minorHAnsi"/>
          <w:lang w:val="en-US" w:eastAsia="en-US"/>
        </w:rPr>
        <w:t>,</w:t>
      </w:r>
      <w:proofErr w:type="gramEnd"/>
      <w:r w:rsidRPr="004625D1">
        <w:rPr>
          <w:rFonts w:eastAsiaTheme="minorHAnsi"/>
          <w:lang w:val="en-US" w:eastAsia="en-US"/>
        </w:rPr>
        <w:t xml:space="preserve"> </w:t>
      </w:r>
      <w:r w:rsidRPr="00C7005B">
        <w:rPr>
          <w:rFonts w:eastAsiaTheme="minorHAnsi"/>
          <w:b/>
          <w:lang w:val="en-US" w:eastAsia="en-US"/>
        </w:rPr>
        <w:t>20</w:t>
      </w:r>
      <w:r w:rsidRPr="004625D1">
        <w:rPr>
          <w:rFonts w:eastAsiaTheme="minorHAnsi"/>
          <w:lang w:val="en-US" w:eastAsia="en-US"/>
        </w:rPr>
        <w:t>, 475-485.</w:t>
      </w:r>
    </w:p>
    <w:p w:rsidR="002534E8" w:rsidRDefault="002534E8" w:rsidP="004F44E9">
      <w:pPr>
        <w:pStyle w:val="References"/>
        <w:spacing w:line="240" w:lineRule="auto"/>
        <w:rPr>
          <w:rFonts w:eastAsiaTheme="minorHAnsi"/>
          <w:lang w:val="en-US" w:eastAsia="en-US"/>
        </w:rPr>
      </w:pPr>
    </w:p>
    <w:p w:rsidR="004F44E9" w:rsidRPr="004625D1" w:rsidRDefault="0050039E" w:rsidP="002534E8">
      <w:r>
        <w:t>Gutmann</w:t>
      </w:r>
      <w:r w:rsidR="002534E8">
        <w:t xml:space="preserve">, M. P., W. J. Parton, G. Cunfer, and I. C. Burke 2005 Population and </w:t>
      </w:r>
      <w:r w:rsidR="002534E8">
        <w:tab/>
        <w:t xml:space="preserve">environment in the U.S. </w:t>
      </w:r>
      <w:proofErr w:type="gramStart"/>
      <w:r w:rsidR="002534E8">
        <w:t>Great Plains.</w:t>
      </w:r>
      <w:proofErr w:type="gramEnd"/>
      <w:r w:rsidR="002534E8">
        <w:t xml:space="preserve"> In </w:t>
      </w:r>
      <w:r w:rsidR="002534E8">
        <w:rPr>
          <w:i/>
        </w:rPr>
        <w:t xml:space="preserve">Population, Land Use, and </w:t>
      </w:r>
      <w:r w:rsidR="002534E8">
        <w:rPr>
          <w:i/>
        </w:rPr>
        <w:tab/>
        <w:t>Environment: Research Directions</w:t>
      </w:r>
      <w:r w:rsidR="002534E8">
        <w:t>, edited by B. Stern and P. C. Entwisle, 84-</w:t>
      </w:r>
      <w:r w:rsidR="002534E8">
        <w:tab/>
        <w:t xml:space="preserve">105. </w:t>
      </w:r>
      <w:r w:rsidR="005C56F3">
        <w:t xml:space="preserve">National Academies Press, </w:t>
      </w:r>
      <w:r w:rsidR="009C3309">
        <w:t xml:space="preserve">Washington, </w:t>
      </w:r>
      <w:proofErr w:type="gramStart"/>
      <w:r w:rsidR="009C3309">
        <w:t>D.C.</w:t>
      </w:r>
      <w:r w:rsidR="005C56F3">
        <w:t>.</w:t>
      </w:r>
      <w:proofErr w:type="gramEnd"/>
    </w:p>
    <w:p w:rsidR="004F44E9" w:rsidRDefault="004F44E9" w:rsidP="004F44E9">
      <w:pPr>
        <w:pStyle w:val="References"/>
        <w:spacing w:line="240" w:lineRule="auto"/>
      </w:pPr>
      <w:r w:rsidRPr="009051BA">
        <w:t xml:space="preserve">Hertel, T.W., </w:t>
      </w:r>
      <w:r w:rsidR="0050326C">
        <w:t xml:space="preserve">A. A. </w:t>
      </w:r>
      <w:r w:rsidRPr="009051BA">
        <w:t>Golub,</w:t>
      </w:r>
      <w:r w:rsidR="0050326C">
        <w:t xml:space="preserve"> A. D. </w:t>
      </w:r>
      <w:r w:rsidRPr="009051BA">
        <w:t xml:space="preserve">Jones, </w:t>
      </w:r>
      <w:r w:rsidR="0050326C">
        <w:t xml:space="preserve">M. </w:t>
      </w:r>
      <w:r w:rsidRPr="009051BA">
        <w:t xml:space="preserve">O’Hare, </w:t>
      </w:r>
      <w:r w:rsidR="0050326C">
        <w:t xml:space="preserve">R. J. </w:t>
      </w:r>
      <w:r w:rsidRPr="009051BA">
        <w:t>Plevin,</w:t>
      </w:r>
      <w:r w:rsidR="0050326C">
        <w:t xml:space="preserve"> </w:t>
      </w:r>
      <w:r w:rsidR="00AD16C7">
        <w:t>and</w:t>
      </w:r>
      <w:r w:rsidRPr="009051BA">
        <w:t xml:space="preserve"> </w:t>
      </w:r>
      <w:r w:rsidR="00AD16C7">
        <w:t xml:space="preserve">D. M. Kammen, </w:t>
      </w:r>
      <w:r w:rsidRPr="009051BA">
        <w:t>2010 Effects of US maize ethanol on global land use and greenhouse gas emissions:</w:t>
      </w:r>
      <w:r>
        <w:t xml:space="preserve"> </w:t>
      </w:r>
      <w:r w:rsidRPr="009051BA">
        <w:t>estim</w:t>
      </w:r>
      <w:r w:rsidR="007868F4">
        <w:t>ating market-mediated responses,</w:t>
      </w:r>
      <w:r w:rsidRPr="009051BA">
        <w:t xml:space="preserve"> </w:t>
      </w:r>
      <w:r w:rsidRPr="009051BA">
        <w:rPr>
          <w:i/>
        </w:rPr>
        <w:t>Bioscience</w:t>
      </w:r>
      <w:r w:rsidR="007868F4">
        <w:t>,</w:t>
      </w:r>
      <w:r w:rsidRPr="009051BA">
        <w:t xml:space="preserve"> </w:t>
      </w:r>
      <w:r w:rsidRPr="009051BA">
        <w:rPr>
          <w:b/>
        </w:rPr>
        <w:t>60</w:t>
      </w:r>
      <w:r w:rsidRPr="009051BA">
        <w:t>, 223-231.</w:t>
      </w:r>
    </w:p>
    <w:p w:rsidR="004F44E9" w:rsidRDefault="004F44E9" w:rsidP="004F44E9">
      <w:pPr>
        <w:pStyle w:val="References"/>
        <w:spacing w:line="240" w:lineRule="auto"/>
      </w:pPr>
    </w:p>
    <w:p w:rsidR="004F44E9" w:rsidRPr="009051BA" w:rsidRDefault="0050039E" w:rsidP="004F44E9">
      <w:pPr>
        <w:pStyle w:val="References"/>
        <w:spacing w:line="240" w:lineRule="auto"/>
      </w:pPr>
      <w:r>
        <w:t xml:space="preserve">Hudson, J. </w:t>
      </w:r>
      <w:r w:rsidR="00821E44">
        <w:t>2011</w:t>
      </w:r>
      <w:r w:rsidR="001C7579">
        <w:t xml:space="preserve"> </w:t>
      </w:r>
      <w:r w:rsidR="004F44E9">
        <w:t xml:space="preserve">Introduction.  In: </w:t>
      </w:r>
      <w:r w:rsidR="004F44E9" w:rsidRPr="002B1966">
        <w:t>Lavin, S. J.</w:t>
      </w:r>
      <w:r w:rsidR="004F44E9">
        <w:t>, F. M. Shelley, and J. C. Archer</w:t>
      </w:r>
      <w:r w:rsidR="004F44E9" w:rsidRPr="002B1966">
        <w:t xml:space="preserve">, </w:t>
      </w:r>
      <w:r w:rsidR="004F44E9" w:rsidRPr="00524B7F">
        <w:rPr>
          <w:i/>
        </w:rPr>
        <w:t>Atlas of the Great Plains</w:t>
      </w:r>
      <w:r w:rsidR="004F44E9" w:rsidRPr="002B1966">
        <w:t xml:space="preserve">, University of Nebraska </w:t>
      </w:r>
      <w:r w:rsidR="005C56F3">
        <w:t>Press, Lincoln</w:t>
      </w:r>
      <w:r w:rsidR="004F44E9" w:rsidRPr="002B1966">
        <w:t>.</w:t>
      </w:r>
    </w:p>
    <w:p w:rsidR="004F44E9" w:rsidRPr="009051BA" w:rsidRDefault="004F44E9" w:rsidP="004F44E9">
      <w:pPr>
        <w:pStyle w:val="References"/>
        <w:spacing w:line="240" w:lineRule="auto"/>
      </w:pPr>
    </w:p>
    <w:p w:rsidR="004F44E9" w:rsidRDefault="004F44E9" w:rsidP="004F44E9">
      <w:pPr>
        <w:pStyle w:val="References"/>
        <w:spacing w:line="240" w:lineRule="auto"/>
      </w:pPr>
      <w:r w:rsidRPr="009051BA">
        <w:t>Khosla, V. 2008 B</w:t>
      </w:r>
      <w:r w:rsidR="007868F4">
        <w:t>iofuels: Clarifying assumptions,</w:t>
      </w:r>
      <w:r w:rsidRPr="009051BA">
        <w:t xml:space="preserve"> </w:t>
      </w:r>
      <w:r w:rsidRPr="009051BA">
        <w:rPr>
          <w:i/>
        </w:rPr>
        <w:t>Science</w:t>
      </w:r>
      <w:r w:rsidR="007868F4">
        <w:t>,</w:t>
      </w:r>
      <w:r w:rsidRPr="009051BA">
        <w:t xml:space="preserve"> </w:t>
      </w:r>
      <w:r w:rsidRPr="009051BA">
        <w:rPr>
          <w:b/>
        </w:rPr>
        <w:t>322</w:t>
      </w:r>
      <w:r w:rsidRPr="009051BA">
        <w:t>, 371-372.</w:t>
      </w:r>
    </w:p>
    <w:p w:rsidR="004F44E9" w:rsidRDefault="004F44E9" w:rsidP="004F44E9">
      <w:pPr>
        <w:pStyle w:val="References"/>
        <w:spacing w:line="240" w:lineRule="auto"/>
      </w:pPr>
    </w:p>
    <w:p w:rsidR="004F44E9" w:rsidRPr="009051BA" w:rsidRDefault="004F44E9" w:rsidP="004F44E9">
      <w:pPr>
        <w:pStyle w:val="References"/>
        <w:spacing w:line="240" w:lineRule="auto"/>
      </w:pPr>
      <w:r w:rsidRPr="00394775">
        <w:t>Kim, H. K., P. B</w:t>
      </w:r>
      <w:r w:rsidR="00821E44">
        <w:t xml:space="preserve">. Parajuli, and S. D. Filip </w:t>
      </w:r>
      <w:proofErr w:type="gramStart"/>
      <w:r w:rsidR="00821E44">
        <w:t>To</w:t>
      </w:r>
      <w:proofErr w:type="gramEnd"/>
      <w:r w:rsidR="00821E44">
        <w:t xml:space="preserve"> 2013</w:t>
      </w:r>
      <w:r w:rsidRPr="00394775">
        <w:t xml:space="preserve"> Assessing impacts of bioenergy crops and climate change on hydrometeorology in the Yazoo River Basin, Mississippi, </w:t>
      </w:r>
      <w:r>
        <w:rPr>
          <w:i/>
        </w:rPr>
        <w:t xml:space="preserve">Agr. Forest </w:t>
      </w:r>
      <w:proofErr w:type="gramStart"/>
      <w:r>
        <w:rPr>
          <w:i/>
        </w:rPr>
        <w:t>Meteorol.</w:t>
      </w:r>
      <w:r w:rsidRPr="00394775">
        <w:t>,</w:t>
      </w:r>
      <w:proofErr w:type="gramEnd"/>
      <w:r w:rsidRPr="00394775">
        <w:t xml:space="preserve"> </w:t>
      </w:r>
      <w:r w:rsidRPr="00394775">
        <w:rPr>
          <w:b/>
        </w:rPr>
        <w:t>169</w:t>
      </w:r>
      <w:r w:rsidRPr="00394775">
        <w:t>, 61-73.</w:t>
      </w:r>
    </w:p>
    <w:p w:rsidR="004F44E9" w:rsidRPr="009051BA" w:rsidRDefault="004F44E9" w:rsidP="004F44E9">
      <w:pPr>
        <w:pStyle w:val="References"/>
        <w:spacing w:line="240" w:lineRule="auto"/>
      </w:pPr>
    </w:p>
    <w:p w:rsidR="004F44E9" w:rsidRDefault="004F44E9" w:rsidP="004F44E9">
      <w:pPr>
        <w:pStyle w:val="References"/>
        <w:spacing w:line="240" w:lineRule="auto"/>
      </w:pPr>
      <w:r w:rsidRPr="009051BA">
        <w:lastRenderedPageBreak/>
        <w:t>L</w:t>
      </w:r>
      <w:r w:rsidR="00821E44">
        <w:t>ambin, E. F., and P. Meyfroidt 2011</w:t>
      </w:r>
      <w:r w:rsidRPr="009051BA">
        <w:t xml:space="preserve"> Global land use change, economic globalization, and the looming land scarcity, </w:t>
      </w:r>
      <w:r w:rsidRPr="00103971">
        <w:rPr>
          <w:i/>
        </w:rPr>
        <w:t>P. Natl. Acad. Sci. USA</w:t>
      </w:r>
      <w:r w:rsidR="007868F4">
        <w:t>,</w:t>
      </w:r>
      <w:r w:rsidRPr="009051BA">
        <w:t xml:space="preserve"> </w:t>
      </w:r>
      <w:r w:rsidRPr="009051BA">
        <w:rPr>
          <w:b/>
        </w:rPr>
        <w:t>108</w:t>
      </w:r>
      <w:r w:rsidRPr="009051BA">
        <w:t>, 3465-3472.</w:t>
      </w:r>
    </w:p>
    <w:p w:rsidR="004F44E9" w:rsidRDefault="004F44E9" w:rsidP="004F44E9">
      <w:pPr>
        <w:pStyle w:val="References"/>
        <w:spacing w:line="240" w:lineRule="auto"/>
      </w:pPr>
    </w:p>
    <w:p w:rsidR="004F44E9" w:rsidRPr="009051BA" w:rsidRDefault="004F44E9" w:rsidP="004F44E9">
      <w:pPr>
        <w:pStyle w:val="References"/>
        <w:spacing w:line="240" w:lineRule="auto"/>
      </w:pPr>
      <w:proofErr w:type="gramStart"/>
      <w:r w:rsidRPr="002B1966">
        <w:t>Lavin, S. J.</w:t>
      </w:r>
      <w:r>
        <w:t>, F. M. Shelley, and J. C. Archer</w:t>
      </w:r>
      <w:r w:rsidR="00821E44">
        <w:t xml:space="preserve"> 2011</w:t>
      </w:r>
      <w:r w:rsidRPr="002B1966">
        <w:t xml:space="preserve"> </w:t>
      </w:r>
      <w:r w:rsidRPr="00524B7F">
        <w:rPr>
          <w:i/>
        </w:rPr>
        <w:t>Atlas of the Great Plains</w:t>
      </w:r>
      <w:r w:rsidRPr="002B1966">
        <w:t>, University</w:t>
      </w:r>
      <w:r w:rsidR="005C56F3">
        <w:t xml:space="preserve"> of Nebraska Press, Lincoln</w:t>
      </w:r>
      <w:r w:rsidR="007C477E">
        <w:t>.</w:t>
      </w:r>
      <w:proofErr w:type="gramEnd"/>
    </w:p>
    <w:p w:rsidR="004750FF" w:rsidRDefault="00A539DD" w:rsidP="004F44E9">
      <w:pPr>
        <w:pStyle w:val="References"/>
        <w:spacing w:line="240" w:lineRule="auto"/>
      </w:pPr>
      <w:r>
        <w:t>Mitchell, D. 2008</w:t>
      </w:r>
      <w:r w:rsidR="00821E44">
        <w:t xml:space="preserve"> </w:t>
      </w:r>
      <w:proofErr w:type="gramStart"/>
      <w:r w:rsidR="00821E44" w:rsidRPr="00C32A4E">
        <w:rPr>
          <w:i/>
        </w:rPr>
        <w:t>A</w:t>
      </w:r>
      <w:proofErr w:type="gramEnd"/>
      <w:r w:rsidR="00821E44" w:rsidRPr="00C32A4E">
        <w:rPr>
          <w:i/>
        </w:rPr>
        <w:t xml:space="preserve"> Note On Rising Food Prices</w:t>
      </w:r>
      <w:r w:rsidR="00821E44">
        <w:t xml:space="preserve">.  </w:t>
      </w:r>
      <w:proofErr w:type="gramStart"/>
      <w:r w:rsidR="00821E44">
        <w:t>World Bank Development Prospects Group Policy Working Paper 4682.</w:t>
      </w:r>
      <w:proofErr w:type="gramEnd"/>
      <w:r w:rsidR="00821E44">
        <w:t xml:space="preserve">  </w:t>
      </w:r>
      <w:r w:rsidR="0050326C">
        <w:t>Policy research working paper</w:t>
      </w:r>
      <w:r w:rsidR="004F44E9" w:rsidRPr="009051BA">
        <w:t xml:space="preserve"> 4682; </w:t>
      </w:r>
      <w:r w:rsidR="009C3309">
        <w:t xml:space="preserve">Washington, </w:t>
      </w:r>
      <w:proofErr w:type="gramStart"/>
      <w:r w:rsidR="009C3309">
        <w:t>D.C.</w:t>
      </w:r>
      <w:r w:rsidR="00821E44">
        <w:t>.</w:t>
      </w:r>
      <w:proofErr w:type="gramEnd"/>
    </w:p>
    <w:p w:rsidR="001C7579" w:rsidRPr="009051BA" w:rsidRDefault="001C7579" w:rsidP="004F44E9">
      <w:pPr>
        <w:pStyle w:val="References"/>
        <w:spacing w:line="240" w:lineRule="auto"/>
      </w:pPr>
    </w:p>
    <w:p w:rsidR="004F44E9" w:rsidRDefault="004F44E9" w:rsidP="004F44E9">
      <w:pPr>
        <w:pStyle w:val="References"/>
        <w:spacing w:line="240" w:lineRule="auto"/>
      </w:pPr>
      <w:r w:rsidRPr="00C7005B">
        <w:t>Mitchell, R., L. Wallace, W. Wilh</w:t>
      </w:r>
      <w:r w:rsidR="00821E44">
        <w:t>elm, G. Varvel, and B. Wienold 2010</w:t>
      </w:r>
      <w:r w:rsidRPr="00C7005B">
        <w:t xml:space="preserve"> </w:t>
      </w:r>
      <w:r w:rsidRPr="004750FF">
        <w:rPr>
          <w:i/>
        </w:rPr>
        <w:t xml:space="preserve">Grasslands, </w:t>
      </w:r>
      <w:r w:rsidR="007868F4">
        <w:rPr>
          <w:i/>
        </w:rPr>
        <w:t>R</w:t>
      </w:r>
      <w:r w:rsidRPr="004750FF">
        <w:rPr>
          <w:i/>
        </w:rPr>
        <w:t xml:space="preserve">angelands, and </w:t>
      </w:r>
      <w:r w:rsidR="007868F4">
        <w:rPr>
          <w:i/>
        </w:rPr>
        <w:t>A</w:t>
      </w:r>
      <w:r w:rsidRPr="004750FF">
        <w:rPr>
          <w:i/>
        </w:rPr>
        <w:t xml:space="preserve">gricultural </w:t>
      </w:r>
      <w:r w:rsidR="007868F4">
        <w:rPr>
          <w:i/>
        </w:rPr>
        <w:t>S</w:t>
      </w:r>
      <w:r w:rsidRPr="004750FF">
        <w:rPr>
          <w:i/>
        </w:rPr>
        <w:t>ystems</w:t>
      </w:r>
      <w:r>
        <w:t xml:space="preserve">.  </w:t>
      </w:r>
      <w:r w:rsidRPr="00C7005B">
        <w:t>Ecological So</w:t>
      </w:r>
      <w:r w:rsidR="005C56F3">
        <w:t xml:space="preserve">ciety of America, </w:t>
      </w:r>
      <w:r w:rsidR="009C3309">
        <w:t xml:space="preserve">Washington, </w:t>
      </w:r>
      <w:proofErr w:type="gramStart"/>
      <w:r w:rsidR="009C3309">
        <w:t>D.C.</w:t>
      </w:r>
      <w:r w:rsidRPr="00C7005B">
        <w:t>.</w:t>
      </w:r>
      <w:proofErr w:type="gramEnd"/>
    </w:p>
    <w:p w:rsidR="004F44E9" w:rsidRPr="009051BA" w:rsidRDefault="004F44E9" w:rsidP="004F44E9">
      <w:pPr>
        <w:pStyle w:val="References"/>
        <w:spacing w:line="240" w:lineRule="auto"/>
      </w:pPr>
    </w:p>
    <w:p w:rsidR="004F44E9" w:rsidRDefault="004D157D" w:rsidP="004F44E9">
      <w:pPr>
        <w:rPr>
          <w:rFonts w:cs="Times New Roman"/>
        </w:rPr>
      </w:pPr>
      <w:proofErr w:type="gramStart"/>
      <w:r>
        <w:rPr>
          <w:rFonts w:cs="Times New Roman"/>
        </w:rPr>
        <w:t xml:space="preserve">Nelson, R.G., J. C. </w:t>
      </w:r>
      <w:r w:rsidR="004F44E9" w:rsidRPr="009051BA">
        <w:rPr>
          <w:rFonts w:cs="Times New Roman"/>
        </w:rPr>
        <w:t>Ascough</w:t>
      </w:r>
      <w:r>
        <w:rPr>
          <w:rFonts w:cs="Times New Roman"/>
        </w:rPr>
        <w:t xml:space="preserve">, and M. R. </w:t>
      </w:r>
      <w:r w:rsidR="004F44E9" w:rsidRPr="009051BA">
        <w:rPr>
          <w:rFonts w:cs="Times New Roman"/>
        </w:rPr>
        <w:t>Langemeier</w:t>
      </w:r>
      <w:r>
        <w:rPr>
          <w:rFonts w:cs="Times New Roman"/>
        </w:rPr>
        <w:t xml:space="preserve"> </w:t>
      </w:r>
      <w:r w:rsidR="004F44E9" w:rsidRPr="009051BA">
        <w:rPr>
          <w:rFonts w:cs="Times New Roman"/>
        </w:rPr>
        <w:t xml:space="preserve">2006 Environmental and </w:t>
      </w:r>
      <w:r w:rsidR="004750FF">
        <w:rPr>
          <w:rFonts w:cs="Times New Roman"/>
        </w:rPr>
        <w:tab/>
      </w:r>
      <w:r w:rsidR="004F44E9" w:rsidRPr="009051BA">
        <w:rPr>
          <w:rFonts w:cs="Times New Roman"/>
        </w:rPr>
        <w:t xml:space="preserve">economic </w:t>
      </w:r>
      <w:r w:rsidR="004F44E9">
        <w:rPr>
          <w:rFonts w:cs="Times New Roman"/>
        </w:rPr>
        <w:t>a</w:t>
      </w:r>
      <w:r w:rsidR="004F44E9" w:rsidRPr="009051BA">
        <w:rPr>
          <w:rFonts w:cs="Times New Roman"/>
        </w:rPr>
        <w:t xml:space="preserve">nalysis of switchgrass production for water quality improvement in </w:t>
      </w:r>
      <w:r w:rsidR="004750FF">
        <w:rPr>
          <w:rFonts w:cs="Times New Roman"/>
        </w:rPr>
        <w:tab/>
      </w:r>
      <w:r w:rsidR="00AD16C7">
        <w:rPr>
          <w:rFonts w:cs="Times New Roman"/>
        </w:rPr>
        <w:t>Northeast Kansas,</w:t>
      </w:r>
      <w:r w:rsidR="004F44E9" w:rsidRPr="009051BA">
        <w:rPr>
          <w:rFonts w:cs="Times New Roman"/>
        </w:rPr>
        <w:t xml:space="preserve"> </w:t>
      </w:r>
      <w:r w:rsidR="004F44E9" w:rsidRPr="009051BA">
        <w:rPr>
          <w:rFonts w:cs="Times New Roman"/>
          <w:i/>
        </w:rPr>
        <w:t>J. Environ.</w:t>
      </w:r>
      <w:proofErr w:type="gramEnd"/>
      <w:r w:rsidR="004F44E9" w:rsidRPr="009051BA">
        <w:rPr>
          <w:rFonts w:cs="Times New Roman"/>
          <w:i/>
        </w:rPr>
        <w:t xml:space="preserve"> Manage.</w:t>
      </w:r>
      <w:r w:rsidR="004F44E9" w:rsidRPr="009051BA">
        <w:rPr>
          <w:rFonts w:cs="Times New Roman"/>
        </w:rPr>
        <w:t xml:space="preserve"> </w:t>
      </w:r>
      <w:r w:rsidR="004F44E9" w:rsidRPr="009051BA">
        <w:rPr>
          <w:rFonts w:cs="Times New Roman"/>
          <w:b/>
        </w:rPr>
        <w:t>79,</w:t>
      </w:r>
      <w:r w:rsidR="004F44E9" w:rsidRPr="009051BA">
        <w:rPr>
          <w:rFonts w:cs="Times New Roman"/>
        </w:rPr>
        <w:t xml:space="preserve"> 336-347.</w:t>
      </w:r>
    </w:p>
    <w:p w:rsidR="004F44E9" w:rsidRPr="009051BA" w:rsidRDefault="004F44E9" w:rsidP="004F44E9">
      <w:pPr>
        <w:rPr>
          <w:rFonts w:cs="Times New Roman"/>
        </w:rPr>
      </w:pPr>
      <w:r w:rsidRPr="00A4328F">
        <w:rPr>
          <w:rFonts w:cs="Times New Roman"/>
        </w:rPr>
        <w:t>Ng, T. L., J. W. Eheart, X. Cai, and F.</w:t>
      </w:r>
      <w:r w:rsidR="00821E44">
        <w:rPr>
          <w:rFonts w:cs="Times New Roman"/>
        </w:rPr>
        <w:t xml:space="preserve"> Miguez 2010</w:t>
      </w:r>
      <w:r w:rsidRPr="00A4328F">
        <w:rPr>
          <w:rFonts w:cs="Times New Roman"/>
        </w:rPr>
        <w:t xml:space="preserve"> Modeling </w:t>
      </w:r>
      <w:r w:rsidR="00AD16C7">
        <w:rPr>
          <w:rFonts w:cs="Times New Roman"/>
        </w:rPr>
        <w:t>m</w:t>
      </w:r>
      <w:r w:rsidRPr="00A4328F">
        <w:rPr>
          <w:rFonts w:cs="Times New Roman"/>
        </w:rPr>
        <w:t xml:space="preserve">iscanthus in the Soil </w:t>
      </w:r>
      <w:r w:rsidR="007868F4">
        <w:rPr>
          <w:rFonts w:cs="Times New Roman"/>
        </w:rPr>
        <w:tab/>
      </w:r>
      <w:r w:rsidRPr="00A4328F">
        <w:rPr>
          <w:rFonts w:cs="Times New Roman"/>
        </w:rPr>
        <w:t xml:space="preserve">and Water Assessment Tool, </w:t>
      </w:r>
      <w:r w:rsidRPr="00103971">
        <w:rPr>
          <w:rFonts w:cs="Times New Roman"/>
          <w:i/>
        </w:rPr>
        <w:t>Environ. Sci. Technol.</w:t>
      </w:r>
      <w:r>
        <w:rPr>
          <w:rFonts w:cs="Times New Roman"/>
        </w:rPr>
        <w:t xml:space="preserve">, </w:t>
      </w:r>
      <w:r w:rsidRPr="00C7005B">
        <w:rPr>
          <w:rFonts w:cs="Times New Roman"/>
          <w:b/>
        </w:rPr>
        <w:t>44</w:t>
      </w:r>
      <w:r>
        <w:rPr>
          <w:rFonts w:cs="Times New Roman"/>
        </w:rPr>
        <w:t>, 7138–7144.</w:t>
      </w:r>
    </w:p>
    <w:p w:rsidR="004F44E9" w:rsidRDefault="004F44E9" w:rsidP="004F44E9">
      <w:pPr>
        <w:rPr>
          <w:rFonts w:cs="Times New Roman"/>
        </w:rPr>
      </w:pPr>
      <w:r w:rsidRPr="009051BA">
        <w:rPr>
          <w:rFonts w:cs="Times New Roman"/>
        </w:rPr>
        <w:t xml:space="preserve">Nyakatawa, E.Z., </w:t>
      </w:r>
      <w:r w:rsidR="008F37C3">
        <w:rPr>
          <w:rFonts w:cs="Times New Roman"/>
        </w:rPr>
        <w:t>D. A. Mays, V. R.</w:t>
      </w:r>
      <w:r w:rsidR="00AD16C7">
        <w:rPr>
          <w:rFonts w:cs="Times New Roman"/>
        </w:rPr>
        <w:t xml:space="preserve"> Tolbert, </w:t>
      </w:r>
      <w:r w:rsidR="008F37C3">
        <w:rPr>
          <w:rFonts w:cs="Times New Roman"/>
        </w:rPr>
        <w:t xml:space="preserve">T. H. </w:t>
      </w:r>
      <w:r w:rsidR="00AD16C7">
        <w:rPr>
          <w:rFonts w:cs="Times New Roman"/>
        </w:rPr>
        <w:t>Green, and L.</w:t>
      </w:r>
      <w:r w:rsidRPr="009051BA">
        <w:rPr>
          <w:rFonts w:cs="Times New Roman"/>
        </w:rPr>
        <w:t xml:space="preserve"> Bingham 2006 </w:t>
      </w:r>
      <w:r w:rsidR="004750FF">
        <w:rPr>
          <w:rFonts w:cs="Times New Roman"/>
        </w:rPr>
        <w:tab/>
      </w:r>
      <w:r w:rsidRPr="009051BA">
        <w:rPr>
          <w:rFonts w:cs="Times New Roman"/>
        </w:rPr>
        <w:t xml:space="preserve">Runoff, sediment, nitrogen, and phosphorus losses from agricultural land </w:t>
      </w:r>
      <w:r w:rsidR="004750FF">
        <w:rPr>
          <w:rFonts w:cs="Times New Roman"/>
        </w:rPr>
        <w:tab/>
      </w:r>
      <w:r w:rsidRPr="009051BA">
        <w:rPr>
          <w:rFonts w:cs="Times New Roman"/>
        </w:rPr>
        <w:t>converted to sweetgum and switchgrass bioenergy feedsto</w:t>
      </w:r>
      <w:r w:rsidR="000B4436">
        <w:rPr>
          <w:rFonts w:cs="Times New Roman"/>
        </w:rPr>
        <w:t xml:space="preserve">ck production in </w:t>
      </w:r>
      <w:r w:rsidR="000B4436">
        <w:rPr>
          <w:rFonts w:cs="Times New Roman"/>
        </w:rPr>
        <w:tab/>
        <w:t>N</w:t>
      </w:r>
      <w:r w:rsidR="007868F4">
        <w:rPr>
          <w:rFonts w:cs="Times New Roman"/>
        </w:rPr>
        <w:t>orth Alabama,</w:t>
      </w:r>
      <w:r w:rsidR="004750FF">
        <w:rPr>
          <w:rFonts w:cs="Times New Roman"/>
        </w:rPr>
        <w:t xml:space="preserve"> </w:t>
      </w:r>
      <w:r w:rsidRPr="009051BA">
        <w:rPr>
          <w:rFonts w:cs="Times New Roman"/>
          <w:i/>
        </w:rPr>
        <w:t xml:space="preserve">Biomass Bioenerg. </w:t>
      </w:r>
      <w:r w:rsidRPr="009051BA">
        <w:rPr>
          <w:rFonts w:cs="Times New Roman"/>
          <w:b/>
        </w:rPr>
        <w:t>30</w:t>
      </w:r>
      <w:r w:rsidRPr="009051BA">
        <w:rPr>
          <w:rFonts w:cs="Times New Roman"/>
        </w:rPr>
        <w:t xml:space="preserve">, 655-664. </w:t>
      </w:r>
    </w:p>
    <w:p w:rsidR="004F44E9" w:rsidRPr="007868F4" w:rsidRDefault="004F44E9" w:rsidP="007868F4">
      <w:pPr>
        <w:rPr>
          <w:rFonts w:cs="Times New Roman"/>
          <w:i/>
        </w:rPr>
      </w:pPr>
      <w:proofErr w:type="gramStart"/>
      <w:r w:rsidRPr="009051BA">
        <w:rPr>
          <w:rFonts w:cs="Times New Roman"/>
        </w:rPr>
        <w:t>Parrish, D.J.</w:t>
      </w:r>
      <w:r w:rsidR="00AD16C7">
        <w:rPr>
          <w:rFonts w:cs="Times New Roman"/>
        </w:rPr>
        <w:t>,</w:t>
      </w:r>
      <w:r w:rsidRPr="009051BA">
        <w:rPr>
          <w:rFonts w:cs="Times New Roman"/>
        </w:rPr>
        <w:t xml:space="preserve"> </w:t>
      </w:r>
      <w:r w:rsidR="00AD16C7">
        <w:rPr>
          <w:rFonts w:cs="Times New Roman"/>
        </w:rPr>
        <w:t>and</w:t>
      </w:r>
      <w:r w:rsidRPr="009051BA">
        <w:rPr>
          <w:rFonts w:cs="Times New Roman"/>
        </w:rPr>
        <w:t xml:space="preserve"> </w:t>
      </w:r>
      <w:r w:rsidR="00AD16C7">
        <w:rPr>
          <w:rFonts w:cs="Times New Roman"/>
        </w:rPr>
        <w:t xml:space="preserve">J. H. </w:t>
      </w:r>
      <w:r w:rsidRPr="009051BA">
        <w:rPr>
          <w:rFonts w:cs="Times New Roman"/>
        </w:rPr>
        <w:t xml:space="preserve">Fike 2005 The </w:t>
      </w:r>
      <w:r w:rsidR="00AD16C7">
        <w:rPr>
          <w:rFonts w:cs="Times New Roman"/>
        </w:rPr>
        <w:t>B</w:t>
      </w:r>
      <w:r w:rsidRPr="009051BA">
        <w:rPr>
          <w:rFonts w:cs="Times New Roman"/>
        </w:rPr>
        <w:t xml:space="preserve">iology and agronomy of switchgrass for </w:t>
      </w:r>
      <w:r w:rsidR="004750FF">
        <w:rPr>
          <w:rFonts w:cs="Times New Roman"/>
        </w:rPr>
        <w:tab/>
      </w:r>
      <w:r w:rsidR="007868F4">
        <w:rPr>
          <w:rFonts w:cs="Times New Roman"/>
        </w:rPr>
        <w:t>biofuels,</w:t>
      </w:r>
      <w:r w:rsidRPr="009051BA">
        <w:rPr>
          <w:rFonts w:cs="Times New Roman"/>
        </w:rPr>
        <w:t xml:space="preserve"> </w:t>
      </w:r>
      <w:r w:rsidRPr="009051BA">
        <w:rPr>
          <w:rFonts w:cs="Times New Roman"/>
          <w:i/>
        </w:rPr>
        <w:t xml:space="preserve">Crit. Rev. Plant Sci. </w:t>
      </w:r>
      <w:r w:rsidRPr="009051BA">
        <w:rPr>
          <w:rFonts w:cs="Times New Roman"/>
          <w:b/>
        </w:rPr>
        <w:t>24</w:t>
      </w:r>
      <w:r w:rsidRPr="009051BA">
        <w:rPr>
          <w:rFonts w:cs="Times New Roman"/>
        </w:rPr>
        <w:t>, 423-459.</w:t>
      </w:r>
      <w:proofErr w:type="gramEnd"/>
    </w:p>
    <w:p w:rsidR="004F44E9" w:rsidRDefault="004F44E9" w:rsidP="004F44E9">
      <w:pPr>
        <w:pStyle w:val="References"/>
        <w:spacing w:line="240" w:lineRule="auto"/>
      </w:pPr>
      <w:r w:rsidRPr="00C411A3">
        <w:t>Parton, W. J</w:t>
      </w:r>
      <w:r w:rsidR="00821E44">
        <w:t xml:space="preserve">., M. P. </w:t>
      </w:r>
      <w:r w:rsidR="0050039E">
        <w:t>Gutmann</w:t>
      </w:r>
      <w:r w:rsidR="00821E44">
        <w:t>, and D. Ojima 2007</w:t>
      </w:r>
      <w:r w:rsidRPr="00C411A3">
        <w:t xml:space="preserve"> Long-term trends in population, farm income, and crop production in the </w:t>
      </w:r>
      <w:r w:rsidR="00AD16C7">
        <w:t>G</w:t>
      </w:r>
      <w:r w:rsidRPr="00C411A3">
        <w:t xml:space="preserve">reat </w:t>
      </w:r>
      <w:r w:rsidR="00AD16C7">
        <w:t>P</w:t>
      </w:r>
      <w:r w:rsidRPr="00C411A3">
        <w:t xml:space="preserve">lains, </w:t>
      </w:r>
      <w:r w:rsidRPr="00C411A3">
        <w:rPr>
          <w:i/>
        </w:rPr>
        <w:t>Bioscience</w:t>
      </w:r>
      <w:r>
        <w:t xml:space="preserve">, </w:t>
      </w:r>
      <w:r w:rsidRPr="00C411A3">
        <w:rPr>
          <w:b/>
        </w:rPr>
        <w:t>57</w:t>
      </w:r>
      <w:r w:rsidRPr="00C411A3">
        <w:t>, 737-747.</w:t>
      </w:r>
    </w:p>
    <w:p w:rsidR="007868F4" w:rsidRDefault="007868F4" w:rsidP="004F44E9">
      <w:pPr>
        <w:pStyle w:val="References"/>
        <w:spacing w:line="240" w:lineRule="auto"/>
      </w:pPr>
    </w:p>
    <w:p w:rsidR="007868F4" w:rsidRDefault="007868F4" w:rsidP="007868F4">
      <w:pPr>
        <w:pStyle w:val="References"/>
        <w:spacing w:line="240" w:lineRule="auto"/>
      </w:pPr>
      <w:r w:rsidRPr="009051BA">
        <w:t>Plevin, R. J., M. O’Hare, A. D. Jone</w:t>
      </w:r>
      <w:r>
        <w:t>s, M. S. Torn, and H. K. Gibbs 2010</w:t>
      </w:r>
      <w:r w:rsidRPr="009051BA">
        <w:t xml:space="preserve"> Greenhouse </w:t>
      </w:r>
      <w:r w:rsidR="00AD16C7">
        <w:t>g</w:t>
      </w:r>
      <w:r w:rsidRPr="009051BA">
        <w:t xml:space="preserve">as </w:t>
      </w:r>
      <w:r w:rsidR="00AD16C7">
        <w:t>e</w:t>
      </w:r>
      <w:r w:rsidRPr="009051BA">
        <w:t xml:space="preserve">missions from </w:t>
      </w:r>
      <w:r w:rsidR="00AD16C7">
        <w:t>b</w:t>
      </w:r>
      <w:r w:rsidRPr="009051BA">
        <w:t xml:space="preserve">iofuels’ </w:t>
      </w:r>
      <w:r w:rsidR="00AD16C7">
        <w:t>i</w:t>
      </w:r>
      <w:r w:rsidRPr="009051BA">
        <w:t xml:space="preserve">ndirect </w:t>
      </w:r>
      <w:r w:rsidR="00AD16C7">
        <w:t>l</w:t>
      </w:r>
      <w:r w:rsidRPr="009051BA">
        <w:t xml:space="preserve">and </w:t>
      </w:r>
      <w:r w:rsidR="00AD16C7">
        <w:t>u</w:t>
      </w:r>
      <w:r w:rsidRPr="009051BA">
        <w:t xml:space="preserve">se </w:t>
      </w:r>
      <w:r w:rsidR="00AD16C7">
        <w:t>c</w:t>
      </w:r>
      <w:r w:rsidRPr="009051BA">
        <w:t xml:space="preserve">hange </w:t>
      </w:r>
      <w:r w:rsidR="00AD16C7">
        <w:t>a</w:t>
      </w:r>
      <w:r w:rsidRPr="009051BA">
        <w:t xml:space="preserve">re </w:t>
      </w:r>
      <w:r w:rsidR="00AD16C7">
        <w:t>u</w:t>
      </w:r>
      <w:r w:rsidRPr="009051BA">
        <w:t xml:space="preserve">ncertain but </w:t>
      </w:r>
      <w:r w:rsidR="00AD16C7">
        <w:t>m</w:t>
      </w:r>
      <w:r w:rsidRPr="009051BA">
        <w:t xml:space="preserve">ay </w:t>
      </w:r>
      <w:r w:rsidR="00AD16C7">
        <w:t>b</w:t>
      </w:r>
      <w:r w:rsidRPr="009051BA">
        <w:t xml:space="preserve">e </w:t>
      </w:r>
      <w:r w:rsidR="00AD16C7">
        <w:t>m</w:t>
      </w:r>
      <w:r w:rsidRPr="009051BA">
        <w:t xml:space="preserve">uch </w:t>
      </w:r>
      <w:r w:rsidR="00AD16C7">
        <w:t>g</w:t>
      </w:r>
      <w:r w:rsidRPr="009051BA">
        <w:t xml:space="preserve">reater than </w:t>
      </w:r>
      <w:r w:rsidR="00AD16C7">
        <w:t>p</w:t>
      </w:r>
      <w:r w:rsidRPr="009051BA">
        <w:t xml:space="preserve">reviously </w:t>
      </w:r>
      <w:r w:rsidR="00AD16C7">
        <w:t>e</w:t>
      </w:r>
      <w:r w:rsidRPr="009051BA">
        <w:t xml:space="preserve">stimated, </w:t>
      </w:r>
      <w:r w:rsidRPr="009051BA">
        <w:rPr>
          <w:i/>
        </w:rPr>
        <w:t>Environ. Sci. Technol.</w:t>
      </w:r>
      <w:r w:rsidRPr="009051BA">
        <w:t xml:space="preserve">, </w:t>
      </w:r>
      <w:r w:rsidRPr="009051BA">
        <w:rPr>
          <w:b/>
        </w:rPr>
        <w:t>44</w:t>
      </w:r>
      <w:r w:rsidRPr="009051BA">
        <w:t>, 8015-8021.</w:t>
      </w:r>
    </w:p>
    <w:p w:rsidR="002534E8" w:rsidRDefault="002534E8" w:rsidP="007868F4">
      <w:pPr>
        <w:pStyle w:val="References"/>
        <w:spacing w:line="240" w:lineRule="auto"/>
      </w:pPr>
    </w:p>
    <w:p w:rsidR="007C477E" w:rsidRPr="00316330" w:rsidRDefault="007C477E" w:rsidP="007C477E">
      <w:pPr>
        <w:rPr>
          <w:rFonts w:cs="Times New Roman"/>
        </w:rPr>
      </w:pPr>
      <w:r w:rsidRPr="00316330">
        <w:rPr>
          <w:rFonts w:cs="Times New Roman"/>
        </w:rPr>
        <w:t>P</w:t>
      </w:r>
      <w:r>
        <w:rPr>
          <w:rFonts w:cs="Times New Roman"/>
        </w:rPr>
        <w:t>opper, D. E., and F. J. Popper 1987</w:t>
      </w:r>
      <w:r w:rsidRPr="00316330">
        <w:rPr>
          <w:rFonts w:cs="Times New Roman"/>
        </w:rPr>
        <w:t xml:space="preserve"> Great Plains: From </w:t>
      </w:r>
      <w:r>
        <w:rPr>
          <w:rFonts w:cs="Times New Roman"/>
        </w:rPr>
        <w:t>d</w:t>
      </w:r>
      <w:r w:rsidRPr="00316330">
        <w:rPr>
          <w:rFonts w:cs="Times New Roman"/>
        </w:rPr>
        <w:t xml:space="preserve">ust to </w:t>
      </w:r>
      <w:r>
        <w:rPr>
          <w:rFonts w:cs="Times New Roman"/>
        </w:rPr>
        <w:t>d</w:t>
      </w:r>
      <w:r w:rsidRPr="00316330">
        <w:rPr>
          <w:rFonts w:cs="Times New Roman"/>
        </w:rPr>
        <w:t xml:space="preserve">ust, </w:t>
      </w:r>
      <w:r w:rsidRPr="00316330">
        <w:rPr>
          <w:rFonts w:cs="Times New Roman"/>
          <w:i/>
        </w:rPr>
        <w:t>Planning</w:t>
      </w:r>
      <w:r>
        <w:rPr>
          <w:rFonts w:cs="Times New Roman"/>
        </w:rPr>
        <w:t xml:space="preserve"> </w:t>
      </w:r>
      <w:r w:rsidRPr="00117712">
        <w:rPr>
          <w:rFonts w:cs="Times New Roman"/>
          <w:b/>
        </w:rPr>
        <w:t>53</w:t>
      </w:r>
      <w:r w:rsidRPr="00316330">
        <w:rPr>
          <w:rFonts w:cs="Times New Roman"/>
        </w:rPr>
        <w:t>, 12-</w:t>
      </w:r>
      <w:r>
        <w:rPr>
          <w:rFonts w:cs="Times New Roman"/>
        </w:rPr>
        <w:tab/>
      </w:r>
      <w:r w:rsidRPr="00316330">
        <w:rPr>
          <w:rFonts w:cs="Times New Roman"/>
        </w:rPr>
        <w:t>18.</w:t>
      </w:r>
    </w:p>
    <w:p w:rsidR="004F44E9" w:rsidRDefault="00821E44" w:rsidP="004F44E9">
      <w:pPr>
        <w:pStyle w:val="References"/>
        <w:spacing w:line="240" w:lineRule="auto"/>
      </w:pPr>
      <w:r>
        <w:t>Porter, C. 1966</w:t>
      </w:r>
      <w:r w:rsidR="004F44E9">
        <w:t xml:space="preserve"> An Analysis of variation between upland and lowland switchgrass, </w:t>
      </w:r>
      <w:r w:rsidR="004F44E9" w:rsidRPr="001473C5">
        <w:rPr>
          <w:i/>
        </w:rPr>
        <w:t>Ecology</w:t>
      </w:r>
      <w:r w:rsidR="004F44E9">
        <w:t xml:space="preserve">, </w:t>
      </w:r>
      <w:r w:rsidR="004F44E9" w:rsidRPr="00C7005B">
        <w:rPr>
          <w:b/>
        </w:rPr>
        <w:t>47</w:t>
      </w:r>
      <w:r w:rsidR="004F44E9">
        <w:t>, 980-992.</w:t>
      </w:r>
    </w:p>
    <w:p w:rsidR="00326473" w:rsidRDefault="00326473" w:rsidP="004F44E9">
      <w:pPr>
        <w:pStyle w:val="References"/>
        <w:spacing w:line="240" w:lineRule="auto"/>
      </w:pPr>
    </w:p>
    <w:p w:rsidR="00326473" w:rsidRPr="009051BA" w:rsidRDefault="00326473" w:rsidP="004F44E9">
      <w:pPr>
        <w:pStyle w:val="References"/>
        <w:spacing w:line="240" w:lineRule="auto"/>
      </w:pPr>
      <w:proofErr w:type="gramStart"/>
      <w:r>
        <w:t>Renewable Fuels Association.</w:t>
      </w:r>
      <w:proofErr w:type="gramEnd"/>
      <w:r>
        <w:t xml:space="preserve"> </w:t>
      </w:r>
      <w:r w:rsidRPr="00326473">
        <w:rPr>
          <w:i/>
        </w:rPr>
        <w:t>2013 Pocket Guide to Ethanol 2013</w:t>
      </w:r>
      <w:r>
        <w:t xml:space="preserve">.  Available on-line at: </w:t>
      </w:r>
      <w:r w:rsidRPr="00326473">
        <w:t>http://ethanolrfa.3cdn.net/8fabfbf8fbcb08d399_xom6injp6.pdf</w:t>
      </w:r>
      <w:r>
        <w:t>.  Last accessed 1 September 2013.</w:t>
      </w:r>
    </w:p>
    <w:p w:rsidR="004F44E9" w:rsidRPr="009051BA" w:rsidRDefault="004F44E9" w:rsidP="004F44E9">
      <w:pPr>
        <w:pStyle w:val="References"/>
        <w:spacing w:line="240" w:lineRule="auto"/>
      </w:pPr>
    </w:p>
    <w:p w:rsidR="004F44E9" w:rsidRPr="00C7005B" w:rsidRDefault="004F44E9" w:rsidP="004F44E9">
      <w:pPr>
        <w:rPr>
          <w:rFonts w:cs="Times New Roman"/>
          <w:i/>
        </w:rPr>
      </w:pPr>
      <w:r w:rsidRPr="009051BA">
        <w:rPr>
          <w:rFonts w:cs="Times New Roman"/>
        </w:rPr>
        <w:t xml:space="preserve">Robertson, G.P., </w:t>
      </w:r>
      <w:r w:rsidR="00883EF3">
        <w:rPr>
          <w:rFonts w:cs="Times New Roman"/>
        </w:rPr>
        <w:t xml:space="preserve">S. K. </w:t>
      </w:r>
      <w:r w:rsidRPr="009051BA">
        <w:rPr>
          <w:rFonts w:cs="Times New Roman"/>
        </w:rPr>
        <w:t>Ha</w:t>
      </w:r>
      <w:r w:rsidR="00BB441E">
        <w:rPr>
          <w:rFonts w:cs="Times New Roman"/>
        </w:rPr>
        <w:t xml:space="preserve">milton, </w:t>
      </w:r>
      <w:r w:rsidR="00883EF3">
        <w:rPr>
          <w:rFonts w:cs="Times New Roman"/>
        </w:rPr>
        <w:t xml:space="preserve">S. J. </w:t>
      </w:r>
      <w:r w:rsidR="00BB441E">
        <w:rPr>
          <w:rFonts w:cs="Times New Roman"/>
        </w:rPr>
        <w:t>Del Grosso, and</w:t>
      </w:r>
      <w:r w:rsidRPr="009051BA">
        <w:rPr>
          <w:rFonts w:cs="Times New Roman"/>
        </w:rPr>
        <w:t xml:space="preserve"> </w:t>
      </w:r>
      <w:r w:rsidR="00AD16C7">
        <w:rPr>
          <w:rFonts w:cs="Times New Roman"/>
        </w:rPr>
        <w:t xml:space="preserve">W. J. Parton </w:t>
      </w:r>
      <w:r w:rsidRPr="009051BA">
        <w:rPr>
          <w:rFonts w:cs="Times New Roman"/>
        </w:rPr>
        <w:t xml:space="preserve">2010 </w:t>
      </w:r>
      <w:r w:rsidRPr="009051BA">
        <w:rPr>
          <w:rFonts w:cs="Times New Roman"/>
          <w:i/>
        </w:rPr>
        <w:t xml:space="preserve">Growing </w:t>
      </w:r>
      <w:r w:rsidR="004750FF">
        <w:rPr>
          <w:rFonts w:cs="Times New Roman"/>
          <w:i/>
        </w:rPr>
        <w:tab/>
      </w:r>
      <w:r w:rsidRPr="009051BA">
        <w:rPr>
          <w:rFonts w:cs="Times New Roman"/>
          <w:i/>
        </w:rPr>
        <w:t>Plants for Fuel: Predicting Effects on Water, Soil, and the Atmosphere</w:t>
      </w:r>
      <w:r w:rsidRPr="009051BA">
        <w:rPr>
          <w:rFonts w:cs="Times New Roman"/>
        </w:rPr>
        <w:t xml:space="preserve">. </w:t>
      </w:r>
      <w:r w:rsidR="004750FF">
        <w:rPr>
          <w:rFonts w:cs="Times New Roman"/>
        </w:rPr>
        <w:lastRenderedPageBreak/>
        <w:tab/>
      </w:r>
      <w:r w:rsidRPr="009051BA">
        <w:rPr>
          <w:rFonts w:cs="Times New Roman"/>
        </w:rPr>
        <w:t xml:space="preserve">Biofuels and Sustainability Reports: Ecological Society of America, </w:t>
      </w:r>
      <w:r w:rsidR="004750FF">
        <w:rPr>
          <w:rFonts w:cs="Times New Roman"/>
        </w:rPr>
        <w:tab/>
      </w:r>
      <w:r w:rsidR="009C3309">
        <w:rPr>
          <w:rFonts w:cs="Times New Roman"/>
        </w:rPr>
        <w:t xml:space="preserve">Washington, </w:t>
      </w:r>
      <w:proofErr w:type="gramStart"/>
      <w:r w:rsidR="009C3309">
        <w:rPr>
          <w:rFonts w:cs="Times New Roman"/>
        </w:rPr>
        <w:t>D.C.</w:t>
      </w:r>
      <w:r w:rsidRPr="009051BA">
        <w:rPr>
          <w:rFonts w:cs="Times New Roman"/>
        </w:rPr>
        <w:t>.</w:t>
      </w:r>
      <w:proofErr w:type="gramEnd"/>
    </w:p>
    <w:p w:rsidR="004F44E9" w:rsidRPr="009051BA" w:rsidRDefault="004F44E9" w:rsidP="004F44E9">
      <w:pPr>
        <w:rPr>
          <w:rFonts w:cs="Times New Roman"/>
        </w:rPr>
      </w:pPr>
      <w:r w:rsidRPr="009051BA">
        <w:rPr>
          <w:rFonts w:cs="Times New Roman"/>
        </w:rPr>
        <w:t xml:space="preserve">Sarkar, S., </w:t>
      </w:r>
      <w:r w:rsidR="00883EF3">
        <w:rPr>
          <w:rFonts w:cs="Times New Roman"/>
        </w:rPr>
        <w:t>S. A. Miller</w:t>
      </w:r>
      <w:r w:rsidR="00AD16C7">
        <w:rPr>
          <w:rFonts w:cs="Times New Roman"/>
        </w:rPr>
        <w:t xml:space="preserve">, </w:t>
      </w:r>
      <w:r w:rsidR="00883EF3">
        <w:rPr>
          <w:rFonts w:cs="Times New Roman"/>
        </w:rPr>
        <w:t xml:space="preserve">J. R. </w:t>
      </w:r>
      <w:r w:rsidR="00AD16C7">
        <w:rPr>
          <w:rFonts w:cs="Times New Roman"/>
        </w:rPr>
        <w:t xml:space="preserve">Frederick, and J. F. </w:t>
      </w:r>
      <w:r w:rsidRPr="009051BA">
        <w:rPr>
          <w:rFonts w:cs="Times New Roman"/>
        </w:rPr>
        <w:t>Chamberlain</w:t>
      </w:r>
      <w:r w:rsidR="00AD16C7">
        <w:rPr>
          <w:rFonts w:cs="Times New Roman"/>
        </w:rPr>
        <w:t xml:space="preserve"> </w:t>
      </w:r>
      <w:r>
        <w:rPr>
          <w:rFonts w:cs="Times New Roman"/>
        </w:rPr>
        <w:t>2011 Modeling</w:t>
      </w:r>
      <w:r w:rsidR="004750FF">
        <w:rPr>
          <w:rFonts w:cs="Times New Roman"/>
        </w:rPr>
        <w:t xml:space="preserve"> </w:t>
      </w:r>
      <w:r w:rsidR="004750FF">
        <w:rPr>
          <w:rFonts w:cs="Times New Roman"/>
        </w:rPr>
        <w:tab/>
        <w:t xml:space="preserve">nitrogen </w:t>
      </w:r>
      <w:r>
        <w:rPr>
          <w:rFonts w:cs="Times New Roman"/>
        </w:rPr>
        <w:t xml:space="preserve">loss </w:t>
      </w:r>
      <w:r w:rsidRPr="009051BA">
        <w:rPr>
          <w:rFonts w:cs="Times New Roman"/>
        </w:rPr>
        <w:t>from switchgrass agricultural systems</w:t>
      </w:r>
      <w:r w:rsidR="00AD16C7">
        <w:rPr>
          <w:rFonts w:cs="Times New Roman"/>
        </w:rPr>
        <w:t>,</w:t>
      </w:r>
      <w:r w:rsidRPr="009051BA">
        <w:rPr>
          <w:rFonts w:cs="Times New Roman"/>
        </w:rPr>
        <w:t xml:space="preserve"> </w:t>
      </w:r>
      <w:r w:rsidRPr="009051BA">
        <w:rPr>
          <w:rFonts w:cs="Times New Roman"/>
          <w:i/>
        </w:rPr>
        <w:t>Biomass Bioenerg.</w:t>
      </w:r>
      <w:r w:rsidRPr="009051BA">
        <w:rPr>
          <w:rFonts w:cs="Times New Roman"/>
        </w:rPr>
        <w:t xml:space="preserve"> </w:t>
      </w:r>
      <w:r w:rsidRPr="009051BA">
        <w:rPr>
          <w:rFonts w:cs="Times New Roman"/>
          <w:b/>
        </w:rPr>
        <w:t>35</w:t>
      </w:r>
      <w:r w:rsidRPr="009051BA">
        <w:rPr>
          <w:rFonts w:cs="Times New Roman"/>
        </w:rPr>
        <w:t xml:space="preserve">, </w:t>
      </w:r>
      <w:r w:rsidR="004750FF">
        <w:rPr>
          <w:rFonts w:cs="Times New Roman"/>
        </w:rPr>
        <w:tab/>
      </w:r>
      <w:r w:rsidRPr="009051BA">
        <w:rPr>
          <w:rFonts w:cs="Times New Roman"/>
        </w:rPr>
        <w:t>4381-4389.</w:t>
      </w:r>
    </w:p>
    <w:p w:rsidR="004F44E9" w:rsidRPr="009051BA" w:rsidRDefault="004F44E9" w:rsidP="004F44E9">
      <w:pPr>
        <w:rPr>
          <w:rFonts w:cs="Times New Roman"/>
        </w:rPr>
      </w:pPr>
      <w:proofErr w:type="gramStart"/>
      <w:r w:rsidRPr="009051BA">
        <w:rPr>
          <w:rFonts w:cs="Times New Roman"/>
        </w:rPr>
        <w:t>Schillin</w:t>
      </w:r>
      <w:r w:rsidR="00AD16C7">
        <w:rPr>
          <w:rFonts w:cs="Times New Roman"/>
        </w:rPr>
        <w:t xml:space="preserve">g, K.E., </w:t>
      </w:r>
      <w:r w:rsidR="00883EF3">
        <w:rPr>
          <w:rFonts w:cs="Times New Roman"/>
        </w:rPr>
        <w:t>K.-S.</w:t>
      </w:r>
      <w:proofErr w:type="gramEnd"/>
      <w:r w:rsidR="00883EF3">
        <w:rPr>
          <w:rFonts w:cs="Times New Roman"/>
        </w:rPr>
        <w:t xml:space="preserve"> </w:t>
      </w:r>
      <w:proofErr w:type="gramStart"/>
      <w:r w:rsidR="00AD16C7">
        <w:rPr>
          <w:rFonts w:cs="Times New Roman"/>
        </w:rPr>
        <w:t xml:space="preserve">Chan, </w:t>
      </w:r>
      <w:r w:rsidR="00883EF3">
        <w:rPr>
          <w:rFonts w:cs="Times New Roman"/>
        </w:rPr>
        <w:t xml:space="preserve">H. </w:t>
      </w:r>
      <w:r w:rsidR="00AD16C7">
        <w:rPr>
          <w:rFonts w:cs="Times New Roman"/>
        </w:rPr>
        <w:t>Liu, and Y.-K.</w:t>
      </w:r>
      <w:proofErr w:type="gramEnd"/>
      <w:r w:rsidR="00AD16C7">
        <w:rPr>
          <w:rFonts w:cs="Times New Roman"/>
        </w:rPr>
        <w:t xml:space="preserve"> </w:t>
      </w:r>
      <w:r w:rsidRPr="009051BA">
        <w:rPr>
          <w:rFonts w:cs="Times New Roman"/>
        </w:rPr>
        <w:t>Zhang</w:t>
      </w:r>
      <w:r w:rsidR="00AD16C7">
        <w:rPr>
          <w:rFonts w:cs="Times New Roman"/>
        </w:rPr>
        <w:t xml:space="preserve"> </w:t>
      </w:r>
      <w:r w:rsidRPr="009051BA">
        <w:rPr>
          <w:rFonts w:cs="Times New Roman"/>
        </w:rPr>
        <w:t xml:space="preserve">2010 </w:t>
      </w:r>
      <w:proofErr w:type="gramStart"/>
      <w:r w:rsidRPr="009051BA">
        <w:rPr>
          <w:rFonts w:cs="Times New Roman"/>
        </w:rPr>
        <w:t>Quan</w:t>
      </w:r>
      <w:r w:rsidR="00113012">
        <w:rPr>
          <w:rFonts w:cs="Times New Roman"/>
        </w:rPr>
        <w:t>tifying</w:t>
      </w:r>
      <w:proofErr w:type="gramEnd"/>
      <w:r w:rsidR="00113012">
        <w:rPr>
          <w:rFonts w:cs="Times New Roman"/>
        </w:rPr>
        <w:t xml:space="preserve"> the effect </w:t>
      </w:r>
      <w:r w:rsidR="00113012">
        <w:rPr>
          <w:rFonts w:cs="Times New Roman"/>
        </w:rPr>
        <w:tab/>
        <w:t xml:space="preserve">of </w:t>
      </w:r>
      <w:r w:rsidR="00883EF3">
        <w:rPr>
          <w:rFonts w:cs="Times New Roman"/>
        </w:rPr>
        <w:tab/>
      </w:r>
      <w:r>
        <w:rPr>
          <w:rFonts w:cs="Times New Roman"/>
        </w:rPr>
        <w:t xml:space="preserve">land use </w:t>
      </w:r>
      <w:r w:rsidRPr="009051BA">
        <w:rPr>
          <w:rFonts w:cs="Times New Roman"/>
        </w:rPr>
        <w:t xml:space="preserve">land cover change on increasing discharge in the Upper Mississippi </w:t>
      </w:r>
      <w:r w:rsidR="004750FF">
        <w:rPr>
          <w:rFonts w:cs="Times New Roman"/>
        </w:rPr>
        <w:tab/>
      </w:r>
      <w:r w:rsidR="00113012">
        <w:rPr>
          <w:rFonts w:cs="Times New Roman"/>
        </w:rPr>
        <w:t>River,</w:t>
      </w:r>
      <w:r w:rsidRPr="009051BA">
        <w:rPr>
          <w:rFonts w:cs="Times New Roman"/>
        </w:rPr>
        <w:t xml:space="preserve"> </w:t>
      </w:r>
      <w:r>
        <w:rPr>
          <w:rFonts w:cs="Times New Roman"/>
          <w:i/>
        </w:rPr>
        <w:t xml:space="preserve">J. Hydrol. </w:t>
      </w:r>
      <w:r w:rsidRPr="009051BA">
        <w:rPr>
          <w:rFonts w:cs="Times New Roman"/>
          <w:b/>
        </w:rPr>
        <w:t>387</w:t>
      </w:r>
      <w:r w:rsidRPr="009051BA">
        <w:rPr>
          <w:rFonts w:cs="Times New Roman"/>
        </w:rPr>
        <w:t>, 343-345.</w:t>
      </w:r>
    </w:p>
    <w:p w:rsidR="004F44E9" w:rsidRPr="009051BA" w:rsidRDefault="004F44E9" w:rsidP="004F44E9">
      <w:pPr>
        <w:rPr>
          <w:rFonts w:cs="Times New Roman"/>
        </w:rPr>
      </w:pPr>
      <w:r w:rsidRPr="009051BA">
        <w:rPr>
          <w:rFonts w:cs="Times New Roman"/>
        </w:rPr>
        <w:t xml:space="preserve">Schilling, K.E., </w:t>
      </w:r>
      <w:r w:rsidR="00900C56">
        <w:rPr>
          <w:rFonts w:cs="Times New Roman"/>
        </w:rPr>
        <w:t xml:space="preserve">M. K. </w:t>
      </w:r>
      <w:r w:rsidRPr="009051BA">
        <w:rPr>
          <w:rFonts w:cs="Times New Roman"/>
        </w:rPr>
        <w:t xml:space="preserve">Jha, </w:t>
      </w:r>
      <w:r w:rsidR="00900C56">
        <w:rPr>
          <w:rFonts w:cs="Times New Roman"/>
        </w:rPr>
        <w:t xml:space="preserve">Y. K. </w:t>
      </w:r>
      <w:r w:rsidRPr="009051BA">
        <w:rPr>
          <w:rFonts w:cs="Times New Roman"/>
        </w:rPr>
        <w:t>Zhang,</w:t>
      </w:r>
      <w:r w:rsidR="00113012">
        <w:rPr>
          <w:rFonts w:cs="Times New Roman"/>
        </w:rPr>
        <w:t xml:space="preserve"> </w:t>
      </w:r>
      <w:r w:rsidR="00900C56">
        <w:rPr>
          <w:rFonts w:cs="Times New Roman"/>
        </w:rPr>
        <w:t>P. W. Gassman, and C. F. Wolter</w:t>
      </w:r>
      <w:r w:rsidRPr="009051BA">
        <w:rPr>
          <w:rFonts w:cs="Times New Roman"/>
        </w:rPr>
        <w:t xml:space="preserve"> 2008 </w:t>
      </w:r>
      <w:r w:rsidR="004750FF">
        <w:rPr>
          <w:rFonts w:cs="Times New Roman"/>
        </w:rPr>
        <w:tab/>
      </w:r>
      <w:r w:rsidRPr="009051BA">
        <w:rPr>
          <w:rFonts w:cs="Times New Roman"/>
        </w:rPr>
        <w:t xml:space="preserve">Impact of land use and land cover change on the water balance of a large </w:t>
      </w:r>
      <w:r w:rsidR="004750FF">
        <w:rPr>
          <w:rFonts w:cs="Times New Roman"/>
        </w:rPr>
        <w:tab/>
      </w:r>
      <w:r w:rsidRPr="009051BA">
        <w:rPr>
          <w:rFonts w:cs="Times New Roman"/>
        </w:rPr>
        <w:t>agricultural watershed: historica</w:t>
      </w:r>
      <w:r w:rsidR="00113012">
        <w:rPr>
          <w:rFonts w:cs="Times New Roman"/>
        </w:rPr>
        <w:t>l effects and future directions,</w:t>
      </w:r>
      <w:r w:rsidRPr="009051BA">
        <w:rPr>
          <w:rFonts w:cs="Times New Roman"/>
        </w:rPr>
        <w:t xml:space="preserve"> </w:t>
      </w:r>
      <w:r w:rsidRPr="009051BA">
        <w:rPr>
          <w:rFonts w:cs="Times New Roman"/>
          <w:i/>
        </w:rPr>
        <w:t>Water</w:t>
      </w:r>
      <w:r w:rsidR="005C56F3">
        <w:rPr>
          <w:rFonts w:cs="Times New Roman"/>
          <w:i/>
        </w:rPr>
        <w:t xml:space="preserve"> Resour.</w:t>
      </w:r>
      <w:r w:rsidRPr="009051BA">
        <w:rPr>
          <w:rFonts w:cs="Times New Roman"/>
          <w:i/>
        </w:rPr>
        <w:t xml:space="preserve"> </w:t>
      </w:r>
      <w:r w:rsidR="004750FF">
        <w:rPr>
          <w:rFonts w:cs="Times New Roman"/>
          <w:i/>
        </w:rPr>
        <w:tab/>
      </w:r>
      <w:proofErr w:type="gramStart"/>
      <w:r w:rsidRPr="009051BA">
        <w:rPr>
          <w:rFonts w:cs="Times New Roman"/>
          <w:i/>
        </w:rPr>
        <w:t>Res.</w:t>
      </w:r>
      <w:r w:rsidRPr="009051BA">
        <w:rPr>
          <w:rFonts w:cs="Times New Roman"/>
        </w:rPr>
        <w:t xml:space="preserve"> </w:t>
      </w:r>
      <w:r w:rsidRPr="009051BA">
        <w:rPr>
          <w:rFonts w:cs="Times New Roman"/>
          <w:b/>
        </w:rPr>
        <w:t>44</w:t>
      </w:r>
      <w:r w:rsidRPr="009051BA">
        <w:rPr>
          <w:rFonts w:cs="Times New Roman"/>
        </w:rPr>
        <w:t>, W00A09.</w:t>
      </w:r>
      <w:proofErr w:type="gramEnd"/>
    </w:p>
    <w:p w:rsidR="004750FF" w:rsidRPr="007868F4" w:rsidRDefault="004F44E9" w:rsidP="007868F4">
      <w:pPr>
        <w:rPr>
          <w:rFonts w:cs="Times New Roman"/>
        </w:rPr>
      </w:pPr>
      <w:proofErr w:type="gramStart"/>
      <w:r w:rsidRPr="009051BA">
        <w:rPr>
          <w:rFonts w:cs="Times New Roman"/>
        </w:rPr>
        <w:t>Schilling, K. E., C. S. Jones, A. Seeman, E. Bader, and J. Fil</w:t>
      </w:r>
      <w:r w:rsidR="00821E44">
        <w:rPr>
          <w:rFonts w:cs="Times New Roman"/>
        </w:rPr>
        <w:t>ipiak 2012</w:t>
      </w:r>
      <w:r>
        <w:rPr>
          <w:rFonts w:cs="Times New Roman"/>
        </w:rPr>
        <w:t xml:space="preserve"> Nitrate-</w:t>
      </w:r>
      <w:r>
        <w:rPr>
          <w:rFonts w:cs="Times New Roman"/>
        </w:rPr>
        <w:tab/>
        <w:t xml:space="preserve">nitrogen </w:t>
      </w:r>
      <w:r w:rsidRPr="009051BA">
        <w:rPr>
          <w:rFonts w:cs="Times New Roman"/>
        </w:rPr>
        <w:t xml:space="preserve">patterns in engineered catchments in the </w:t>
      </w:r>
      <w:r w:rsidR="008543D6">
        <w:rPr>
          <w:rFonts w:cs="Times New Roman"/>
        </w:rPr>
        <w:t>U</w:t>
      </w:r>
      <w:r w:rsidRPr="009051BA">
        <w:rPr>
          <w:rFonts w:cs="Times New Roman"/>
        </w:rPr>
        <w:t>pper Missi</w:t>
      </w:r>
      <w:r>
        <w:rPr>
          <w:rFonts w:cs="Times New Roman"/>
        </w:rPr>
        <w:t xml:space="preserve">ssippi River basin, </w:t>
      </w:r>
      <w:r>
        <w:rPr>
          <w:rFonts w:cs="Times New Roman"/>
        </w:rPr>
        <w:tab/>
      </w:r>
      <w:r>
        <w:rPr>
          <w:rFonts w:cs="Times New Roman"/>
          <w:i/>
        </w:rPr>
        <w:t>Ecol. Eng.</w:t>
      </w:r>
      <w:r>
        <w:rPr>
          <w:rFonts w:cs="Times New Roman"/>
        </w:rPr>
        <w:t>,</w:t>
      </w:r>
      <w:r w:rsidRPr="009051BA">
        <w:rPr>
          <w:rFonts w:cs="Times New Roman"/>
        </w:rPr>
        <w:t xml:space="preserve"> </w:t>
      </w:r>
      <w:r w:rsidRPr="009051BA">
        <w:rPr>
          <w:rFonts w:cs="Times New Roman"/>
          <w:b/>
        </w:rPr>
        <w:t>42</w:t>
      </w:r>
      <w:r w:rsidR="007868F4">
        <w:rPr>
          <w:rFonts w:cs="Times New Roman"/>
        </w:rPr>
        <w:t>, 1-9.</w:t>
      </w:r>
      <w:proofErr w:type="gramEnd"/>
    </w:p>
    <w:p w:rsidR="004F44E9" w:rsidRPr="009051BA" w:rsidRDefault="004F44E9" w:rsidP="004F44E9">
      <w:pPr>
        <w:pStyle w:val="References"/>
        <w:spacing w:line="240" w:lineRule="auto"/>
      </w:pPr>
      <w:r w:rsidRPr="009051BA">
        <w:t xml:space="preserve">Searchinger, T., </w:t>
      </w:r>
      <w:r w:rsidR="00AD636F">
        <w:t xml:space="preserve">R. </w:t>
      </w:r>
      <w:r w:rsidRPr="009051BA">
        <w:t xml:space="preserve">Heimlich, </w:t>
      </w:r>
      <w:r w:rsidR="00AD636F">
        <w:t xml:space="preserve">R. A. </w:t>
      </w:r>
      <w:r w:rsidRPr="009051BA">
        <w:t xml:space="preserve">Houghton, </w:t>
      </w:r>
      <w:r w:rsidR="00AD636F">
        <w:t xml:space="preserve">F. </w:t>
      </w:r>
      <w:r w:rsidRPr="009051BA">
        <w:t xml:space="preserve">Dong, </w:t>
      </w:r>
      <w:r w:rsidR="00AD636F">
        <w:t xml:space="preserve">A. </w:t>
      </w:r>
      <w:r w:rsidRPr="009051BA">
        <w:t xml:space="preserve">Elobeid, </w:t>
      </w:r>
      <w:r w:rsidR="00AD636F">
        <w:t xml:space="preserve">J. </w:t>
      </w:r>
      <w:r w:rsidRPr="009051BA">
        <w:t xml:space="preserve">Fabiosa, </w:t>
      </w:r>
      <w:r w:rsidR="00AD636F">
        <w:t>S. Tokgoz</w:t>
      </w:r>
      <w:r w:rsidRPr="009051BA">
        <w:t xml:space="preserve">, </w:t>
      </w:r>
      <w:r w:rsidR="00AD636F">
        <w:t xml:space="preserve">D. </w:t>
      </w:r>
      <w:r w:rsidRPr="009051BA">
        <w:t xml:space="preserve">Hayes, </w:t>
      </w:r>
      <w:r w:rsidR="005835D5">
        <w:t>and T.-H. Yu</w:t>
      </w:r>
      <w:r w:rsidRPr="009051BA">
        <w:t xml:space="preserve"> 2008 Use of US croplands for biofuels </w:t>
      </w:r>
      <w:proofErr w:type="gramStart"/>
      <w:r w:rsidRPr="009051BA">
        <w:t>increases</w:t>
      </w:r>
      <w:proofErr w:type="gramEnd"/>
      <w:r w:rsidRPr="009051BA">
        <w:t xml:space="preserve"> greenhouse gases through emissions from land-use change, </w:t>
      </w:r>
      <w:r w:rsidRPr="009051BA">
        <w:rPr>
          <w:i/>
        </w:rPr>
        <w:t>Science</w:t>
      </w:r>
      <w:r w:rsidR="007868F4">
        <w:t>,</w:t>
      </w:r>
      <w:r w:rsidRPr="009051BA">
        <w:t xml:space="preserve"> </w:t>
      </w:r>
      <w:r w:rsidRPr="009051BA">
        <w:rPr>
          <w:b/>
        </w:rPr>
        <w:t>319</w:t>
      </w:r>
      <w:r w:rsidRPr="009051BA">
        <w:t>, 1238-1240.</w:t>
      </w:r>
    </w:p>
    <w:p w:rsidR="004F44E9" w:rsidRPr="009051BA" w:rsidRDefault="004F44E9" w:rsidP="004F44E9">
      <w:pPr>
        <w:pStyle w:val="References"/>
        <w:spacing w:line="240" w:lineRule="auto"/>
      </w:pPr>
    </w:p>
    <w:p w:rsidR="004F44E9" w:rsidRPr="009051BA" w:rsidRDefault="004F44E9" w:rsidP="004F44E9">
      <w:pPr>
        <w:pStyle w:val="References"/>
        <w:spacing w:line="240" w:lineRule="auto"/>
        <w:rPr>
          <w:rFonts w:eastAsiaTheme="minorHAnsi"/>
          <w:lang w:val="en-US" w:eastAsia="en-US"/>
        </w:rPr>
      </w:pPr>
      <w:r w:rsidRPr="009051BA">
        <w:rPr>
          <w:rFonts w:eastAsiaTheme="minorHAnsi"/>
          <w:lang w:val="en-US" w:eastAsia="en-US"/>
        </w:rPr>
        <w:t>Secchi, S., P. W. Gassman, M. Jha,</w:t>
      </w:r>
      <w:r w:rsidR="00821E44">
        <w:rPr>
          <w:rFonts w:eastAsiaTheme="minorHAnsi"/>
          <w:lang w:val="en-US" w:eastAsia="en-US"/>
        </w:rPr>
        <w:t xml:space="preserve"> L. Kurkalova, and C. L. Kling 2011</w:t>
      </w:r>
      <w:r w:rsidRPr="009051BA">
        <w:rPr>
          <w:rFonts w:eastAsiaTheme="minorHAnsi"/>
          <w:lang w:val="en-US" w:eastAsia="en-US"/>
        </w:rPr>
        <w:t xml:space="preserve"> Potential water quality changes due to corn expansion in the Upper Mississippi River Basin, </w:t>
      </w:r>
      <w:r>
        <w:rPr>
          <w:rFonts w:eastAsiaTheme="minorHAnsi"/>
          <w:i/>
          <w:lang w:val="en-US" w:eastAsia="en-US"/>
        </w:rPr>
        <w:t>Ecol. Appl.</w:t>
      </w:r>
      <w:r w:rsidRPr="009051BA">
        <w:rPr>
          <w:rFonts w:eastAsiaTheme="minorHAnsi"/>
          <w:lang w:val="en-US" w:eastAsia="en-US"/>
        </w:rPr>
        <w:t xml:space="preserve">, </w:t>
      </w:r>
      <w:r w:rsidRPr="009051BA">
        <w:rPr>
          <w:rFonts w:eastAsiaTheme="minorHAnsi"/>
          <w:b/>
          <w:lang w:val="en-US" w:eastAsia="en-US"/>
        </w:rPr>
        <w:t>21</w:t>
      </w:r>
      <w:r w:rsidRPr="009051BA">
        <w:rPr>
          <w:rFonts w:eastAsiaTheme="minorHAnsi"/>
          <w:lang w:val="en-US" w:eastAsia="en-US"/>
        </w:rPr>
        <w:t>, 1068-1084.</w:t>
      </w:r>
    </w:p>
    <w:p w:rsidR="004F44E9" w:rsidRPr="009051BA" w:rsidRDefault="004F44E9" w:rsidP="004F44E9">
      <w:pPr>
        <w:pStyle w:val="References"/>
        <w:spacing w:line="240" w:lineRule="auto"/>
      </w:pPr>
    </w:p>
    <w:p w:rsidR="004F44E9" w:rsidRDefault="004F44E9" w:rsidP="004F44E9">
      <w:pPr>
        <w:pStyle w:val="References"/>
        <w:spacing w:line="240" w:lineRule="auto"/>
      </w:pPr>
      <w:r w:rsidRPr="009051BA">
        <w:t xml:space="preserve">Simpson, T.W., </w:t>
      </w:r>
      <w:r w:rsidR="0073343E">
        <w:t>A. N. Sharpley</w:t>
      </w:r>
      <w:r w:rsidRPr="009051BA">
        <w:t xml:space="preserve">, </w:t>
      </w:r>
      <w:r w:rsidR="0073343E">
        <w:t xml:space="preserve">R. W. Howarth, H. W. </w:t>
      </w:r>
      <w:r w:rsidRPr="009051BA">
        <w:t>Paerl,</w:t>
      </w:r>
      <w:r w:rsidR="0073343E">
        <w:t xml:space="preserve"> and </w:t>
      </w:r>
      <w:r w:rsidR="00113012">
        <w:t xml:space="preserve">K. R. </w:t>
      </w:r>
      <w:r w:rsidRPr="009051BA">
        <w:t>Mankin</w:t>
      </w:r>
      <w:r w:rsidR="00113012">
        <w:t xml:space="preserve"> </w:t>
      </w:r>
      <w:r w:rsidRPr="009051BA">
        <w:t xml:space="preserve">2008 The </w:t>
      </w:r>
      <w:r w:rsidR="002534E8">
        <w:t>N</w:t>
      </w:r>
      <w:r w:rsidRPr="009051BA">
        <w:t>ew gold rush: fueling ethanol production</w:t>
      </w:r>
      <w:r w:rsidR="00113012">
        <w:t xml:space="preserve"> while protecting water quality,</w:t>
      </w:r>
      <w:r w:rsidRPr="009051BA">
        <w:t xml:space="preserve"> </w:t>
      </w:r>
      <w:r w:rsidRPr="009051BA">
        <w:rPr>
          <w:i/>
        </w:rPr>
        <w:t xml:space="preserve">J. Environ. </w:t>
      </w:r>
      <w:proofErr w:type="gramStart"/>
      <w:r w:rsidRPr="009051BA">
        <w:rPr>
          <w:i/>
        </w:rPr>
        <w:t>Qual.</w:t>
      </w:r>
      <w:proofErr w:type="gramEnd"/>
      <w:r w:rsidRPr="009051BA">
        <w:rPr>
          <w:i/>
        </w:rPr>
        <w:t xml:space="preserve"> </w:t>
      </w:r>
      <w:r w:rsidRPr="009051BA">
        <w:t xml:space="preserve"> </w:t>
      </w:r>
      <w:r w:rsidRPr="009051BA">
        <w:rPr>
          <w:b/>
        </w:rPr>
        <w:t>37</w:t>
      </w:r>
      <w:r w:rsidRPr="009051BA">
        <w:t>, 318-324.</w:t>
      </w:r>
    </w:p>
    <w:p w:rsidR="002534E8" w:rsidRDefault="002534E8" w:rsidP="004F44E9">
      <w:pPr>
        <w:pStyle w:val="References"/>
        <w:spacing w:line="240" w:lineRule="auto"/>
      </w:pPr>
    </w:p>
    <w:p w:rsidR="007C477E" w:rsidRPr="00316330" w:rsidRDefault="007C477E" w:rsidP="007C477E">
      <w:pPr>
        <w:rPr>
          <w:rFonts w:cs="Times New Roman"/>
        </w:rPr>
      </w:pPr>
      <w:r w:rsidRPr="00316330">
        <w:rPr>
          <w:rFonts w:cs="Times New Roman"/>
        </w:rPr>
        <w:t xml:space="preserve">Sohl, T. L., B. M. Sleeter, K. L. Sayler, M. A. Bouchard, R. R. Reker, S. L. Bennett, R. </w:t>
      </w:r>
      <w:r w:rsidRPr="00316330">
        <w:rPr>
          <w:rFonts w:cs="Times New Roman"/>
        </w:rPr>
        <w:tab/>
        <w:t>R. Sleeter, R.</w:t>
      </w:r>
      <w:r>
        <w:rPr>
          <w:rFonts w:cs="Times New Roman"/>
        </w:rPr>
        <w:t xml:space="preserve"> L. Kanengieter, and Z. L. Zhu 2012</w:t>
      </w:r>
      <w:r w:rsidRPr="00316330">
        <w:rPr>
          <w:rFonts w:cs="Times New Roman"/>
        </w:rPr>
        <w:t xml:space="preserve"> Spatially explicit land-use </w:t>
      </w:r>
      <w:r w:rsidRPr="00316330">
        <w:rPr>
          <w:rFonts w:cs="Times New Roman"/>
        </w:rPr>
        <w:tab/>
        <w:t xml:space="preserve">and land-cover scenarios for the Great Plains of the United States, </w:t>
      </w:r>
      <w:r>
        <w:rPr>
          <w:rFonts w:cs="Times New Roman"/>
          <w:i/>
        </w:rPr>
        <w:t xml:space="preserve">Agr. </w:t>
      </w:r>
      <w:proofErr w:type="gramStart"/>
      <w:r>
        <w:rPr>
          <w:rFonts w:cs="Times New Roman"/>
          <w:i/>
        </w:rPr>
        <w:t>Ecosyst.</w:t>
      </w:r>
      <w:proofErr w:type="gramEnd"/>
      <w:r>
        <w:rPr>
          <w:rFonts w:cs="Times New Roman"/>
          <w:i/>
        </w:rPr>
        <w:t xml:space="preserve"> </w:t>
      </w:r>
      <w:r>
        <w:rPr>
          <w:rFonts w:cs="Times New Roman"/>
          <w:i/>
        </w:rPr>
        <w:tab/>
      </w:r>
      <w:proofErr w:type="gramStart"/>
      <w:r>
        <w:rPr>
          <w:rFonts w:cs="Times New Roman"/>
          <w:i/>
        </w:rPr>
        <w:t>Environ.</w:t>
      </w:r>
      <w:r w:rsidRPr="00316330">
        <w:rPr>
          <w:rFonts w:cs="Times New Roman"/>
        </w:rPr>
        <w:t>,</w:t>
      </w:r>
      <w:proofErr w:type="gramEnd"/>
      <w:r w:rsidRPr="00316330">
        <w:rPr>
          <w:rFonts w:cs="Times New Roman"/>
        </w:rPr>
        <w:t xml:space="preserve"> </w:t>
      </w:r>
      <w:r w:rsidRPr="00117712">
        <w:rPr>
          <w:rFonts w:cs="Times New Roman"/>
          <w:b/>
        </w:rPr>
        <w:t>153</w:t>
      </w:r>
      <w:r w:rsidRPr="00316330">
        <w:rPr>
          <w:rFonts w:cs="Times New Roman"/>
        </w:rPr>
        <w:t>, 1-15.</w:t>
      </w:r>
    </w:p>
    <w:p w:rsidR="0050039E" w:rsidRDefault="0050039E" w:rsidP="0050326C">
      <w:pPr>
        <w:pStyle w:val="HTMLPreformatted"/>
        <w:rPr>
          <w:rFonts w:ascii="Times New Roman" w:hAnsi="Times New Roman" w:cs="Times New Roman"/>
          <w:sz w:val="24"/>
          <w:szCs w:val="24"/>
        </w:rPr>
      </w:pPr>
      <w:r w:rsidRPr="0050039E">
        <w:rPr>
          <w:rFonts w:ascii="Times New Roman" w:hAnsi="Times New Roman" w:cs="Times New Roman"/>
          <w:sz w:val="24"/>
          <w:szCs w:val="24"/>
        </w:rPr>
        <w:t>Thomason, W. E., W. R. Raun, G. V. Johnson, C. M. Taliaferro, K. W. Freeman</w:t>
      </w:r>
      <w:r>
        <w:rPr>
          <w:rFonts w:ascii="Times New Roman" w:hAnsi="Times New Roman" w:cs="Times New Roman"/>
          <w:sz w:val="24"/>
          <w:szCs w:val="24"/>
        </w:rPr>
        <w:t xml:space="preserve">, K. J. </w:t>
      </w:r>
      <w:r>
        <w:rPr>
          <w:rFonts w:ascii="Times New Roman" w:hAnsi="Times New Roman" w:cs="Times New Roman"/>
          <w:sz w:val="24"/>
          <w:szCs w:val="24"/>
        </w:rPr>
        <w:tab/>
      </w:r>
    </w:p>
    <w:p w:rsidR="0050039E" w:rsidRDefault="0050039E" w:rsidP="0050326C">
      <w:pPr>
        <w:pStyle w:val="HTMLPreformatted"/>
        <w:rPr>
          <w:rFonts w:ascii="Times New Roman" w:hAnsi="Times New Roman" w:cs="Times New Roman"/>
          <w:sz w:val="24"/>
          <w:szCs w:val="24"/>
        </w:rPr>
      </w:pPr>
      <w:r>
        <w:rPr>
          <w:rFonts w:ascii="Times New Roman" w:hAnsi="Times New Roman" w:cs="Times New Roman"/>
          <w:sz w:val="24"/>
          <w:szCs w:val="24"/>
        </w:rPr>
        <w:tab/>
        <w:t>Wynn, and R. W. Mullen 2004</w:t>
      </w:r>
      <w:r w:rsidRPr="0050039E">
        <w:rPr>
          <w:rFonts w:ascii="Times New Roman" w:hAnsi="Times New Roman" w:cs="Times New Roman"/>
          <w:sz w:val="24"/>
          <w:szCs w:val="24"/>
        </w:rPr>
        <w:t xml:space="preserve"> Switchgrass response to harvest frequency and </w:t>
      </w:r>
      <w:r>
        <w:rPr>
          <w:rFonts w:ascii="Times New Roman" w:hAnsi="Times New Roman" w:cs="Times New Roman"/>
          <w:sz w:val="24"/>
          <w:szCs w:val="24"/>
        </w:rPr>
        <w:tab/>
      </w:r>
    </w:p>
    <w:p w:rsidR="0050039E" w:rsidRDefault="0050039E" w:rsidP="0050326C">
      <w:pPr>
        <w:pStyle w:val="HTMLPreformatted"/>
        <w:rPr>
          <w:rFonts w:ascii="Times New Roman" w:hAnsi="Times New Roman" w:cs="Times New Roman"/>
          <w:sz w:val="24"/>
          <w:szCs w:val="24"/>
        </w:rPr>
      </w:pPr>
      <w:r>
        <w:rPr>
          <w:rFonts w:ascii="Times New Roman" w:hAnsi="Times New Roman" w:cs="Times New Roman"/>
          <w:sz w:val="24"/>
          <w:szCs w:val="24"/>
        </w:rPr>
        <w:tab/>
      </w:r>
      <w:proofErr w:type="gramStart"/>
      <w:r w:rsidRPr="0050039E">
        <w:rPr>
          <w:rFonts w:ascii="Times New Roman" w:hAnsi="Times New Roman" w:cs="Times New Roman"/>
          <w:sz w:val="24"/>
          <w:szCs w:val="24"/>
        </w:rPr>
        <w:t>time</w:t>
      </w:r>
      <w:proofErr w:type="gramEnd"/>
      <w:r w:rsidRPr="0050039E">
        <w:rPr>
          <w:rFonts w:ascii="Times New Roman" w:hAnsi="Times New Roman" w:cs="Times New Roman"/>
          <w:sz w:val="24"/>
          <w:szCs w:val="24"/>
        </w:rPr>
        <w:t xml:space="preserve"> and rate of applied nitrogen, </w:t>
      </w:r>
      <w:r w:rsidRPr="0050039E">
        <w:rPr>
          <w:rFonts w:ascii="Times New Roman" w:hAnsi="Times New Roman" w:cs="Times New Roman"/>
          <w:i/>
          <w:sz w:val="24"/>
          <w:szCs w:val="24"/>
        </w:rPr>
        <w:t>J. Plant Nutr.</w:t>
      </w:r>
      <w:r w:rsidRPr="0050039E">
        <w:rPr>
          <w:rFonts w:ascii="Times New Roman" w:hAnsi="Times New Roman" w:cs="Times New Roman"/>
          <w:sz w:val="24"/>
          <w:szCs w:val="24"/>
        </w:rPr>
        <w:t xml:space="preserve">, </w:t>
      </w:r>
      <w:r w:rsidRPr="0050039E">
        <w:rPr>
          <w:rFonts w:ascii="Times New Roman" w:hAnsi="Times New Roman" w:cs="Times New Roman"/>
          <w:b/>
          <w:sz w:val="24"/>
          <w:szCs w:val="24"/>
        </w:rPr>
        <w:t>27</w:t>
      </w:r>
      <w:r w:rsidRPr="0050039E">
        <w:rPr>
          <w:rFonts w:ascii="Times New Roman" w:hAnsi="Times New Roman" w:cs="Times New Roman"/>
          <w:sz w:val="24"/>
          <w:szCs w:val="24"/>
        </w:rPr>
        <w:t>, 1199-1226.</w:t>
      </w:r>
    </w:p>
    <w:p w:rsidR="0050326C" w:rsidRPr="0050326C" w:rsidRDefault="0050326C" w:rsidP="0050326C">
      <w:pPr>
        <w:pStyle w:val="HTMLPreformatted"/>
        <w:rPr>
          <w:rFonts w:ascii="Times New Roman" w:hAnsi="Times New Roman" w:cs="Times New Roman"/>
          <w:sz w:val="24"/>
          <w:szCs w:val="24"/>
        </w:rPr>
      </w:pPr>
    </w:p>
    <w:p w:rsidR="004F44E9" w:rsidRDefault="004F44E9" w:rsidP="004F44E9">
      <w:pPr>
        <w:rPr>
          <w:rFonts w:cs="Times New Roman"/>
        </w:rPr>
      </w:pPr>
      <w:r w:rsidRPr="009051BA">
        <w:rPr>
          <w:rFonts w:cs="Times New Roman"/>
        </w:rPr>
        <w:t>Tonini, D., L. Ham</w:t>
      </w:r>
      <w:r w:rsidR="00821E44">
        <w:rPr>
          <w:rFonts w:cs="Times New Roman"/>
        </w:rPr>
        <w:t>elin, H. Wenzel, and T. Astrup 2012</w:t>
      </w:r>
      <w:r w:rsidRPr="009051BA">
        <w:rPr>
          <w:rFonts w:cs="Times New Roman"/>
        </w:rPr>
        <w:t xml:space="preserve"> Bioen</w:t>
      </w:r>
      <w:r w:rsidR="004750FF">
        <w:rPr>
          <w:rFonts w:cs="Times New Roman"/>
        </w:rPr>
        <w:t xml:space="preserve">ergy production from </w:t>
      </w:r>
      <w:r w:rsidR="004750FF">
        <w:rPr>
          <w:rFonts w:cs="Times New Roman"/>
        </w:rPr>
        <w:tab/>
        <w:t>p</w:t>
      </w:r>
      <w:r>
        <w:rPr>
          <w:rFonts w:cs="Times New Roman"/>
        </w:rPr>
        <w:t xml:space="preserve">erennial </w:t>
      </w:r>
      <w:r w:rsidR="004750FF">
        <w:rPr>
          <w:rFonts w:cs="Times New Roman"/>
        </w:rPr>
        <w:t>e</w:t>
      </w:r>
      <w:r w:rsidRPr="009051BA">
        <w:rPr>
          <w:rFonts w:cs="Times New Roman"/>
        </w:rPr>
        <w:t xml:space="preserve">nergy </w:t>
      </w:r>
      <w:r w:rsidR="004750FF">
        <w:rPr>
          <w:rFonts w:cs="Times New Roman"/>
        </w:rPr>
        <w:t>c</w:t>
      </w:r>
      <w:r w:rsidRPr="009051BA">
        <w:rPr>
          <w:rFonts w:cs="Times New Roman"/>
        </w:rPr>
        <w:t xml:space="preserve">rops: </w:t>
      </w:r>
      <w:r w:rsidR="004750FF">
        <w:rPr>
          <w:rFonts w:cs="Times New Roman"/>
        </w:rPr>
        <w:t>a</w:t>
      </w:r>
      <w:r w:rsidRPr="009051BA">
        <w:rPr>
          <w:rFonts w:cs="Times New Roman"/>
        </w:rPr>
        <w:t xml:space="preserve"> </w:t>
      </w:r>
      <w:r w:rsidR="004750FF">
        <w:rPr>
          <w:rFonts w:cs="Times New Roman"/>
        </w:rPr>
        <w:t>c</w:t>
      </w:r>
      <w:r w:rsidRPr="009051BA">
        <w:rPr>
          <w:rFonts w:cs="Times New Roman"/>
        </w:rPr>
        <w:t xml:space="preserve">onsequential LCA of 12 </w:t>
      </w:r>
      <w:r w:rsidR="004750FF">
        <w:rPr>
          <w:rFonts w:cs="Times New Roman"/>
        </w:rPr>
        <w:t>b</w:t>
      </w:r>
      <w:r w:rsidRPr="009051BA">
        <w:rPr>
          <w:rFonts w:cs="Times New Roman"/>
        </w:rPr>
        <w:t>ioenerg</w:t>
      </w:r>
      <w:r w:rsidR="004750FF">
        <w:rPr>
          <w:rFonts w:cs="Times New Roman"/>
        </w:rPr>
        <w:t xml:space="preserve">y scenarios </w:t>
      </w:r>
      <w:r w:rsidR="004750FF">
        <w:rPr>
          <w:rFonts w:cs="Times New Roman"/>
        </w:rPr>
        <w:tab/>
      </w:r>
      <w:r>
        <w:rPr>
          <w:rFonts w:cs="Times New Roman"/>
        </w:rPr>
        <w:t xml:space="preserve">including </w:t>
      </w:r>
      <w:r w:rsidR="004750FF">
        <w:rPr>
          <w:rFonts w:cs="Times New Roman"/>
        </w:rPr>
        <w:t>l</w:t>
      </w:r>
      <w:r>
        <w:rPr>
          <w:rFonts w:cs="Times New Roman"/>
        </w:rPr>
        <w:t xml:space="preserve">and </w:t>
      </w:r>
      <w:r w:rsidR="004750FF">
        <w:rPr>
          <w:rFonts w:cs="Times New Roman"/>
        </w:rPr>
        <w:t>u</w:t>
      </w:r>
      <w:r>
        <w:rPr>
          <w:rFonts w:cs="Times New Roman"/>
        </w:rPr>
        <w:t xml:space="preserve">se </w:t>
      </w:r>
      <w:r w:rsidR="004750FF">
        <w:rPr>
          <w:rFonts w:cs="Times New Roman"/>
        </w:rPr>
        <w:t>c</w:t>
      </w:r>
      <w:r w:rsidRPr="009051BA">
        <w:rPr>
          <w:rFonts w:cs="Times New Roman"/>
        </w:rPr>
        <w:t xml:space="preserve">hanges, </w:t>
      </w:r>
      <w:r w:rsidRPr="009051BA">
        <w:rPr>
          <w:rFonts w:cs="Times New Roman"/>
          <w:i/>
        </w:rPr>
        <w:t>Environ. Sci. Technol.</w:t>
      </w:r>
      <w:r w:rsidRPr="009051BA">
        <w:rPr>
          <w:rFonts w:cs="Times New Roman"/>
        </w:rPr>
        <w:t xml:space="preserve">, </w:t>
      </w:r>
      <w:r w:rsidRPr="009051BA">
        <w:rPr>
          <w:rFonts w:cs="Times New Roman"/>
          <w:b/>
        </w:rPr>
        <w:t>46</w:t>
      </w:r>
      <w:r w:rsidRPr="009051BA">
        <w:rPr>
          <w:rFonts w:cs="Times New Roman"/>
        </w:rPr>
        <w:t>, 13521-13530.</w:t>
      </w:r>
    </w:p>
    <w:p w:rsidR="004F44E9" w:rsidRDefault="004F44E9" w:rsidP="004F44E9">
      <w:pPr>
        <w:pStyle w:val="References"/>
        <w:spacing w:line="240" w:lineRule="auto"/>
        <w:rPr>
          <w:rFonts w:eastAsiaTheme="minorHAnsi"/>
          <w:lang w:val="en-US" w:eastAsia="en-US"/>
        </w:rPr>
      </w:pPr>
      <w:r w:rsidRPr="009051BA">
        <w:rPr>
          <w:rFonts w:eastAsiaTheme="minorHAnsi"/>
          <w:lang w:val="en-US" w:eastAsia="en-US"/>
        </w:rPr>
        <w:lastRenderedPageBreak/>
        <w:t>U.</w:t>
      </w:r>
      <w:r w:rsidR="00821E44">
        <w:rPr>
          <w:rFonts w:eastAsiaTheme="minorHAnsi"/>
          <w:lang w:val="en-US" w:eastAsia="en-US"/>
        </w:rPr>
        <w:t>S. Congressional Budget Office 2009</w:t>
      </w:r>
      <w:r w:rsidR="007C477E">
        <w:rPr>
          <w:rFonts w:eastAsiaTheme="minorHAnsi"/>
          <w:lang w:val="en-US" w:eastAsia="en-US"/>
        </w:rPr>
        <w:t xml:space="preserve"> </w:t>
      </w:r>
      <w:r w:rsidR="007C477E" w:rsidRPr="007C477E">
        <w:rPr>
          <w:rFonts w:eastAsiaTheme="minorHAnsi"/>
          <w:i/>
          <w:lang w:val="en-US" w:eastAsia="en-US"/>
        </w:rPr>
        <w:t>The Impact of Ethanol Use on Food Prices and Greenhouse-gas E</w:t>
      </w:r>
      <w:r w:rsidRPr="007C477E">
        <w:rPr>
          <w:rFonts w:eastAsiaTheme="minorHAnsi"/>
          <w:i/>
          <w:lang w:val="en-US" w:eastAsia="en-US"/>
        </w:rPr>
        <w:t>missions</w:t>
      </w:r>
      <w:r w:rsidRPr="009051BA">
        <w:rPr>
          <w:rFonts w:eastAsiaTheme="minorHAnsi"/>
          <w:lang w:val="en-US" w:eastAsia="en-US"/>
        </w:rPr>
        <w:t>.</w:t>
      </w:r>
    </w:p>
    <w:p w:rsidR="004F44E9" w:rsidRDefault="004F44E9" w:rsidP="004F44E9">
      <w:pPr>
        <w:pStyle w:val="References"/>
        <w:spacing w:line="240" w:lineRule="auto"/>
        <w:rPr>
          <w:rFonts w:eastAsiaTheme="minorHAnsi"/>
          <w:lang w:val="en-US" w:eastAsia="en-US"/>
        </w:rPr>
      </w:pPr>
    </w:p>
    <w:p w:rsidR="005C56F3" w:rsidRDefault="00821E44" w:rsidP="004F44E9">
      <w:pPr>
        <w:rPr>
          <w:rFonts w:cs="Times New Roman"/>
        </w:rPr>
      </w:pPr>
      <w:r>
        <w:rPr>
          <w:rFonts w:cs="Times New Roman"/>
        </w:rPr>
        <w:t>Webb, W. P. 1931</w:t>
      </w:r>
      <w:r w:rsidR="004F44E9" w:rsidRPr="00856A4D">
        <w:rPr>
          <w:rFonts w:cs="Times New Roman"/>
        </w:rPr>
        <w:t xml:space="preserve"> </w:t>
      </w:r>
      <w:proofErr w:type="gramStart"/>
      <w:r w:rsidR="004F44E9" w:rsidRPr="00856A4D">
        <w:rPr>
          <w:rFonts w:cs="Times New Roman"/>
          <w:i/>
        </w:rPr>
        <w:t>The</w:t>
      </w:r>
      <w:proofErr w:type="gramEnd"/>
      <w:r w:rsidR="004F44E9" w:rsidRPr="00856A4D">
        <w:rPr>
          <w:rFonts w:cs="Times New Roman"/>
          <w:i/>
        </w:rPr>
        <w:t xml:space="preserve"> Great Plains</w:t>
      </w:r>
      <w:r w:rsidR="004F44E9" w:rsidRPr="00856A4D">
        <w:rPr>
          <w:rFonts w:cs="Times New Roman"/>
        </w:rPr>
        <w:t xml:space="preserve">.  </w:t>
      </w:r>
      <w:r w:rsidR="005C56F3">
        <w:rPr>
          <w:rFonts w:cs="Times New Roman"/>
        </w:rPr>
        <w:t>Ginn and Company, Boston.</w:t>
      </w:r>
    </w:p>
    <w:p w:rsidR="004F44E9" w:rsidRDefault="00821E44" w:rsidP="004F44E9">
      <w:pPr>
        <w:rPr>
          <w:rFonts w:cs="Times New Roman"/>
        </w:rPr>
      </w:pPr>
      <w:r>
        <w:rPr>
          <w:rFonts w:cs="Times New Roman"/>
        </w:rPr>
        <w:t xml:space="preserve">Wescott, P.  </w:t>
      </w:r>
      <w:proofErr w:type="gramStart"/>
      <w:r>
        <w:rPr>
          <w:rFonts w:cs="Times New Roman"/>
        </w:rPr>
        <w:t>2012</w:t>
      </w:r>
      <w:r w:rsidR="004F44E9" w:rsidRPr="006C2486">
        <w:rPr>
          <w:rFonts w:cs="Times New Roman"/>
        </w:rPr>
        <w:t xml:space="preserve">  </w:t>
      </w:r>
      <w:r w:rsidR="004F44E9" w:rsidRPr="00C32A4E">
        <w:rPr>
          <w:rFonts w:cs="Times New Roman"/>
          <w:i/>
        </w:rPr>
        <w:t>USDA</w:t>
      </w:r>
      <w:proofErr w:type="gramEnd"/>
      <w:r w:rsidR="004F44E9" w:rsidRPr="00C32A4E">
        <w:rPr>
          <w:rFonts w:cs="Times New Roman"/>
          <w:i/>
        </w:rPr>
        <w:t xml:space="preserve"> Agricultural Projections to 2021</w:t>
      </w:r>
      <w:r w:rsidR="004F44E9" w:rsidRPr="006C2486">
        <w:rPr>
          <w:rFonts w:cs="Times New Roman"/>
        </w:rPr>
        <w:t xml:space="preserve">.  Available on-line at: </w:t>
      </w:r>
      <w:r w:rsidR="004F44E9" w:rsidRPr="006C2486">
        <w:rPr>
          <w:rFonts w:cs="Times New Roman"/>
        </w:rPr>
        <w:tab/>
      </w:r>
      <w:r w:rsidR="004F44E9" w:rsidRPr="00FE2570">
        <w:rPr>
          <w:rFonts w:cs="Times New Roman"/>
        </w:rPr>
        <w:t xml:space="preserve">http://www.ers.usda.gov/publications/oce-usda-agricultural </w:t>
      </w:r>
      <w:r w:rsidR="004F44E9" w:rsidRPr="00FE2570">
        <w:rPr>
          <w:rFonts w:cs="Times New Roman"/>
        </w:rPr>
        <w:tab/>
        <w:t>projections/oce121.aspx#.UbirHPm1FpU</w:t>
      </w:r>
      <w:r w:rsidR="004F44E9" w:rsidRPr="00856A4D">
        <w:rPr>
          <w:rFonts w:cs="Times New Roman"/>
        </w:rPr>
        <w:t>.  Last accessed 12 June 2013.</w:t>
      </w:r>
    </w:p>
    <w:p w:rsidR="00C17BDB" w:rsidRPr="006C2486" w:rsidRDefault="00C17BDB" w:rsidP="004F44E9">
      <w:pPr>
        <w:rPr>
          <w:rFonts w:cs="Times New Roman"/>
        </w:rPr>
      </w:pPr>
      <w:r w:rsidRPr="00C17BDB">
        <w:rPr>
          <w:rFonts w:cs="Times New Roman"/>
        </w:rPr>
        <w:t>Wullschleger, S. D., E. B. Davis, M. E. Borsuk, C</w:t>
      </w:r>
      <w:r>
        <w:rPr>
          <w:rFonts w:cs="Times New Roman"/>
        </w:rPr>
        <w:t>. A. Gunderson, and L. R. Lynd 2010</w:t>
      </w:r>
      <w:r w:rsidRPr="00C17BDB">
        <w:rPr>
          <w:rFonts w:cs="Times New Roman"/>
        </w:rPr>
        <w:t xml:space="preserve"> </w:t>
      </w:r>
      <w:r w:rsidR="005B1FF8">
        <w:rPr>
          <w:rFonts w:cs="Times New Roman"/>
        </w:rPr>
        <w:tab/>
      </w:r>
      <w:r w:rsidRPr="00C17BDB">
        <w:rPr>
          <w:rFonts w:cs="Times New Roman"/>
        </w:rPr>
        <w:t xml:space="preserve">Biomass </w:t>
      </w:r>
      <w:r>
        <w:rPr>
          <w:rFonts w:cs="Times New Roman"/>
        </w:rPr>
        <w:t>production in s</w:t>
      </w:r>
      <w:r w:rsidRPr="00C17BDB">
        <w:rPr>
          <w:rFonts w:cs="Times New Roman"/>
        </w:rPr>
        <w:t>witchg</w:t>
      </w:r>
      <w:r>
        <w:rPr>
          <w:rFonts w:cs="Times New Roman"/>
        </w:rPr>
        <w:t xml:space="preserve">rass across the United States: database </w:t>
      </w:r>
      <w:r w:rsidR="005B1FF8">
        <w:rPr>
          <w:rFonts w:cs="Times New Roman"/>
        </w:rPr>
        <w:tab/>
      </w:r>
      <w:r>
        <w:rPr>
          <w:rFonts w:cs="Times New Roman"/>
        </w:rPr>
        <w:t>description and determinants of y</w:t>
      </w:r>
      <w:r w:rsidRPr="00C17BDB">
        <w:rPr>
          <w:rFonts w:cs="Times New Roman"/>
        </w:rPr>
        <w:t xml:space="preserve">ield, </w:t>
      </w:r>
      <w:r w:rsidRPr="00C17BDB">
        <w:rPr>
          <w:rFonts w:cs="Times New Roman"/>
          <w:i/>
        </w:rPr>
        <w:t>Agron. J.</w:t>
      </w:r>
      <w:r w:rsidRPr="00C17BDB">
        <w:rPr>
          <w:rFonts w:cs="Times New Roman"/>
        </w:rPr>
        <w:t xml:space="preserve">, </w:t>
      </w:r>
      <w:r w:rsidRPr="005B1FF8">
        <w:rPr>
          <w:rFonts w:cs="Times New Roman"/>
          <w:b/>
        </w:rPr>
        <w:t>102</w:t>
      </w:r>
      <w:r w:rsidR="005B1FF8" w:rsidRPr="005B1FF8">
        <w:rPr>
          <w:rFonts w:cs="Times New Roman"/>
        </w:rPr>
        <w:t>,</w:t>
      </w:r>
      <w:r w:rsidRPr="00C17BDB">
        <w:rPr>
          <w:rFonts w:cs="Times New Roman"/>
        </w:rPr>
        <w:t xml:space="preserve"> 1158-1168.</w:t>
      </w:r>
    </w:p>
    <w:p w:rsidR="004F44E9" w:rsidRDefault="004F44E9" w:rsidP="004F44E9">
      <w:pPr>
        <w:rPr>
          <w:rFonts w:cs="Times New Roman"/>
        </w:rPr>
      </w:pPr>
      <w:r w:rsidRPr="008572D2">
        <w:rPr>
          <w:rFonts w:cs="Times New Roman"/>
        </w:rPr>
        <w:t>Zha</w:t>
      </w:r>
      <w:r w:rsidR="00821E44">
        <w:rPr>
          <w:rFonts w:cs="Times New Roman"/>
        </w:rPr>
        <w:t>ng, X. S., and R. Srinivasan 2010</w:t>
      </w:r>
      <w:r w:rsidRPr="008572D2">
        <w:rPr>
          <w:rFonts w:cs="Times New Roman"/>
        </w:rPr>
        <w:t xml:space="preserve"> GIS-based spatial precipitation estimation using </w:t>
      </w:r>
      <w:r w:rsidR="004750FF">
        <w:rPr>
          <w:rFonts w:cs="Times New Roman"/>
        </w:rPr>
        <w:tab/>
      </w:r>
      <w:r w:rsidRPr="008572D2">
        <w:rPr>
          <w:rFonts w:cs="Times New Roman"/>
        </w:rPr>
        <w:t xml:space="preserve">next generation radar and raingauge data, </w:t>
      </w:r>
      <w:r>
        <w:rPr>
          <w:rFonts w:cs="Times New Roman"/>
          <w:i/>
        </w:rPr>
        <w:t xml:space="preserve">Environ. </w:t>
      </w:r>
      <w:proofErr w:type="gramStart"/>
      <w:r>
        <w:rPr>
          <w:rFonts w:cs="Times New Roman"/>
          <w:i/>
        </w:rPr>
        <w:t>Modell.</w:t>
      </w:r>
      <w:proofErr w:type="gramEnd"/>
      <w:r>
        <w:rPr>
          <w:rFonts w:cs="Times New Roman"/>
          <w:i/>
        </w:rPr>
        <w:t xml:space="preserve"> </w:t>
      </w:r>
      <w:proofErr w:type="gramStart"/>
      <w:r>
        <w:rPr>
          <w:rFonts w:cs="Times New Roman"/>
          <w:i/>
        </w:rPr>
        <w:t>Softw.</w:t>
      </w:r>
      <w:r w:rsidRPr="00103971">
        <w:rPr>
          <w:rFonts w:cs="Times New Roman"/>
        </w:rPr>
        <w:t>,</w:t>
      </w:r>
      <w:proofErr w:type="gramEnd"/>
      <w:r w:rsidRPr="008572D2">
        <w:rPr>
          <w:rFonts w:cs="Times New Roman"/>
          <w:b/>
        </w:rPr>
        <w:t xml:space="preserve"> 25</w:t>
      </w:r>
      <w:r>
        <w:rPr>
          <w:rFonts w:cs="Times New Roman"/>
        </w:rPr>
        <w:t>,</w:t>
      </w:r>
      <w:r w:rsidRPr="008572D2">
        <w:rPr>
          <w:rFonts w:cs="Times New Roman"/>
        </w:rPr>
        <w:t xml:space="preserve"> 1781-</w:t>
      </w:r>
      <w:r w:rsidR="004750FF">
        <w:rPr>
          <w:rFonts w:cs="Times New Roman"/>
        </w:rPr>
        <w:tab/>
      </w:r>
      <w:r w:rsidRPr="008572D2">
        <w:rPr>
          <w:rFonts w:cs="Times New Roman"/>
        </w:rPr>
        <w:t>1788.</w:t>
      </w:r>
    </w:p>
    <w:p w:rsidR="001E3E2A" w:rsidRPr="004750FF" w:rsidRDefault="004F44E9" w:rsidP="00F1671D">
      <w:pPr>
        <w:pStyle w:val="Heading1"/>
        <w:jc w:val="center"/>
        <w:rPr>
          <w:sz w:val="28"/>
          <w:szCs w:val="28"/>
        </w:rPr>
      </w:pPr>
      <w:r>
        <w:br w:type="page"/>
      </w:r>
      <w:bookmarkStart w:id="27" w:name="_Toc364501624"/>
      <w:bookmarkStart w:id="28" w:name="_Toc368046155"/>
      <w:r w:rsidR="001E3E2A" w:rsidRPr="004750FF">
        <w:rPr>
          <w:sz w:val="28"/>
          <w:szCs w:val="28"/>
        </w:rPr>
        <w:lastRenderedPageBreak/>
        <w:t>Chapter 2: Evolving Perspectives on Land Use in the US Great Plains</w:t>
      </w:r>
      <w:bookmarkEnd w:id="27"/>
      <w:bookmarkEnd w:id="28"/>
    </w:p>
    <w:p w:rsidR="001E3E2A" w:rsidRPr="00D6111B" w:rsidRDefault="001E3E2A" w:rsidP="001E3E2A">
      <w:pPr>
        <w:jc w:val="center"/>
        <w:rPr>
          <w:i/>
          <w:lang w:val="en-GB" w:eastAsia="en-GB"/>
        </w:rPr>
      </w:pPr>
      <w:r w:rsidRPr="00D6111B">
        <w:rPr>
          <w:lang w:val="en-GB" w:eastAsia="en-GB"/>
        </w:rPr>
        <w:t>(</w:t>
      </w:r>
      <w:r>
        <w:rPr>
          <w:lang w:val="en-GB" w:eastAsia="en-GB"/>
        </w:rPr>
        <w:t xml:space="preserve">Revised version </w:t>
      </w:r>
      <w:r w:rsidR="00AA75E2">
        <w:rPr>
          <w:lang w:val="en-GB" w:eastAsia="en-GB"/>
        </w:rPr>
        <w:t>in-consideration for publication in the</w:t>
      </w:r>
      <w:r>
        <w:rPr>
          <w:lang w:val="en-GB" w:eastAsia="en-GB"/>
        </w:rPr>
        <w:t xml:space="preserve"> </w:t>
      </w:r>
      <w:r>
        <w:rPr>
          <w:i/>
          <w:lang w:val="en-GB" w:eastAsia="en-GB"/>
        </w:rPr>
        <w:t>Geographical Review</w:t>
      </w:r>
      <w:r w:rsidRPr="00D6111B">
        <w:rPr>
          <w:i/>
          <w:lang w:val="en-GB" w:eastAsia="en-GB"/>
        </w:rPr>
        <w:t>)</w:t>
      </w:r>
    </w:p>
    <w:p w:rsidR="00005D41" w:rsidRPr="00DB453C" w:rsidRDefault="001E3E2A" w:rsidP="00DB453C">
      <w:pPr>
        <w:pStyle w:val="Authornames"/>
        <w:jc w:val="center"/>
        <w:rPr>
          <w:sz w:val="24"/>
          <w:vertAlign w:val="superscript"/>
        </w:rPr>
      </w:pPr>
      <w:r w:rsidRPr="004F0EDA">
        <w:rPr>
          <w:sz w:val="24"/>
        </w:rPr>
        <w:t>Justin C. Goldstein</w:t>
      </w:r>
      <w:r w:rsidR="00DB453C" w:rsidRPr="00DB453C">
        <w:rPr>
          <w:sz w:val="24"/>
          <w:vertAlign w:val="superscript"/>
        </w:rPr>
        <w:t>1</w:t>
      </w:r>
      <w:r w:rsidR="00005D41">
        <w:rPr>
          <w:sz w:val="24"/>
        </w:rPr>
        <w:t>*</w:t>
      </w:r>
      <w:r w:rsidRPr="004F0EDA">
        <w:rPr>
          <w:sz w:val="24"/>
        </w:rPr>
        <w:t xml:space="preserve"> </w:t>
      </w:r>
      <w:r>
        <w:rPr>
          <w:sz w:val="24"/>
        </w:rPr>
        <w:t xml:space="preserve">and </w:t>
      </w:r>
      <w:r w:rsidRPr="004F0EDA">
        <w:rPr>
          <w:sz w:val="24"/>
        </w:rPr>
        <w:t>Aondover</w:t>
      </w:r>
      <w:r>
        <w:rPr>
          <w:sz w:val="24"/>
        </w:rPr>
        <w:t xml:space="preserve"> </w:t>
      </w:r>
      <w:r w:rsidRPr="004F0EDA">
        <w:rPr>
          <w:sz w:val="24"/>
        </w:rPr>
        <w:t>Tarhule</w:t>
      </w:r>
      <w:r w:rsidR="00DB453C" w:rsidRPr="00DB453C">
        <w:rPr>
          <w:sz w:val="24"/>
          <w:vertAlign w:val="superscript"/>
        </w:rPr>
        <w:t>1</w:t>
      </w:r>
    </w:p>
    <w:p w:rsidR="00005D41" w:rsidRPr="005532C0" w:rsidRDefault="00005D41" w:rsidP="00005D41">
      <w:pPr>
        <w:jc w:val="center"/>
        <w:rPr>
          <w:b/>
          <w:bCs/>
          <w:vertAlign w:val="superscript"/>
        </w:rPr>
      </w:pPr>
    </w:p>
    <w:p w:rsidR="00005D41" w:rsidRPr="005532C0" w:rsidRDefault="00005D41" w:rsidP="00005D41">
      <w:pPr>
        <w:jc w:val="center"/>
        <w:rPr>
          <w:bCs/>
          <w:i/>
        </w:rPr>
      </w:pPr>
    </w:p>
    <w:p w:rsidR="00005D41" w:rsidRDefault="00005D41" w:rsidP="00005D41">
      <w:pPr>
        <w:jc w:val="center"/>
        <w:rPr>
          <w:b/>
          <w:bCs/>
          <w:u w:val="single"/>
          <w:vertAlign w:val="superscript"/>
        </w:rPr>
      </w:pPr>
    </w:p>
    <w:p w:rsidR="00005D41" w:rsidRDefault="00005D41" w:rsidP="00005D41">
      <w:pPr>
        <w:jc w:val="center"/>
        <w:rPr>
          <w:b/>
          <w:bCs/>
          <w:u w:val="single"/>
          <w:vertAlign w:val="superscript"/>
        </w:rPr>
      </w:pPr>
    </w:p>
    <w:p w:rsidR="00005D41" w:rsidRPr="00051202" w:rsidRDefault="00005D41" w:rsidP="00005D41">
      <w:pPr>
        <w:rPr>
          <w:bCs/>
        </w:rPr>
      </w:pPr>
      <w:r w:rsidRPr="00051202">
        <w:rPr>
          <w:bCs/>
          <w:vertAlign w:val="superscript"/>
        </w:rPr>
        <w:t>*</w:t>
      </w:r>
      <w:r w:rsidRPr="00051202">
        <w:rPr>
          <w:bCs/>
        </w:rPr>
        <w:t xml:space="preserve"> Corresponding Author.  E-mail: </w:t>
      </w:r>
      <w:r w:rsidRPr="009974F9">
        <w:rPr>
          <w:bCs/>
        </w:rPr>
        <w:t>Justin.C.Goldstein-1@ou.edu</w:t>
      </w:r>
    </w:p>
    <w:p w:rsidR="00005D41" w:rsidRPr="00051202" w:rsidRDefault="00005D41" w:rsidP="00005D41">
      <w:pPr>
        <w:rPr>
          <w:bCs/>
        </w:rPr>
      </w:pPr>
    </w:p>
    <w:p w:rsidR="00005D41" w:rsidRPr="00051202" w:rsidRDefault="00005D41" w:rsidP="00005D41">
      <w:pPr>
        <w:rPr>
          <w:bCs/>
        </w:rPr>
      </w:pPr>
      <w:r w:rsidRPr="00051202">
        <w:rPr>
          <w:bCs/>
          <w:vertAlign w:val="superscript"/>
        </w:rPr>
        <w:t>1</w:t>
      </w:r>
      <w:r w:rsidRPr="00051202">
        <w:rPr>
          <w:bCs/>
        </w:rPr>
        <w:t>Department of Geography and Environmental Sustainability</w:t>
      </w:r>
    </w:p>
    <w:p w:rsidR="00005D41" w:rsidRPr="00051202" w:rsidRDefault="00005D41" w:rsidP="00005D41">
      <w:pPr>
        <w:rPr>
          <w:bCs/>
        </w:rPr>
      </w:pPr>
      <w:r w:rsidRPr="00051202">
        <w:rPr>
          <w:bCs/>
        </w:rPr>
        <w:t>University of Oklahoma</w:t>
      </w:r>
    </w:p>
    <w:p w:rsidR="00005D41" w:rsidRPr="00051202" w:rsidRDefault="00005D41" w:rsidP="00005D41">
      <w:pPr>
        <w:rPr>
          <w:bCs/>
        </w:rPr>
      </w:pPr>
      <w:r w:rsidRPr="00051202">
        <w:rPr>
          <w:bCs/>
        </w:rPr>
        <w:t>100 E. Boyd Street SEC Suite 510</w:t>
      </w:r>
    </w:p>
    <w:p w:rsidR="00005D41" w:rsidRPr="00051202" w:rsidRDefault="00005D41" w:rsidP="00005D41">
      <w:pPr>
        <w:rPr>
          <w:bCs/>
        </w:rPr>
      </w:pPr>
      <w:r w:rsidRPr="00051202">
        <w:rPr>
          <w:bCs/>
        </w:rPr>
        <w:t>Norman, OK 73019 USA</w:t>
      </w:r>
    </w:p>
    <w:p w:rsidR="00005D41" w:rsidRPr="00051202" w:rsidRDefault="00005D41" w:rsidP="00005D41">
      <w:pPr>
        <w:rPr>
          <w:bCs/>
        </w:rPr>
      </w:pPr>
      <w:r>
        <w:rPr>
          <w:bCs/>
        </w:rPr>
        <w:t>+1</w:t>
      </w:r>
      <w:r w:rsidRPr="00051202">
        <w:rPr>
          <w:bCs/>
        </w:rPr>
        <w:t>(405) 325-5325 phone</w:t>
      </w:r>
    </w:p>
    <w:p w:rsidR="00005D41" w:rsidRPr="00051202" w:rsidRDefault="00005D41" w:rsidP="00005D41">
      <w:pPr>
        <w:rPr>
          <w:bCs/>
        </w:rPr>
      </w:pPr>
      <w:r>
        <w:rPr>
          <w:bCs/>
        </w:rPr>
        <w:t>+1</w:t>
      </w:r>
      <w:r w:rsidRPr="00051202">
        <w:rPr>
          <w:bCs/>
        </w:rPr>
        <w:t>(405) 325-6090 FAX</w:t>
      </w:r>
    </w:p>
    <w:p w:rsidR="001E3E2A" w:rsidRDefault="001E3E2A" w:rsidP="001E3E2A">
      <w:pPr>
        <w:pStyle w:val="Affiliation"/>
        <w:spacing w:line="240" w:lineRule="auto"/>
        <w:jc w:val="center"/>
        <w:rPr>
          <w:i w:val="0"/>
        </w:rPr>
      </w:pPr>
    </w:p>
    <w:p w:rsidR="001E3E2A" w:rsidRDefault="001E3E2A" w:rsidP="001E3E2A">
      <w:pPr>
        <w:spacing w:line="276" w:lineRule="auto"/>
        <w:rPr>
          <w:u w:val="single"/>
        </w:rPr>
      </w:pPr>
      <w:r>
        <w:rPr>
          <w:u w:val="single"/>
        </w:rPr>
        <w:br w:type="page"/>
      </w:r>
    </w:p>
    <w:p w:rsidR="00EF5F07" w:rsidRDefault="00EF5F07" w:rsidP="00E60A0F">
      <w:pPr>
        <w:pStyle w:val="Heading2"/>
      </w:pPr>
      <w:bookmarkStart w:id="29" w:name="_Toc364501625"/>
      <w:bookmarkStart w:id="30" w:name="_Toc368046156"/>
      <w:r>
        <w:lastRenderedPageBreak/>
        <w:t>Abstract</w:t>
      </w:r>
      <w:bookmarkEnd w:id="29"/>
      <w:bookmarkEnd w:id="30"/>
    </w:p>
    <w:p w:rsidR="007550E3" w:rsidRDefault="00772BF2" w:rsidP="005625CB">
      <w:pPr>
        <w:shd w:val="clear" w:color="auto" w:fill="FFFFFF"/>
        <w:spacing w:line="480" w:lineRule="auto"/>
        <w:rPr>
          <w:rFonts w:eastAsia="Times New Roman"/>
          <w:color w:val="222222"/>
        </w:rPr>
      </w:pPr>
      <w:r>
        <w:rPr>
          <w:rStyle w:val="apple-converted-space"/>
          <w:color w:val="222222"/>
          <w:shd w:val="clear" w:color="auto" w:fill="FFFFFF"/>
        </w:rPr>
        <w:t>I</w:t>
      </w:r>
      <w:r w:rsidR="001E3E2A">
        <w:rPr>
          <w:rStyle w:val="apple-converted-space"/>
          <w:color w:val="222222"/>
          <w:shd w:val="clear" w:color="auto" w:fill="FFFFFF"/>
        </w:rPr>
        <w:t xml:space="preserve"> trace</w:t>
      </w:r>
      <w:r w:rsidR="001E3E2A" w:rsidRPr="0096123D">
        <w:rPr>
          <w:rFonts w:eastAsia="Times New Roman"/>
          <w:color w:val="222222"/>
        </w:rPr>
        <w:t xml:space="preserve"> the role of land use as an important driver of social dynamics in the US Great Plains from the early nineteenth century to the present. </w:t>
      </w:r>
      <w:r w:rsidR="001E3E2A">
        <w:rPr>
          <w:rFonts w:eastAsia="Times New Roman"/>
          <w:color w:val="222222"/>
        </w:rPr>
        <w:t>Some early explorers</w:t>
      </w:r>
      <w:r w:rsidR="001E3E2A" w:rsidRPr="0096123D">
        <w:rPr>
          <w:rFonts w:eastAsia="Times New Roman"/>
          <w:color w:val="222222"/>
        </w:rPr>
        <w:t xml:space="preserve"> believed this region to be a desert, while others saw an opportunity to create an agricultural economy.  This </w:t>
      </w:r>
      <w:r w:rsidR="001E3E2A">
        <w:rPr>
          <w:rFonts w:eastAsia="Times New Roman"/>
          <w:color w:val="222222"/>
        </w:rPr>
        <w:t>dichotomy in perceptions</w:t>
      </w:r>
      <w:r w:rsidR="001E3E2A" w:rsidRPr="0096123D">
        <w:rPr>
          <w:rFonts w:eastAsia="Times New Roman"/>
          <w:color w:val="222222"/>
        </w:rPr>
        <w:t xml:space="preserve"> continues today, as the relative dearth of built-up land is a driving factor in discussions about sustainability </w:t>
      </w:r>
      <w:r w:rsidR="001E3E2A">
        <w:rPr>
          <w:rFonts w:eastAsia="Times New Roman"/>
          <w:color w:val="222222"/>
        </w:rPr>
        <w:t>in</w:t>
      </w:r>
      <w:r w:rsidR="001E3E2A" w:rsidRPr="0096123D">
        <w:rPr>
          <w:rFonts w:eastAsia="Times New Roman"/>
          <w:color w:val="222222"/>
        </w:rPr>
        <w:t xml:space="preserve"> this region.  Whereas some perceive </w:t>
      </w:r>
      <w:r w:rsidR="001E3E2A">
        <w:rPr>
          <w:rFonts w:eastAsia="Times New Roman"/>
          <w:color w:val="222222"/>
        </w:rPr>
        <w:t xml:space="preserve">the region’s population dynamics </w:t>
      </w:r>
      <w:r w:rsidR="001E3E2A" w:rsidRPr="0096123D">
        <w:rPr>
          <w:rFonts w:eastAsia="Times New Roman"/>
          <w:color w:val="222222"/>
        </w:rPr>
        <w:t xml:space="preserve">as indicative of a dying region, others </w:t>
      </w:r>
      <w:r w:rsidR="001E3E2A">
        <w:rPr>
          <w:rFonts w:eastAsia="Times New Roman"/>
          <w:color w:val="222222"/>
        </w:rPr>
        <w:t>view it as</w:t>
      </w:r>
      <w:r w:rsidR="001E3E2A" w:rsidRPr="0096123D">
        <w:rPr>
          <w:rFonts w:eastAsia="Times New Roman"/>
          <w:color w:val="222222"/>
        </w:rPr>
        <w:t xml:space="preserve"> an opportunity </w:t>
      </w:r>
      <w:r w:rsidR="001E3E2A">
        <w:rPr>
          <w:rFonts w:eastAsia="Times New Roman"/>
          <w:color w:val="222222"/>
        </w:rPr>
        <w:t>to foster economic development through an expanded agricultural and resource extraction base.</w:t>
      </w:r>
      <w:r w:rsidR="001E3E2A" w:rsidRPr="0096123D">
        <w:rPr>
          <w:rFonts w:eastAsia="Times New Roman"/>
          <w:color w:val="222222"/>
        </w:rPr>
        <w:t xml:space="preserve">  Projections of future land use indicate that this region will remain predominantly agricultural </w:t>
      </w:r>
      <w:r w:rsidR="001E3E2A">
        <w:rPr>
          <w:rFonts w:eastAsia="Times New Roman"/>
          <w:color w:val="222222"/>
        </w:rPr>
        <w:t xml:space="preserve">and low-density </w:t>
      </w:r>
      <w:r w:rsidR="001E3E2A" w:rsidRPr="0096123D">
        <w:rPr>
          <w:rFonts w:eastAsia="Times New Roman"/>
          <w:color w:val="222222"/>
        </w:rPr>
        <w:t xml:space="preserve">but with a more urban character in the </w:t>
      </w:r>
      <w:r w:rsidR="001E3E2A">
        <w:rPr>
          <w:rFonts w:eastAsia="Times New Roman"/>
          <w:color w:val="222222"/>
        </w:rPr>
        <w:t xml:space="preserve">already emerging and developed </w:t>
      </w:r>
      <w:r w:rsidR="001E3E2A" w:rsidRPr="0096123D">
        <w:rPr>
          <w:rFonts w:eastAsia="Times New Roman"/>
          <w:color w:val="222222"/>
        </w:rPr>
        <w:t xml:space="preserve">regional </w:t>
      </w:r>
      <w:r w:rsidR="001E3E2A">
        <w:rPr>
          <w:rFonts w:eastAsia="Times New Roman"/>
          <w:color w:val="222222"/>
        </w:rPr>
        <w:t xml:space="preserve">and metropolitan </w:t>
      </w:r>
      <w:r w:rsidR="001E3E2A" w:rsidRPr="0096123D">
        <w:rPr>
          <w:rFonts w:eastAsia="Times New Roman"/>
          <w:color w:val="222222"/>
        </w:rPr>
        <w:t>centers.  </w:t>
      </w:r>
    </w:p>
    <w:p w:rsidR="005625CB" w:rsidRDefault="001E3E2A" w:rsidP="005625CB">
      <w:pPr>
        <w:shd w:val="clear" w:color="auto" w:fill="FFFFFF"/>
        <w:spacing w:line="480" w:lineRule="auto"/>
        <w:rPr>
          <w:rFonts w:eastAsia="Times New Roman"/>
          <w:color w:val="222222"/>
        </w:rPr>
      </w:pPr>
      <w:r w:rsidRPr="007550E3">
        <w:rPr>
          <w:rFonts w:eastAsia="Times New Roman"/>
          <w:b/>
          <w:iCs/>
          <w:color w:val="222222"/>
        </w:rPr>
        <w:t>Keywords</w:t>
      </w:r>
      <w:r w:rsidRPr="007550E3">
        <w:rPr>
          <w:rFonts w:eastAsia="Times New Roman"/>
          <w:color w:val="222222"/>
        </w:rPr>
        <w:t>: </w:t>
      </w:r>
      <w:r w:rsidRPr="007550E3">
        <w:rPr>
          <w:rFonts w:eastAsia="Times New Roman"/>
          <w:iCs/>
          <w:color w:val="222222"/>
        </w:rPr>
        <w:t>Agriculture, Biofuels, Great Plains, Rural Areas, Sustainability</w:t>
      </w:r>
    </w:p>
    <w:p w:rsidR="005625CB" w:rsidRDefault="005625CB" w:rsidP="005625CB">
      <w:r>
        <w:br w:type="page"/>
      </w:r>
    </w:p>
    <w:p w:rsidR="001E3E2A" w:rsidRDefault="001E3E2A" w:rsidP="005625CB">
      <w:pPr>
        <w:shd w:val="clear" w:color="auto" w:fill="FFFFFF"/>
        <w:spacing w:line="480" w:lineRule="auto"/>
      </w:pPr>
      <w:r w:rsidRPr="00E8243A">
        <w:lastRenderedPageBreak/>
        <w:t xml:space="preserve">     Situated roughly on a north-south gradient between the 98</w:t>
      </w:r>
      <w:r w:rsidRPr="00E8243A">
        <w:rPr>
          <w:vertAlign w:val="superscript"/>
        </w:rPr>
        <w:t>th</w:t>
      </w:r>
      <w:r w:rsidRPr="00E8243A">
        <w:t xml:space="preserve"> meridian and the Rocky Mountains is the Great Plains (GP) region of the United States of America (Figure </w:t>
      </w:r>
      <w:r w:rsidR="002D6D53">
        <w:t>2.</w:t>
      </w:r>
      <w:r w:rsidRPr="00E8243A">
        <w:t xml:space="preserve">1).  </w:t>
      </w:r>
      <w:r w:rsidR="00835792">
        <w:t>Within its US portion</w:t>
      </w:r>
      <w:r>
        <w:t xml:space="preserve">, the </w:t>
      </w:r>
      <w:r w:rsidRPr="00E8243A">
        <w:t xml:space="preserve">GP </w:t>
      </w:r>
      <w:r>
        <w:t xml:space="preserve">is home to 9.9 million people and </w:t>
      </w:r>
      <w:r w:rsidRPr="00E8243A">
        <w:t>covers approximately 1.</w:t>
      </w:r>
      <w:r>
        <w:t>4</w:t>
      </w:r>
      <w:r w:rsidRPr="00E8243A">
        <w:t xml:space="preserve"> million km</w:t>
      </w:r>
      <w:r w:rsidRPr="00E8243A">
        <w:rPr>
          <w:vertAlign w:val="superscript"/>
        </w:rPr>
        <w:t>2</w:t>
      </w:r>
      <w:r w:rsidRPr="00E8243A">
        <w:t xml:space="preserve"> spread over </w:t>
      </w:r>
      <w:r>
        <w:t>nine</w:t>
      </w:r>
      <w:r w:rsidRPr="00E8243A">
        <w:t xml:space="preserve"> states </w:t>
      </w:r>
      <w:r>
        <w:t>(Wilson 2009</w:t>
      </w:r>
      <w:r w:rsidRPr="00E8243A">
        <w:t>).</w:t>
      </w:r>
      <w:r>
        <w:t xml:space="preserve">  </w:t>
      </w:r>
      <w:r w:rsidRPr="00E8243A">
        <w:t xml:space="preserve">The </w:t>
      </w:r>
      <w:r>
        <w:t xml:space="preserve">native vegetation of the </w:t>
      </w:r>
      <w:r w:rsidRPr="00E8243A">
        <w:t xml:space="preserve">region </w:t>
      </w:r>
      <w:r>
        <w:t>is</w:t>
      </w:r>
      <w:r w:rsidRPr="00E8243A">
        <w:t xml:space="preserve"> largely grassland, with tallgrasses dominating the </w:t>
      </w:r>
      <w:r>
        <w:t xml:space="preserve">humid </w:t>
      </w:r>
      <w:r w:rsidRPr="00E8243A">
        <w:t xml:space="preserve">eastern portions, and shortgrasses and steppe dominating the </w:t>
      </w:r>
      <w:r>
        <w:t xml:space="preserve">drier </w:t>
      </w:r>
      <w:r w:rsidRPr="00E8243A">
        <w:t>western portions.  Trees are restricted to riparian zones and settlements (</w:t>
      </w:r>
      <w:r>
        <w:t>Hudson</w:t>
      </w:r>
      <w:r w:rsidRPr="00E8243A">
        <w:t xml:space="preserve"> 2011).  The region contains thriving manufacturing</w:t>
      </w:r>
      <w:r>
        <w:t xml:space="preserve"> and </w:t>
      </w:r>
      <w:r w:rsidRPr="00E8243A">
        <w:t>mining</w:t>
      </w:r>
      <w:r>
        <w:t xml:space="preserve"> industries</w:t>
      </w:r>
      <w:r w:rsidRPr="00E8243A">
        <w:t xml:space="preserve"> but agriculture remains the predominant </w:t>
      </w:r>
      <w:r>
        <w:t xml:space="preserve">economic </w:t>
      </w:r>
      <w:r w:rsidRPr="00E8243A">
        <w:t xml:space="preserve">activity. </w:t>
      </w:r>
    </w:p>
    <w:p w:rsidR="002D6D53" w:rsidRDefault="00D06B4A" w:rsidP="00F86E62">
      <w:pPr>
        <w:jc w:val="center"/>
      </w:pPr>
      <w:r>
        <w:rPr>
          <w:noProof/>
        </w:rPr>
        <w:drawing>
          <wp:inline distT="0" distB="0" distL="0" distR="0" wp14:anchorId="203BDB64" wp14:editId="335C3E21">
            <wp:extent cx="4572000" cy="2971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Fig2.1.png"/>
                    <pic:cNvPicPr/>
                  </pic:nvPicPr>
                  <pic:blipFill rotWithShape="1">
                    <a:blip r:embed="rId13" cstate="print">
                      <a:extLst>
                        <a:ext uri="{28A0092B-C50C-407E-A947-70E740481C1C}">
                          <a14:useLocalDpi xmlns:a14="http://schemas.microsoft.com/office/drawing/2010/main" val="0"/>
                        </a:ext>
                      </a:extLst>
                    </a:blip>
                    <a:srcRect t="25821" b="25647"/>
                    <a:stretch/>
                  </pic:blipFill>
                  <pic:spPr bwMode="auto">
                    <a:xfrm>
                      <a:off x="0" y="0"/>
                      <a:ext cx="4572009" cy="2971806"/>
                    </a:xfrm>
                    <a:prstGeom prst="rect">
                      <a:avLst/>
                    </a:prstGeom>
                    <a:ln>
                      <a:noFill/>
                    </a:ln>
                    <a:extLst>
                      <a:ext uri="{53640926-AAD7-44D8-BBD7-CCE9431645EC}">
                        <a14:shadowObscured xmlns:a14="http://schemas.microsoft.com/office/drawing/2010/main"/>
                      </a:ext>
                    </a:extLst>
                  </pic:spPr>
                </pic:pic>
              </a:graphicData>
            </a:graphic>
          </wp:inline>
        </w:drawing>
      </w:r>
    </w:p>
    <w:p w:rsidR="002D6D53" w:rsidRDefault="002D6D53" w:rsidP="00490F16">
      <w:pPr>
        <w:pStyle w:val="Figurecaption"/>
      </w:pPr>
      <w:bookmarkStart w:id="31" w:name="_Toc364442678"/>
      <w:bookmarkStart w:id="32" w:name="_Toc364505721"/>
      <w:bookmarkStart w:id="33" w:name="_Toc367004733"/>
      <w:r w:rsidRPr="00F33486">
        <w:t>Figure 2.1: The Great Plains, as defined in this paper, including settlements mentioned in this paper.</w:t>
      </w:r>
      <w:r w:rsidRPr="00490F16">
        <w:t xml:space="preserve">  Data source: The National Atlas of the United States of America.</w:t>
      </w:r>
      <w:bookmarkEnd w:id="31"/>
      <w:bookmarkEnd w:id="32"/>
      <w:bookmarkEnd w:id="33"/>
    </w:p>
    <w:p w:rsidR="002D6D53" w:rsidRPr="00E8243A" w:rsidRDefault="002D6D53" w:rsidP="001E3E2A">
      <w:pPr>
        <w:spacing w:line="480" w:lineRule="auto"/>
      </w:pPr>
    </w:p>
    <w:p w:rsidR="001E3E2A" w:rsidRDefault="001E3E2A" w:rsidP="001E3E2A">
      <w:pPr>
        <w:spacing w:line="480" w:lineRule="auto"/>
      </w:pPr>
      <w:r w:rsidRPr="00E8243A">
        <w:lastRenderedPageBreak/>
        <w:t xml:space="preserve">     The dominance of agriculture coupled with the region’s large wheat-producing heritage has contributed to</w:t>
      </w:r>
      <w:r>
        <w:t xml:space="preserve"> the legend of the GP as part of </w:t>
      </w:r>
      <w:r w:rsidRPr="00E8243A">
        <w:t>“America’s Breadbasket” (Garreau 1981), a title conjuring images of agricul</w:t>
      </w:r>
      <w:r>
        <w:t xml:space="preserve">tural tradition and prosperity.  </w:t>
      </w:r>
      <w:r w:rsidRPr="00E8243A">
        <w:t>Yet, perceptions of the GP have not always been so optimistic.</w:t>
      </w:r>
      <w:r w:rsidR="00035FA6">
        <w:t xml:space="preserve">  This study of the GP is restricted to the US portion due to the importance of Federal policies in facilitating domestic migration which is </w:t>
      </w:r>
      <w:r w:rsidR="008E0089">
        <w:t>highlighted</w:t>
      </w:r>
      <w:r w:rsidR="00035FA6">
        <w:t xml:space="preserve"> below.</w:t>
      </w:r>
      <w:r w:rsidR="00140AF1">
        <w:t xml:space="preserve">  </w:t>
      </w:r>
      <w:r w:rsidRPr="00E8243A">
        <w:t xml:space="preserve">  </w:t>
      </w:r>
    </w:p>
    <w:p w:rsidR="001E3E2A" w:rsidRPr="00BF3E2E" w:rsidRDefault="001E3E2A" w:rsidP="00E60A0F">
      <w:pPr>
        <w:pStyle w:val="Heading2"/>
      </w:pPr>
      <w:bookmarkStart w:id="34" w:name="_Toc364501626"/>
      <w:bookmarkStart w:id="35" w:name="_Toc368046157"/>
      <w:r w:rsidRPr="00BF3E2E">
        <w:t>2.1: T</w:t>
      </w:r>
      <w:r w:rsidR="006F29EA">
        <w:t xml:space="preserve">he Great Plains </w:t>
      </w:r>
      <w:proofErr w:type="gramStart"/>
      <w:r w:rsidR="006F29EA">
        <w:t>As</w:t>
      </w:r>
      <w:proofErr w:type="gramEnd"/>
      <w:r w:rsidR="006F29EA">
        <w:t xml:space="preserve"> “The Great American Desert”</w:t>
      </w:r>
      <w:bookmarkEnd w:id="34"/>
      <w:bookmarkEnd w:id="35"/>
    </w:p>
    <w:p w:rsidR="001E3E2A" w:rsidRDefault="001E3E2A" w:rsidP="001E3E2A">
      <w:pPr>
        <w:spacing w:line="480" w:lineRule="auto"/>
      </w:pPr>
      <w:r w:rsidRPr="00E8243A">
        <w:t xml:space="preserve"> </w:t>
      </w:r>
      <w:r>
        <w:t xml:space="preserve">     The </w:t>
      </w:r>
      <w:r w:rsidRPr="00E8243A">
        <w:t xml:space="preserve">lack of precipitation </w:t>
      </w:r>
      <w:r>
        <w:t xml:space="preserve">and dearth of trees </w:t>
      </w:r>
      <w:r w:rsidRPr="00E8243A">
        <w:t>caused early 19</w:t>
      </w:r>
      <w:r w:rsidRPr="00E8243A">
        <w:rPr>
          <w:vertAlign w:val="superscript"/>
        </w:rPr>
        <w:t>th</w:t>
      </w:r>
      <w:r w:rsidRPr="00E8243A">
        <w:t xml:space="preserve"> century explorers to </w:t>
      </w:r>
      <w:r>
        <w:t xml:space="preserve">describe this region as a wasteland and to </w:t>
      </w:r>
      <w:r w:rsidRPr="00E8243A">
        <w:t xml:space="preserve">paint a pessimistic picture of the future of </w:t>
      </w:r>
      <w:r w:rsidR="003502F9">
        <w:t>non-N</w:t>
      </w:r>
      <w:r>
        <w:t xml:space="preserve">ative American </w:t>
      </w:r>
      <w:r w:rsidRPr="00E8243A">
        <w:t>settlement</w:t>
      </w:r>
      <w:r>
        <w:t xml:space="preserve"> in the GP</w:t>
      </w:r>
      <w:r w:rsidRPr="00E8243A">
        <w:t xml:space="preserve">.  Following his exploration of the area between St. Louis, Missouri and the Rocky Mountains in 1806, Lieutenant Zebulon Pike </w:t>
      </w:r>
      <w:r>
        <w:t xml:space="preserve">described the region as </w:t>
      </w:r>
      <w:r w:rsidRPr="00E8243A">
        <w:t>desert</w:t>
      </w:r>
      <w:r>
        <w:t xml:space="preserve">, </w:t>
      </w:r>
      <w:r w:rsidRPr="00E8243A">
        <w:t xml:space="preserve">“these vast plains of the western hemisphere may become in time equally celebrated as the sandy </w:t>
      </w:r>
      <w:r>
        <w:t xml:space="preserve">deserts of Africa (Pike 1810, 8).  </w:t>
      </w:r>
      <w:r w:rsidRPr="00E8243A">
        <w:t xml:space="preserve">Similarly, after his failed 1819 Yellowstone Expedition, Major Stephen Long </w:t>
      </w:r>
      <w:r>
        <w:t xml:space="preserve">characterized a 800-kilometer long region east of the Rocky Mountains as a “Great Desert” (James et al. 1823, 276) </w:t>
      </w:r>
      <w:r w:rsidRPr="00E8243A">
        <w:t xml:space="preserve">and </w:t>
      </w:r>
      <w:r>
        <w:t>noted, per expedition geographer Edwin James (1823, 236):</w:t>
      </w:r>
    </w:p>
    <w:p w:rsidR="002D6D53" w:rsidRDefault="001E3E2A" w:rsidP="00B34071">
      <w:pPr>
        <w:spacing w:line="480" w:lineRule="auto"/>
        <w:jc w:val="center"/>
      </w:pPr>
      <w:r w:rsidRPr="00E8243A">
        <w:t>“I do not hesitate in giving the opinion, that it is almost wholly unfit for cultivation</w:t>
      </w:r>
      <w:r>
        <w:t>, and of course uninhabitable by a people depending upon agriculture for their subsistence</w:t>
      </w:r>
      <w:r w:rsidRPr="00E8243A">
        <w:t>… the scarcity of wood and water, almost uniformly prevalent, will prove an insuperable obstacle in the way of settl</w:t>
      </w:r>
      <w:r w:rsidR="002D6D53">
        <w:t>ing the country.”</w:t>
      </w:r>
    </w:p>
    <w:p w:rsidR="001E3E2A" w:rsidRPr="00E8243A" w:rsidRDefault="001E3E2A" w:rsidP="001E3E2A">
      <w:pPr>
        <w:spacing w:line="480" w:lineRule="auto"/>
      </w:pPr>
      <w:r>
        <w:lastRenderedPageBreak/>
        <w:t>Additionally, he wrote “This region, however, viewed as a frontier, may prove of infinite importance to the United States, in as much as it is calculated to serve as a barrier to prevent too great an extension of our population westward” (James et al. 1823, 237).</w:t>
      </w:r>
      <w:r w:rsidRPr="00E8243A">
        <w:t xml:space="preserve"> </w:t>
      </w:r>
      <w:r>
        <w:t xml:space="preserve"> </w:t>
      </w:r>
      <w:r w:rsidRPr="00E8243A">
        <w:t xml:space="preserve"> </w:t>
      </w:r>
    </w:p>
    <w:p w:rsidR="001E3E2A" w:rsidRDefault="001E3E2A" w:rsidP="001E3E2A">
      <w:pPr>
        <w:spacing w:line="480" w:lineRule="auto"/>
      </w:pPr>
      <w:r>
        <w:t xml:space="preserve">     </w:t>
      </w:r>
      <w:r w:rsidRPr="00E8243A">
        <w:t xml:space="preserve">A </w:t>
      </w:r>
      <w:r>
        <w:t xml:space="preserve">number of scholars (e.g. </w:t>
      </w:r>
      <w:r w:rsidRPr="00E8243A">
        <w:t>Webb 1931</w:t>
      </w:r>
      <w:r>
        <w:t xml:space="preserve">, </w:t>
      </w:r>
      <w:r w:rsidRPr="00E8243A">
        <w:t>152</w:t>
      </w:r>
      <w:r>
        <w:t xml:space="preserve">; </w:t>
      </w:r>
      <w:r w:rsidRPr="00E8243A">
        <w:t xml:space="preserve">Stegner 1954, 215) </w:t>
      </w:r>
      <w:r>
        <w:t>believe t</w:t>
      </w:r>
      <w:r w:rsidRPr="00E8243A">
        <w:t>hat the</w:t>
      </w:r>
      <w:r>
        <w:t xml:space="preserve"> idea of the GP as the</w:t>
      </w:r>
      <w:r w:rsidRPr="00E8243A">
        <w:t xml:space="preserve"> Great American Desert was fully engrained in the American consciousness in the </w:t>
      </w:r>
      <w:r>
        <w:t>first half of the nineteenth century.  Additionally,</w:t>
      </w:r>
      <w:r w:rsidRPr="00E8243A">
        <w:t xml:space="preserve"> Stegner (1954, 215) notes that practically every west-bound traveler in the early nineteenth century </w:t>
      </w:r>
      <w:r>
        <w:t xml:space="preserve">remarked upon </w:t>
      </w:r>
      <w:r w:rsidRPr="00E8243A">
        <w:t xml:space="preserve">the arid nature of the region </w:t>
      </w:r>
      <w:r>
        <w:t xml:space="preserve">(e.g. Greeley 1860, 36).   </w:t>
      </w:r>
    </w:p>
    <w:p w:rsidR="000D5404" w:rsidRPr="00E8243A" w:rsidRDefault="001E3E2A" w:rsidP="001E3E2A">
      <w:pPr>
        <w:spacing w:line="480" w:lineRule="auto"/>
      </w:pPr>
      <w:r>
        <w:t xml:space="preserve">     </w:t>
      </w:r>
      <w:r w:rsidRPr="00E8243A">
        <w:t xml:space="preserve">However, </w:t>
      </w:r>
      <w:r>
        <w:t>i</w:t>
      </w:r>
      <w:r w:rsidRPr="00E8243A">
        <w:t>n the journals of those who traveled through the Great Plains between 1824 and 1869, New Englanders</w:t>
      </w:r>
      <w:r>
        <w:t xml:space="preserve"> predominantly were inclined to refer to the region as a</w:t>
      </w:r>
      <w:r w:rsidRPr="00E8243A">
        <w:t xml:space="preserve"> </w:t>
      </w:r>
      <w:r>
        <w:t>d</w:t>
      </w:r>
      <w:r w:rsidRPr="00E8243A">
        <w:t>esert</w:t>
      </w:r>
      <w:r>
        <w:t>;</w:t>
      </w:r>
      <w:r w:rsidRPr="00E8243A">
        <w:t xml:space="preserve"> </w:t>
      </w:r>
      <w:r>
        <w:t>travelers from other areas did so less frequently or not at all (Bowden, 1969) .</w:t>
      </w:r>
      <w:r w:rsidRPr="00E8243A">
        <w:t xml:space="preserve">  For </w:t>
      </w:r>
      <w:r>
        <w:t xml:space="preserve">example, </w:t>
      </w:r>
      <w:r w:rsidRPr="00E8243A">
        <w:t>of the 14</w:t>
      </w:r>
      <w:r>
        <w:t>3</w:t>
      </w:r>
      <w:r w:rsidRPr="00E8243A">
        <w:t xml:space="preserve"> members of the Church of Jesus Christ of Latter Day Saints (LDS) that journeyed in 1847 to what would become Salt Lake City, </w:t>
      </w:r>
      <w:r>
        <w:t>travelers remarked on the lack of moisture and grass and the prevalence of wind-blown dust in the western portions of the GP but only one wrote the word “desert” in his diary and none used the nomenclature “Great American Desert” (Jackson 1992).  One traveler</w:t>
      </w:r>
      <w:r w:rsidRPr="00E8243A">
        <w:t xml:space="preserve"> even called Nebraska “the most delightful country of undulating prairie and slopes crowned with richest kind of grass.”  Bowden (1969) concludes that “the myth of the Great American Desert as the popular American image of the Western Interior before the Civil War is itself a myth.”  Regardless of which analysis is correct, </w:t>
      </w:r>
      <w:r w:rsidR="00035FA6">
        <w:t xml:space="preserve">it can be concluded that </w:t>
      </w:r>
      <w:r w:rsidRPr="00E8243A">
        <w:t xml:space="preserve">most Americans did not consider </w:t>
      </w:r>
      <w:r>
        <w:t>migration to</w:t>
      </w:r>
      <w:r w:rsidRPr="00E8243A">
        <w:t xml:space="preserve"> this region at the beginning of the 19</w:t>
      </w:r>
      <w:r w:rsidRPr="00E8243A">
        <w:rPr>
          <w:vertAlign w:val="superscript"/>
        </w:rPr>
        <w:t>th</w:t>
      </w:r>
      <w:r w:rsidRPr="00E8243A">
        <w:t xml:space="preserve"> century</w:t>
      </w:r>
      <w:r w:rsidR="000D40AB">
        <w:t xml:space="preserve">. </w:t>
      </w:r>
    </w:p>
    <w:p w:rsidR="001E3E2A" w:rsidRPr="00BF3E2E" w:rsidRDefault="001E3E2A" w:rsidP="00E60A0F">
      <w:pPr>
        <w:pStyle w:val="Heading2"/>
      </w:pPr>
      <w:r w:rsidRPr="00E8243A">
        <w:lastRenderedPageBreak/>
        <w:t xml:space="preserve">    </w:t>
      </w:r>
      <w:bookmarkStart w:id="36" w:name="_Toc364501627"/>
      <w:bookmarkStart w:id="37" w:name="_Toc368046158"/>
      <w:r w:rsidRPr="00BF3E2E">
        <w:t xml:space="preserve">2.2: </w:t>
      </w:r>
      <w:r w:rsidR="006F29EA">
        <w:t>Land Use Change I: Settling the “Desert”</w:t>
      </w:r>
      <w:bookmarkEnd w:id="36"/>
      <w:bookmarkEnd w:id="37"/>
    </w:p>
    <w:p w:rsidR="001E3E2A" w:rsidRPr="00E8243A" w:rsidRDefault="001E3E2A" w:rsidP="001E3E2A">
      <w:pPr>
        <w:spacing w:line="480" w:lineRule="auto"/>
      </w:pPr>
      <w:r>
        <w:t xml:space="preserve">     N</w:t>
      </w:r>
      <w:r w:rsidRPr="00E8243A">
        <w:t>on-</w:t>
      </w:r>
      <w:r w:rsidR="003502F9">
        <w:t>N</w:t>
      </w:r>
      <w:r w:rsidRPr="00E8243A">
        <w:t>ative American settlements began to appear on the Great Plains by the middle of the 19</w:t>
      </w:r>
      <w:r w:rsidRPr="00E8243A">
        <w:rPr>
          <w:vertAlign w:val="superscript"/>
        </w:rPr>
        <w:t>th</w:t>
      </w:r>
      <w:r w:rsidRPr="00E8243A">
        <w:t xml:space="preserve"> Century.</w:t>
      </w:r>
      <w:r>
        <w:t xml:space="preserve">  Analyses of the geographic variations in the migrations to the Great Plains have been discussed elsewhere at length (see e.g. Hudson 1976, 1986; Shortridge 1988).  Here, it suffices to note only that through initiatives like the Homestead Act (1862), Soldier and Sailors Act (1872), Timber Culture Act (1873), and the Desert Lands Act (1877), the Federal government offered inexpensive land to potential settlers in order to encourage westward expansion (e.g. Resiner 1993).  Additionally</w:t>
      </w:r>
      <w:r w:rsidRPr="00E8243A">
        <w:t xml:space="preserve">, </w:t>
      </w:r>
      <w:r>
        <w:t>f</w:t>
      </w:r>
      <w:r w:rsidRPr="00E8243A">
        <w:t>ollowing the completion of the Transcontinental Railroad in 1869, the rail lines progressed rapidly, simultaneously spawning settlements related to the construction, supply</w:t>
      </w:r>
      <w:r>
        <w:t>,</w:t>
      </w:r>
      <w:r w:rsidRPr="00E8243A">
        <w:t xml:space="preserve"> and maintenance of the railroads as well as </w:t>
      </w:r>
      <w:r>
        <w:t>facilitating the</w:t>
      </w:r>
      <w:r w:rsidRPr="00E8243A">
        <w:t xml:space="preserve"> </w:t>
      </w:r>
      <w:r>
        <w:t>large-scale movement of people into the GP (e.g. White 2011, 455-493)</w:t>
      </w:r>
      <w:r w:rsidRPr="00E8243A">
        <w:t xml:space="preserve">. </w:t>
      </w:r>
      <w:r>
        <w:t xml:space="preserve"> </w:t>
      </w:r>
      <w:r w:rsidRPr="00E8243A">
        <w:t xml:space="preserve">Taking advantage of </w:t>
      </w:r>
      <w:r>
        <w:t>these</w:t>
      </w:r>
      <w:r w:rsidRPr="00E8243A">
        <w:t xml:space="preserve"> development</w:t>
      </w:r>
      <w:r>
        <w:t>s</w:t>
      </w:r>
      <w:r w:rsidRPr="00E8243A">
        <w:t>, land speculators, including many who had acquired land inexpensively</w:t>
      </w:r>
      <w:r>
        <w:t>,</w:t>
      </w:r>
      <w:r w:rsidRPr="00E8243A">
        <w:t xml:space="preserve"> </w:t>
      </w:r>
      <w:r>
        <w:t>aggressively promoted</w:t>
      </w:r>
      <w:r w:rsidRPr="00E8243A">
        <w:t xml:space="preserve"> settlements in the West, including the </w:t>
      </w:r>
      <w:r>
        <w:t>GP</w:t>
      </w:r>
      <w:r w:rsidRPr="00E8243A">
        <w:t xml:space="preserve">. </w:t>
      </w:r>
    </w:p>
    <w:p w:rsidR="004750FF" w:rsidRDefault="001E3E2A" w:rsidP="001E3E2A">
      <w:pPr>
        <w:spacing w:line="480" w:lineRule="auto"/>
      </w:pPr>
      <w:r w:rsidRPr="00E8243A">
        <w:t xml:space="preserve">     One method of promoting migration to the Plains was the popularization of the theory that “rain follows the plow,” which claimed that soil cultivation for agriculture induces rainfall</w:t>
      </w:r>
      <w:r>
        <w:t>, a view supported by some scientists, politicians, and railroad magnates alike (e.g. Thomas 1873, 237; Wilber 1881, 70)</w:t>
      </w:r>
      <w:r w:rsidRPr="00E8243A">
        <w:t xml:space="preserve">.  </w:t>
      </w:r>
      <w:r>
        <w:t>Like</w:t>
      </w:r>
      <w:r w:rsidRPr="00E8243A">
        <w:t xml:space="preserve"> all such claims this </w:t>
      </w:r>
      <w:r w:rsidR="00BB441E">
        <w:t>promotion</w:t>
      </w:r>
      <w:r w:rsidRPr="00E8243A">
        <w:t xml:space="preserve"> was effective because it appeared at cursory glance to have some factual basis.  </w:t>
      </w:r>
      <w:r>
        <w:t>Whereas 1845-1852 and 1856-1865 brought severe, sustained drought to portions of the GP (e.g. Woodhouse 2003), t</w:t>
      </w:r>
      <w:r w:rsidRPr="00E8243A">
        <w:t xml:space="preserve">he period immediately following the American Civil War </w:t>
      </w:r>
      <w:r>
        <w:t>witnessed increased rainfall in the Great Plains.  D</w:t>
      </w:r>
      <w:r w:rsidRPr="00E8243A">
        <w:t xml:space="preserve">uring this time, individuals in wagon </w:t>
      </w:r>
      <w:r w:rsidRPr="00E8243A">
        <w:lastRenderedPageBreak/>
        <w:t>trains to Oregon noted that the dry landscapes of Western Nebraska had turned green (Reisner 1993, 35).</w:t>
      </w:r>
    </w:p>
    <w:p w:rsidR="001E3E2A" w:rsidRPr="00E8243A" w:rsidRDefault="004750FF" w:rsidP="001E3E2A">
      <w:pPr>
        <w:spacing w:line="480" w:lineRule="auto"/>
      </w:pPr>
      <w:r>
        <w:t xml:space="preserve">     T</w:t>
      </w:r>
      <w:r w:rsidR="001E3E2A" w:rsidRPr="00E8243A">
        <w:t xml:space="preserve">he “rain follows the plow” rhetoric caused Stegner (1954) to state, “The Great American Desert was laughed away, washed away in the flow of </w:t>
      </w:r>
      <w:r w:rsidR="001E3E2A">
        <w:t xml:space="preserve">[Colorado Governor and Presidential Aide William] </w:t>
      </w:r>
      <w:r w:rsidR="001E3E2A" w:rsidRPr="00E8243A">
        <w:t xml:space="preserve">Gilpin oratory, advertised away in the broadsides of land companies and railroad proselytizers” (p. 217).  Such promotions were effective; Colonel </w:t>
      </w:r>
      <w:r w:rsidR="001E3E2A">
        <w:t xml:space="preserve">Richard Irving </w:t>
      </w:r>
      <w:r w:rsidR="001E3E2A" w:rsidRPr="00E8243A">
        <w:t>Dodge (</w:t>
      </w:r>
      <w:r w:rsidR="001E3E2A">
        <w:t xml:space="preserve">1877, </w:t>
      </w:r>
      <w:r w:rsidR="001E3E2A" w:rsidRPr="00E8243A">
        <w:t>2) noted “What was then ‘unexplored’ is now almost thoroughly known.  What was then regarded as a desert supports, in some portions, thriving populations.  The blotch of thirty years ago is now known as ‘The Plains.’”</w:t>
      </w:r>
    </w:p>
    <w:p w:rsidR="001E3E2A" w:rsidRDefault="001E3E2A" w:rsidP="001E3E2A">
      <w:pPr>
        <w:spacing w:line="480" w:lineRule="auto"/>
      </w:pPr>
      <w:r w:rsidRPr="00E8243A">
        <w:t xml:space="preserve">     </w:t>
      </w:r>
      <w:r>
        <w:t xml:space="preserve">However, the period of good rainfall was transitory, above sentiments notwithstanding.  A combination of drought and blizzard hit the Western Plains from 1885-1887 causing a mass starve-off of cattle (e.g. Shortridge 1988).  </w:t>
      </w:r>
      <w:r w:rsidRPr="00E8243A">
        <w:t xml:space="preserve">The </w:t>
      </w:r>
      <w:r>
        <w:t xml:space="preserve">intensity of the </w:t>
      </w:r>
      <w:r w:rsidRPr="00E8243A">
        <w:t xml:space="preserve">1893-1894 drought </w:t>
      </w:r>
      <w:r>
        <w:t xml:space="preserve">period </w:t>
      </w:r>
      <w:r w:rsidRPr="00E8243A">
        <w:t>in Central and Western Kansas</w:t>
      </w:r>
      <w:r>
        <w:t xml:space="preserve"> </w:t>
      </w:r>
      <w:r w:rsidRPr="00E8243A">
        <w:t xml:space="preserve">led to farm failure and population declines of 27% in the </w:t>
      </w:r>
      <w:r>
        <w:t>twenty-four</w:t>
      </w:r>
      <w:r w:rsidRPr="00E8243A">
        <w:t xml:space="preserve"> Kansas counties west of the 100</w:t>
      </w:r>
      <w:r w:rsidRPr="00E8243A">
        <w:rPr>
          <w:vertAlign w:val="superscript"/>
        </w:rPr>
        <w:t>th</w:t>
      </w:r>
      <w:r w:rsidRPr="00E8243A">
        <w:t xml:space="preserve"> meridian from 1890-1900 (Libecap and Hansen 2002).  Concurrently the population grew by 19% in drought-free Eastern Kansas (Libecap and Hansen 2002).  The impacts of the drought extended into portions of neighboring Nebraska west of the 100</w:t>
      </w:r>
      <w:r w:rsidRPr="00E8243A">
        <w:rPr>
          <w:vertAlign w:val="superscript"/>
        </w:rPr>
        <w:t>th</w:t>
      </w:r>
      <w:r w:rsidRPr="00E8243A">
        <w:t xml:space="preserve"> meridian, where 15,284 fewer people resided and 6,018 fewer farms existed in 1900 than in 1890 (Fite 1977).</w:t>
      </w:r>
      <w:r>
        <w:t xml:space="preserve"> </w:t>
      </w:r>
      <w:r w:rsidRPr="00E8243A">
        <w:t xml:space="preserve">  The drought also resulted in a decrease in new homesteads when wetter periods resumed and to a consolidation of existing ones (</w:t>
      </w:r>
      <w:r>
        <w:t>Lib</w:t>
      </w:r>
      <w:r w:rsidRPr="00E8243A">
        <w:t>ecap and Hansen 2002).</w:t>
      </w:r>
      <w:r>
        <w:t xml:space="preserve">  </w:t>
      </w:r>
    </w:p>
    <w:p w:rsidR="001E3E2A" w:rsidRPr="00BF3E2E" w:rsidRDefault="001E3E2A" w:rsidP="00E60A0F">
      <w:pPr>
        <w:pStyle w:val="Heading2"/>
      </w:pPr>
      <w:bookmarkStart w:id="38" w:name="_Toc364501628"/>
      <w:bookmarkStart w:id="39" w:name="_Toc368046159"/>
      <w:r w:rsidRPr="00BF3E2E">
        <w:lastRenderedPageBreak/>
        <w:t xml:space="preserve">2.3: </w:t>
      </w:r>
      <w:r w:rsidR="006F29EA">
        <w:t>Land Use Change II: Adaptation to Drought</w:t>
      </w:r>
      <w:bookmarkEnd w:id="38"/>
      <w:bookmarkEnd w:id="39"/>
    </w:p>
    <w:p w:rsidR="001E3E2A" w:rsidRDefault="001E3E2A" w:rsidP="001E3E2A">
      <w:pPr>
        <w:spacing w:line="480" w:lineRule="auto"/>
      </w:pPr>
      <w:r w:rsidRPr="00E8243A">
        <w:t xml:space="preserve">     Not everyone abandoned the Plains; many endured drought by adapting their agricultural practices to the local climate.  Cunfer (2005,</w:t>
      </w:r>
      <w:r>
        <w:t xml:space="preserve"> </w:t>
      </w:r>
      <w:r w:rsidRPr="00E8243A">
        <w:t xml:space="preserve">5) categorizes the period between 1870 and 1920 as one of “rapid land-use adaptation.”  Many Central GP </w:t>
      </w:r>
      <w:r>
        <w:t xml:space="preserve">farmers </w:t>
      </w:r>
      <w:r w:rsidRPr="00E8243A">
        <w:t>replaced corn with more drought-tolerant wheat.  In the twenty-four Kansas counties west of the 100</w:t>
      </w:r>
      <w:r w:rsidRPr="00E8243A">
        <w:rPr>
          <w:vertAlign w:val="superscript"/>
        </w:rPr>
        <w:t>th</w:t>
      </w:r>
      <w:r>
        <w:t xml:space="preserve"> meridian, wheat </w:t>
      </w:r>
      <w:r w:rsidRPr="00E8243A">
        <w:t xml:space="preserve">acreage increased 391% from 35,230 ha to 172,928 ha between 1889 and 1896 (Fite 1977). </w:t>
      </w:r>
      <w:r>
        <w:t xml:space="preserve">  </w:t>
      </w:r>
      <w:r w:rsidRPr="00E8243A">
        <w:t>Additionally, some Kansas and Nebraska farmers used lister drills to plant wheat in trenches at right angles relative to prevailing winds, resulting in increased yields</w:t>
      </w:r>
      <w:r>
        <w:t xml:space="preserve"> (Bogue 1994, </w:t>
      </w:r>
      <w:r w:rsidRPr="00E8243A">
        <w:t xml:space="preserve">229).  </w:t>
      </w:r>
      <w:proofErr w:type="gramStart"/>
      <w:r w:rsidRPr="00E8243A">
        <w:t xml:space="preserve">From 1870-1920, </w:t>
      </w:r>
      <w:r>
        <w:t xml:space="preserve">GP </w:t>
      </w:r>
      <w:r w:rsidRPr="00E8243A">
        <w:t xml:space="preserve">farmers increased </w:t>
      </w:r>
      <w:r w:rsidR="00B731F3">
        <w:t>cropland</w:t>
      </w:r>
      <w:r w:rsidRPr="00E8243A">
        <w:t xml:space="preserve"> acreage every year, at the expense o</w:t>
      </w:r>
      <w:r>
        <w:t xml:space="preserve">f native rangeland (Cunfer 2005, </w:t>
      </w:r>
      <w:r w:rsidRPr="00E8243A">
        <w:t>18).</w:t>
      </w:r>
      <w:proofErr w:type="gramEnd"/>
      <w:r w:rsidRPr="00E8243A">
        <w:t xml:space="preserve">  Some High Plains farmers produced sorghum (Bogue 1994</w:t>
      </w:r>
      <w:r>
        <w:t xml:space="preserve">, </w:t>
      </w:r>
      <w:r w:rsidRPr="00E8243A">
        <w:t>229).</w:t>
      </w:r>
      <w:r>
        <w:t xml:space="preserve">  </w:t>
      </w:r>
    </w:p>
    <w:p w:rsidR="001E3E2A" w:rsidRPr="00E8243A" w:rsidRDefault="001E3E2A" w:rsidP="001E3E2A">
      <w:pPr>
        <w:spacing w:line="480" w:lineRule="auto"/>
      </w:pPr>
      <w:r>
        <w:t xml:space="preserve">     In the Dakota Territory, the period beginning with the 1873 bankruptcy of J.P Cooke and Company, a financier of the Northern Pacific railroad, is viewed as the onset of “bonanza farming” as company bondholders traded their worthless bonds for plots of land (NPS 1987).  Bonanza farming was characterized by large farms utilizing mass production techniques.  In 1855, the Cass-Cheney farm, west of Fargo, contained 13,000 hectares of wheat.  The operation of such large farms was partially designed to increase confidence in the railroads, which were responsible for transporting this wheat, in the aftermath of the Panic of 1873.  The success of the Cass-Cheney farm resulted in the establishment of other bonanza farms, including many which were not being established on former railroad land.   </w:t>
      </w:r>
    </w:p>
    <w:p w:rsidR="001E3E2A" w:rsidRPr="00E8243A" w:rsidRDefault="001E3E2A" w:rsidP="001E3E2A">
      <w:pPr>
        <w:spacing w:line="480" w:lineRule="auto"/>
      </w:pPr>
      <w:r w:rsidRPr="00E8243A">
        <w:lastRenderedPageBreak/>
        <w:t xml:space="preserve">     </w:t>
      </w:r>
      <w:r w:rsidRPr="000F44B8">
        <w:t xml:space="preserve">Agricultural activities in the GP </w:t>
      </w:r>
      <w:r w:rsidRPr="00F91061">
        <w:t>during the late 1910s and early 1920s continued to reflect government policy and international markets</w:t>
      </w:r>
      <w:r w:rsidRPr="00560F94">
        <w:t>.</w:t>
      </w:r>
      <w:r w:rsidRPr="00E8243A">
        <w:t xml:space="preserve">  Demand for wheat, and consequently its market price, escalated during World War I when the Turkish Navy blocked the Dardanelles, cutting of</w:t>
      </w:r>
      <w:r>
        <w:t>f</w:t>
      </w:r>
      <w:r w:rsidRPr="00E8243A">
        <w:t xml:space="preserve"> a main artery for global wheat supply</w:t>
      </w:r>
      <w:r>
        <w:t xml:space="preserve"> (Egan 2006, </w:t>
      </w:r>
      <w:r w:rsidRPr="00E8243A">
        <w:t xml:space="preserve">42-43).  In response, the US government encouraged </w:t>
      </w:r>
      <w:r>
        <w:t xml:space="preserve">GP </w:t>
      </w:r>
      <w:r w:rsidRPr="00E8243A">
        <w:t xml:space="preserve">farmers to plant more wheat, </w:t>
      </w:r>
      <w:proofErr w:type="gramStart"/>
      <w:r w:rsidR="00FF4519">
        <w:t xml:space="preserve">guaranteeing </w:t>
      </w:r>
      <w:r w:rsidRPr="00E8243A">
        <w:t xml:space="preserve"> its</w:t>
      </w:r>
      <w:proofErr w:type="gramEnd"/>
      <w:r w:rsidRPr="00E8243A">
        <w:t xml:space="preserve"> price at $2/bushel through the end of the war.  </w:t>
      </w:r>
      <w:r>
        <w:t>Consequently</w:t>
      </w:r>
      <w:r w:rsidRPr="00E8243A">
        <w:t xml:space="preserve">, a bushel of wheat in Northwestern Kansas </w:t>
      </w:r>
      <w:r>
        <w:t>which</w:t>
      </w:r>
      <w:r w:rsidRPr="00E8243A">
        <w:t xml:space="preserve"> sold for $0.78 per bushel in 1913 sold for $2.18 in August 1918 (Cunfer 2005</w:t>
      </w:r>
      <w:r>
        <w:t xml:space="preserve">, </w:t>
      </w:r>
      <w:r w:rsidRPr="00E8243A">
        <w:t xml:space="preserve">127).  </w:t>
      </w:r>
      <w:r>
        <w:t>US wheat production increased from 18 to 30 million hectares between 1917 and 1919</w:t>
      </w:r>
      <w:r w:rsidRPr="00E8243A">
        <w:t xml:space="preserve"> </w:t>
      </w:r>
      <w:r>
        <w:t xml:space="preserve">(Egan 2006, </w:t>
      </w:r>
      <w:r w:rsidRPr="00E8243A">
        <w:t xml:space="preserve">43).  In 1920, tractors replaced horses, facilitating </w:t>
      </w:r>
      <w:r>
        <w:t>further</w:t>
      </w:r>
      <w:r w:rsidRPr="00E8243A">
        <w:t xml:space="preserve"> </w:t>
      </w:r>
      <w:r>
        <w:t xml:space="preserve">land </w:t>
      </w:r>
      <w:r w:rsidRPr="00E8243A">
        <w:t xml:space="preserve">cultivation </w:t>
      </w:r>
      <w:r>
        <w:t xml:space="preserve">at reduced cost (Cunfer 2005, </w:t>
      </w:r>
      <w:r w:rsidRPr="00E8243A">
        <w:t xml:space="preserve">46-47).  </w:t>
      </w:r>
      <w:r>
        <w:t>In 1930, it required only 7.5 hours to plant and harvest one hectare of wheat in the Oklahoma Panhandle compared to</w:t>
      </w:r>
      <w:r w:rsidRPr="00E8243A">
        <w:t xml:space="preserve"> </w:t>
      </w:r>
      <w:r>
        <w:t>145</w:t>
      </w:r>
      <w:r w:rsidRPr="00E8243A">
        <w:t xml:space="preserve"> hours in the 1830s (Egan 2006</w:t>
      </w:r>
      <w:r>
        <w:t xml:space="preserve">, </w:t>
      </w:r>
      <w:r w:rsidRPr="00E8243A">
        <w:t xml:space="preserve">46-47).  </w:t>
      </w:r>
      <w:r>
        <w:t xml:space="preserve">The total amount of land cultivated throughout the </w:t>
      </w:r>
      <w:r w:rsidRPr="00E8243A">
        <w:t>GP increased from 7.7 million h</w:t>
      </w:r>
      <w:r>
        <w:t>ectares</w:t>
      </w:r>
      <w:r w:rsidRPr="00E8243A">
        <w:t xml:space="preserve"> in 1880 to 117 million h</w:t>
      </w:r>
      <w:r>
        <w:t xml:space="preserve">ectares </w:t>
      </w:r>
      <w:r w:rsidRPr="00E8243A">
        <w:t>by 1930 (</w:t>
      </w:r>
      <w:r w:rsidR="0050039E">
        <w:t>Gutmann</w:t>
      </w:r>
      <w:r w:rsidRPr="00E8243A">
        <w:t xml:space="preserve"> et al. 2005).   </w:t>
      </w:r>
      <w:proofErr w:type="gramStart"/>
      <w:r w:rsidRPr="00E8243A">
        <w:t>By the late 1930s, between 31</w:t>
      </w:r>
      <w:r>
        <w:t>%</w:t>
      </w:r>
      <w:r w:rsidRPr="00E8243A">
        <w:t xml:space="preserve"> and 38% of the </w:t>
      </w:r>
      <w:r>
        <w:t xml:space="preserve">GP </w:t>
      </w:r>
      <w:r w:rsidRPr="00E8243A">
        <w:t>had been converted from grass to cropland</w:t>
      </w:r>
      <w:r>
        <w:t xml:space="preserve">, contributing, ultimately, to the </w:t>
      </w:r>
      <w:r w:rsidRPr="00E8243A">
        <w:t>Dust Bowl.</w:t>
      </w:r>
      <w:proofErr w:type="gramEnd"/>
      <w:r w:rsidRPr="00E8243A">
        <w:t xml:space="preserve">  </w:t>
      </w:r>
    </w:p>
    <w:p w:rsidR="001E3E2A" w:rsidRDefault="001E3E2A" w:rsidP="001E3E2A">
      <w:pPr>
        <w:spacing w:line="480" w:lineRule="auto"/>
      </w:pPr>
      <w:r w:rsidRPr="00E8243A">
        <w:t xml:space="preserve">     </w:t>
      </w:r>
      <w:r>
        <w:t>The causes, dynamics, and impacts of the Dust Bowl are well described in many sources (e.g. Worster 1979; Se</w:t>
      </w:r>
      <w:r w:rsidR="004957E0">
        <w:t>ager et al. 2005; Egan 2006</w:t>
      </w:r>
      <w:r>
        <w:t xml:space="preserve">).  </w:t>
      </w:r>
      <w:r w:rsidRPr="00E8243A">
        <w:t xml:space="preserve">By </w:t>
      </w:r>
      <w:r>
        <w:t>exposing</w:t>
      </w:r>
      <w:r w:rsidRPr="00E8243A">
        <w:t xml:space="preserve"> the environmental consequences of </w:t>
      </w:r>
      <w:r>
        <w:t xml:space="preserve">land </w:t>
      </w:r>
      <w:r w:rsidRPr="00E8243A">
        <w:t xml:space="preserve">mismanagement in a semi-arid environment, the Dust Bowl became a watershed event in environmental history and sustainability studies.  </w:t>
      </w:r>
      <w:r>
        <w:t>Auspiciously, i</w:t>
      </w:r>
      <w:r w:rsidRPr="00E8243A">
        <w:t xml:space="preserve">t induced changes to </w:t>
      </w:r>
      <w:r>
        <w:t xml:space="preserve">soil conservation and </w:t>
      </w:r>
      <w:r w:rsidRPr="00E8243A">
        <w:t xml:space="preserve">land management </w:t>
      </w:r>
      <w:r>
        <w:t>practices such that e</w:t>
      </w:r>
      <w:r w:rsidRPr="00E8243A">
        <w:t xml:space="preserve">ven with the return of severe drought during the 1950s and 1970s, the large clouds of dust failed to re-emerge (Hansen and Libecap 2004).  Agricultural </w:t>
      </w:r>
      <w:r w:rsidRPr="00E8243A">
        <w:lastRenderedPageBreak/>
        <w:t xml:space="preserve">practices have actually improved since the Dust Bowl in many areas including the Texas Panhandle, where wind erosion </w:t>
      </w:r>
      <w:r>
        <w:t xml:space="preserve">has decreased </w:t>
      </w:r>
      <w:r w:rsidRPr="00E8243A">
        <w:t xml:space="preserve">since </w:t>
      </w:r>
      <w:r>
        <w:t xml:space="preserve">the beginning of a long-term study in </w:t>
      </w:r>
      <w:r w:rsidRPr="00E8243A">
        <w:t>1961 (Stout and Lee 2003).</w:t>
      </w:r>
      <w:r>
        <w:t xml:space="preserve">  Additionally,</w:t>
      </w:r>
      <w:r w:rsidRPr="00E8243A">
        <w:t xml:space="preserve"> </w:t>
      </w:r>
      <w:r>
        <w:t xml:space="preserve">from 1938-1946, the Federal Government purchased 235,404 hectares in the Southern Great Plains (now “National Grasslands”), much of them in the former “Dust Bowl,” </w:t>
      </w:r>
      <w:r w:rsidRPr="00E8243A">
        <w:t>with the purpose of reducing soil erosion and restoring native vegetation cover</w:t>
      </w:r>
      <w:r>
        <w:t xml:space="preserve"> (Hurt 1986)</w:t>
      </w:r>
      <w:r w:rsidRPr="00E8243A">
        <w:t xml:space="preserve">.  </w:t>
      </w:r>
      <w:r>
        <w:t xml:space="preserve"> </w:t>
      </w:r>
    </w:p>
    <w:p w:rsidR="001E3E2A" w:rsidRPr="00E8243A" w:rsidRDefault="001E3E2A" w:rsidP="00E60A0F">
      <w:pPr>
        <w:pStyle w:val="Heading2"/>
      </w:pPr>
      <w:bookmarkStart w:id="40" w:name="_Toc364501629"/>
      <w:bookmarkStart w:id="41" w:name="_Toc368046160"/>
      <w:r w:rsidRPr="00BF3E2E">
        <w:t xml:space="preserve">2.4: </w:t>
      </w:r>
      <w:r w:rsidR="006F29EA">
        <w:t>Land Use Change III: Impact of Water Resources and Land Use</w:t>
      </w:r>
      <w:bookmarkEnd w:id="40"/>
      <w:bookmarkEnd w:id="41"/>
    </w:p>
    <w:p w:rsidR="001E3E2A" w:rsidRDefault="001E3E2A" w:rsidP="001E3E2A">
      <w:pPr>
        <w:spacing w:line="480" w:lineRule="auto"/>
      </w:pPr>
      <w:r>
        <w:t xml:space="preserve">     Following</w:t>
      </w:r>
      <w:r w:rsidRPr="00E8243A">
        <w:t xml:space="preserve"> realization</w:t>
      </w:r>
      <w:r>
        <w:t xml:space="preserve"> of the impracticality of </w:t>
      </w:r>
      <w:r w:rsidRPr="00E8243A">
        <w:t xml:space="preserve">large-scale </w:t>
      </w:r>
      <w:r>
        <w:t xml:space="preserve">dryland </w:t>
      </w:r>
      <w:r w:rsidRPr="00E8243A">
        <w:t>agriculture</w:t>
      </w:r>
      <w:r>
        <w:t>,</w:t>
      </w:r>
      <w:r w:rsidRPr="00E8243A">
        <w:t xml:space="preserve"> irrigation </w:t>
      </w:r>
      <w:r>
        <w:t xml:space="preserve">began to increase in the former </w:t>
      </w:r>
      <w:r w:rsidRPr="00E8243A">
        <w:t>“core” Dust Bowl</w:t>
      </w:r>
      <w:r>
        <w:t xml:space="preserve"> region.</w:t>
      </w:r>
      <w:r w:rsidRPr="00E8243A">
        <w:t xml:space="preserve">  Extensive irrigation became possible during the 1930s due to the </w:t>
      </w:r>
      <w:r>
        <w:t>introduction</w:t>
      </w:r>
      <w:r w:rsidRPr="00E8243A">
        <w:t xml:space="preserve"> of turbine pumps and internal combustion engines (Musick et al. 1988).  </w:t>
      </w:r>
      <w:r>
        <w:t xml:space="preserve">By the 1960s, </w:t>
      </w:r>
      <w:r w:rsidRPr="00E8243A">
        <w:t xml:space="preserve">center-pivot sprinkler irrigation </w:t>
      </w:r>
      <w:r>
        <w:t>appeared (see Opie 1993),</w:t>
      </w:r>
      <w:r w:rsidRPr="00E8243A">
        <w:t xml:space="preserve"> </w:t>
      </w:r>
      <w:r>
        <w:t>contributing</w:t>
      </w:r>
      <w:r w:rsidRPr="00E8243A">
        <w:t xml:space="preserve"> to </w:t>
      </w:r>
      <w:r>
        <w:t>a still further</w:t>
      </w:r>
      <w:r w:rsidRPr="00E8243A">
        <w:t xml:space="preserve"> increase </w:t>
      </w:r>
      <w:r>
        <w:t xml:space="preserve">in irrigation-based water use </w:t>
      </w:r>
      <w:r w:rsidRPr="00E8243A">
        <w:t>(e</w:t>
      </w:r>
      <w:r>
        <w:t xml:space="preserve">.g. </w:t>
      </w:r>
      <w:r w:rsidRPr="00E8243A">
        <w:t>Wahl and Tortorelli 1994</w:t>
      </w:r>
      <w:r>
        <w:t xml:space="preserve">; </w:t>
      </w:r>
      <w:r w:rsidRPr="00E8243A">
        <w:t>Colaizzi et al. 2009</w:t>
      </w:r>
      <w:r>
        <w:t xml:space="preserve">).  </w:t>
      </w:r>
      <w:r w:rsidRPr="00E8243A">
        <w:t>From 1940-1980, irrigated acreage in the entire GP multiplied seven-fold from 800,000 ha to 5.7 million ha, with slightly more than half the irrigated acreage in 1980 situated in the Northern Great Plains (Weeks et al. 1988).</w:t>
      </w:r>
    </w:p>
    <w:p w:rsidR="001E3E2A" w:rsidRDefault="001E3E2A" w:rsidP="001E3E2A">
      <w:pPr>
        <w:spacing w:line="480" w:lineRule="auto"/>
      </w:pPr>
      <w:r>
        <w:t xml:space="preserve">     </w:t>
      </w:r>
      <w:r w:rsidRPr="00E8243A">
        <w:t>The proportion of the region consisting of cropland has remained relat</w:t>
      </w:r>
      <w:r w:rsidR="00DC4570">
        <w:t>ively stable at 45% since 1950 (</w:t>
      </w:r>
      <w:r w:rsidR="0050039E">
        <w:t>Gutmann</w:t>
      </w:r>
      <w:r w:rsidRPr="00E8243A">
        <w:t xml:space="preserve"> et al. 2005). </w:t>
      </w:r>
      <w:r>
        <w:t xml:space="preserve">While significant </w:t>
      </w:r>
      <w:r w:rsidRPr="00E8243A">
        <w:t>rural depopulation</w:t>
      </w:r>
      <w:r>
        <w:t xml:space="preserve"> has occurred</w:t>
      </w:r>
      <w:r w:rsidRPr="00E8243A">
        <w:t xml:space="preserve"> (see below), </w:t>
      </w:r>
      <w:r>
        <w:t xml:space="preserve">owners who take over the farms of those who emigrate have tended to </w:t>
      </w:r>
      <w:r w:rsidRPr="00E8243A">
        <w:t>continue</w:t>
      </w:r>
      <w:r>
        <w:t xml:space="preserve"> the same crop and </w:t>
      </w:r>
      <w:r w:rsidRPr="00E8243A">
        <w:t>land use patterns</w:t>
      </w:r>
      <w:r>
        <w:t>.  Also, i</w:t>
      </w:r>
      <w:r w:rsidRPr="00E8243A">
        <w:t>n much of the Central Great Plains, the net-impact of land use change is zero due to the balance</w:t>
      </w:r>
      <w:r>
        <w:t xml:space="preserve"> between agricultural land </w:t>
      </w:r>
      <w:r w:rsidRPr="00E8243A">
        <w:t>retirement</w:t>
      </w:r>
      <w:r>
        <w:t xml:space="preserve"> and extension. However, between 1950 and 2000, there </w:t>
      </w:r>
      <w:r>
        <w:lastRenderedPageBreak/>
        <w:t>have been episodic phases of intensified or diminished agricultural activity.  For example,</w:t>
      </w:r>
      <w:r w:rsidRPr="00E8243A">
        <w:t xml:space="preserve"> </w:t>
      </w:r>
      <w:r>
        <w:t>f</w:t>
      </w:r>
      <w:r w:rsidRPr="00E8243A">
        <w:t xml:space="preserve">rom 1973-2000, 8% of the region underwent land use/land cover change, </w:t>
      </w:r>
      <w:r>
        <w:t>with most of that land converted multiple times between grassland and cropland due to the Conservation Reserve Program (</w:t>
      </w:r>
      <w:r w:rsidRPr="00E8243A">
        <w:t>Drummond et al. 2012</w:t>
      </w:r>
      <w:r>
        <w:t xml:space="preserve">).  </w:t>
      </w:r>
      <w:r w:rsidRPr="00E8243A">
        <w:t xml:space="preserve">Urbanization accounted for </w:t>
      </w:r>
      <w:r>
        <w:t xml:space="preserve">some of the </w:t>
      </w:r>
      <w:r w:rsidRPr="00E8243A">
        <w:t xml:space="preserve">change in land use over the region but is localized </w:t>
      </w:r>
      <w:r>
        <w:t>to</w:t>
      </w:r>
      <w:r w:rsidRPr="00E8243A">
        <w:t xml:space="preserve"> metropolitan</w:t>
      </w:r>
      <w:r>
        <w:t xml:space="preserve"> and micropolitan</w:t>
      </w:r>
      <w:r w:rsidRPr="00E8243A">
        <w:t xml:space="preserve"> </w:t>
      </w:r>
      <w:r>
        <w:t>areas</w:t>
      </w:r>
      <w:r w:rsidRPr="00E8243A">
        <w:t>.  The smallest change</w:t>
      </w:r>
      <w:r>
        <w:t xml:space="preserve"> </w:t>
      </w:r>
      <w:r w:rsidRPr="00E8243A">
        <w:t xml:space="preserve">involved forest to agriculture, which was restricted to the eastern periphery of the Great Plains.  The small population of counties in metropolitan areas and the small quantity of farmland within them minimizes the risk of widespread suburbanization in this area (Parton et al. 2007), with the exception of the urbanizing Colorado Front Range (Parton et al. 2003).   </w:t>
      </w:r>
    </w:p>
    <w:p w:rsidR="001E3E2A" w:rsidRPr="001E3E2A" w:rsidRDefault="001E3E2A" w:rsidP="00E60A0F">
      <w:pPr>
        <w:pStyle w:val="Heading2"/>
      </w:pPr>
      <w:bookmarkStart w:id="42" w:name="_Toc364501630"/>
      <w:bookmarkStart w:id="43" w:name="_Toc368046161"/>
      <w:r w:rsidRPr="00BF3E2E">
        <w:t xml:space="preserve">2.5: </w:t>
      </w:r>
      <w:r w:rsidR="006F29EA">
        <w:t>Perspectives on the Future of the Great Plains</w:t>
      </w:r>
      <w:bookmarkEnd w:id="42"/>
      <w:bookmarkEnd w:id="43"/>
    </w:p>
    <w:p w:rsidR="001E3E2A" w:rsidRPr="00E8243A" w:rsidRDefault="001E3E2A" w:rsidP="001E3E2A">
      <w:pPr>
        <w:spacing w:line="480" w:lineRule="auto"/>
      </w:pPr>
      <w:r w:rsidRPr="00E8243A">
        <w:t xml:space="preserve">     In the above brief narrative, </w:t>
      </w:r>
      <w:r w:rsidR="00772BF2">
        <w:t>I</w:t>
      </w:r>
      <w:r w:rsidRPr="00E8243A">
        <w:t xml:space="preserve"> demonstrated how a combination of socio-economic-political dynamics and climatic variability conspired first to populate the Great Plains and then to provide settlers with untold hardship.  Today, it appears a different set of factors are creating new circumstances that in some important respects are analogous to the conditions that encouraged unbridled optimism during the early settlement of the </w:t>
      </w:r>
      <w:r>
        <w:t>GP</w:t>
      </w:r>
      <w:r w:rsidRPr="00E8243A">
        <w:t>.</w:t>
      </w:r>
    </w:p>
    <w:p w:rsidR="001E3E2A" w:rsidRDefault="001E3E2A" w:rsidP="001E3E2A">
      <w:pPr>
        <w:spacing w:line="480" w:lineRule="auto"/>
      </w:pPr>
      <w:r w:rsidRPr="00E8243A">
        <w:t xml:space="preserve">    One of these dynamics is the contemporary population shift from rural to urban areas.  Numerous studies have </w:t>
      </w:r>
      <w:r>
        <w:t>analyzed</w:t>
      </w:r>
      <w:r w:rsidRPr="00E8243A">
        <w:t xml:space="preserve"> </w:t>
      </w:r>
      <w:r>
        <w:t xml:space="preserve">declining </w:t>
      </w:r>
      <w:r w:rsidRPr="00E8243A">
        <w:t xml:space="preserve">population </w:t>
      </w:r>
      <w:r>
        <w:t xml:space="preserve">trends in some </w:t>
      </w:r>
      <w:r w:rsidRPr="00E8243A">
        <w:t xml:space="preserve">Great Plains counties since 1930 </w:t>
      </w:r>
      <w:r>
        <w:t xml:space="preserve">even as they acknowledge that </w:t>
      </w:r>
      <w:r w:rsidRPr="00E8243A">
        <w:t>population is rebounding in micropolitan and metropolitan areas</w:t>
      </w:r>
      <w:r>
        <w:t xml:space="preserve"> (Figures </w:t>
      </w:r>
      <w:r w:rsidR="003E57C2">
        <w:t>2.</w:t>
      </w:r>
      <w:r>
        <w:t xml:space="preserve">2 and </w:t>
      </w:r>
      <w:r w:rsidR="003E57C2">
        <w:t>2.</w:t>
      </w:r>
      <w:r>
        <w:t>3) (</w:t>
      </w:r>
      <w:r w:rsidRPr="00E8243A">
        <w:t xml:space="preserve">e.g. Parton et al. 2007; </w:t>
      </w:r>
      <w:r w:rsidRPr="00E8243A">
        <w:lastRenderedPageBreak/>
        <w:t xml:space="preserve">Wilson 2009; </w:t>
      </w:r>
      <w:r>
        <w:t xml:space="preserve">Mackun and Wilson 2011; </w:t>
      </w:r>
      <w:r w:rsidRPr="00E8243A">
        <w:t>Kotkin 2012</w:t>
      </w:r>
      <w:r>
        <w:t xml:space="preserve">).  These settlement patterns serve as the basis of many predictions regarding the future of the GP as </w:t>
      </w:r>
      <w:r w:rsidR="00772BF2">
        <w:t>discussed</w:t>
      </w:r>
      <w:r>
        <w:t xml:space="preserve"> below.  </w:t>
      </w:r>
    </w:p>
    <w:p w:rsidR="00916E53" w:rsidRDefault="00D10B7B" w:rsidP="00F86E62">
      <w:pPr>
        <w:spacing w:line="276" w:lineRule="auto"/>
        <w:jc w:val="center"/>
      </w:pPr>
      <w:bookmarkStart w:id="44" w:name="_Toc364442679"/>
      <w:r>
        <w:rPr>
          <w:noProof/>
        </w:rPr>
        <w:drawing>
          <wp:inline distT="0" distB="0" distL="0" distR="0" wp14:anchorId="74C857AB" wp14:editId="44D8399A">
            <wp:extent cx="4572000" cy="4076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_Fig2.2.png"/>
                    <pic:cNvPicPr/>
                  </pic:nvPicPr>
                  <pic:blipFill rotWithShape="1">
                    <a:blip r:embed="rId14" cstate="print">
                      <a:extLst>
                        <a:ext uri="{28A0092B-C50C-407E-A947-70E740481C1C}">
                          <a14:useLocalDpi xmlns:a14="http://schemas.microsoft.com/office/drawing/2010/main" val="0"/>
                        </a:ext>
                      </a:extLst>
                    </a:blip>
                    <a:srcRect b="5075"/>
                    <a:stretch/>
                  </pic:blipFill>
                  <pic:spPr bwMode="auto">
                    <a:xfrm>
                      <a:off x="0" y="0"/>
                      <a:ext cx="4572009" cy="4076708"/>
                    </a:xfrm>
                    <a:prstGeom prst="rect">
                      <a:avLst/>
                    </a:prstGeom>
                    <a:ln>
                      <a:noFill/>
                    </a:ln>
                    <a:extLst>
                      <a:ext uri="{53640926-AAD7-44D8-BBD7-CCE9431645EC}">
                        <a14:shadowObscured xmlns:a14="http://schemas.microsoft.com/office/drawing/2010/main"/>
                      </a:ext>
                    </a:extLst>
                  </pic:spPr>
                </pic:pic>
              </a:graphicData>
            </a:graphic>
          </wp:inline>
        </w:drawing>
      </w:r>
    </w:p>
    <w:p w:rsidR="003E57C2" w:rsidRPr="00490F16" w:rsidRDefault="00916E53" w:rsidP="00CF6E50">
      <w:pPr>
        <w:pStyle w:val="Figurecaption"/>
      </w:pPr>
      <w:bookmarkStart w:id="45" w:name="_Toc364505722"/>
      <w:bookmarkStart w:id="46" w:name="_Toc367004734"/>
      <w:r>
        <w:t>F</w:t>
      </w:r>
      <w:r w:rsidR="003E57C2">
        <w:t xml:space="preserve">igure 2.2: Population change by US county, 2000-2010, with the GP emphasized.  </w:t>
      </w:r>
      <w:proofErr w:type="gramStart"/>
      <w:r w:rsidR="003E57C2" w:rsidRPr="00490F16">
        <w:t>Adapted from Mackun and Wilson (2011), Figure 5.</w:t>
      </w:r>
      <w:proofErr w:type="gramEnd"/>
      <w:r w:rsidR="003E57C2" w:rsidRPr="00490F16">
        <w:t xml:space="preserve">  Image used with the permission of Steven Wilson.</w:t>
      </w:r>
      <w:bookmarkEnd w:id="44"/>
      <w:bookmarkEnd w:id="45"/>
      <w:bookmarkEnd w:id="46"/>
    </w:p>
    <w:p w:rsidR="003E57C2" w:rsidRPr="003E57C2" w:rsidRDefault="003E57C2" w:rsidP="003E57C2"/>
    <w:p w:rsidR="003E57C2" w:rsidRDefault="003E57C2" w:rsidP="003E57C2"/>
    <w:p w:rsidR="003E57C2" w:rsidRDefault="00B731F3" w:rsidP="00F86E62">
      <w:pPr>
        <w:jc w:val="center"/>
        <w:rPr>
          <w:b/>
        </w:rPr>
      </w:pPr>
      <w:r>
        <w:rPr>
          <w:b/>
          <w:noProof/>
        </w:rPr>
        <w:lastRenderedPageBreak/>
        <w:drawing>
          <wp:inline distT="0" distB="0" distL="0" distR="0" wp14:anchorId="362693CD" wp14:editId="0100E490">
            <wp:extent cx="4572009" cy="310591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_fig2.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9" cy="3105918"/>
                    </a:xfrm>
                    <a:prstGeom prst="rect">
                      <a:avLst/>
                    </a:prstGeom>
                  </pic:spPr>
                </pic:pic>
              </a:graphicData>
            </a:graphic>
          </wp:inline>
        </w:drawing>
      </w:r>
    </w:p>
    <w:p w:rsidR="001E3E2A" w:rsidRDefault="003E57C2" w:rsidP="00DC4570">
      <w:pPr>
        <w:pStyle w:val="Figurecaption"/>
      </w:pPr>
      <w:bookmarkStart w:id="47" w:name="_Toc364442680"/>
      <w:bookmarkStart w:id="48" w:name="_Toc364505723"/>
      <w:bookmarkStart w:id="49" w:name="_Toc367004735"/>
      <w:r w:rsidRPr="00F33486">
        <w:t>Figure 2.3: Population growth in the micropolitan and metropolitan areas of the GP, 2000-2010.</w:t>
      </w:r>
      <w:r w:rsidRPr="00490F16">
        <w:t xml:space="preserve">  </w:t>
      </w:r>
      <w:proofErr w:type="gramStart"/>
      <w:r w:rsidRPr="00490F16">
        <w:t>Adapted from Mackun and Wilson (2011), Figure 4.</w:t>
      </w:r>
      <w:proofErr w:type="gramEnd"/>
      <w:r w:rsidRPr="00490F16">
        <w:t xml:space="preserve">  Image used with the permission of Steven Wilson.</w:t>
      </w:r>
      <w:bookmarkEnd w:id="47"/>
      <w:bookmarkEnd w:id="48"/>
      <w:bookmarkEnd w:id="49"/>
    </w:p>
    <w:p w:rsidR="00DC4570" w:rsidRPr="00DC4570" w:rsidRDefault="00DC4570" w:rsidP="00DC4570">
      <w:pPr>
        <w:rPr>
          <w:lang w:val="en-GB" w:eastAsia="en-GB"/>
        </w:rPr>
      </w:pPr>
    </w:p>
    <w:p w:rsidR="001E3E2A" w:rsidRPr="00A25DD0" w:rsidRDefault="001E3E2A" w:rsidP="00A25DD0">
      <w:pPr>
        <w:pStyle w:val="Heading3"/>
        <w:spacing w:line="480" w:lineRule="auto"/>
        <w:rPr>
          <w:b w:val="0"/>
        </w:rPr>
      </w:pPr>
      <w:bookmarkStart w:id="50" w:name="_Toc364501631"/>
      <w:bookmarkStart w:id="51" w:name="_Toc368046162"/>
      <w:r w:rsidRPr="00A25DD0">
        <w:rPr>
          <w:b w:val="0"/>
        </w:rPr>
        <w:t>2.5.1: Perspectives I: The Prairies Shall Return</w:t>
      </w:r>
      <w:bookmarkEnd w:id="50"/>
      <w:bookmarkEnd w:id="51"/>
    </w:p>
    <w:p w:rsidR="001E3E2A" w:rsidRDefault="001E3E2A" w:rsidP="001E3E2A">
      <w:pPr>
        <w:spacing w:line="480" w:lineRule="auto"/>
      </w:pPr>
      <w:r>
        <w:t xml:space="preserve">     </w:t>
      </w:r>
      <w:r w:rsidRPr="00E8243A">
        <w:t xml:space="preserve">Wallach (1985) </w:t>
      </w:r>
      <w:r>
        <w:t>speculated</w:t>
      </w:r>
      <w:r w:rsidRPr="00E8243A">
        <w:t xml:space="preserve"> that </w:t>
      </w:r>
      <w:r>
        <w:t>increasing</w:t>
      </w:r>
      <w:r w:rsidRPr="00E8243A">
        <w:t xml:space="preserve"> volumes of crop surpluses in the United States could cause </w:t>
      </w:r>
      <w:r>
        <w:t xml:space="preserve">GP </w:t>
      </w:r>
      <w:r w:rsidRPr="00E8243A">
        <w:t xml:space="preserve">farmers to voluntarily cede land to the Federal </w:t>
      </w:r>
      <w:r>
        <w:t>G</w:t>
      </w:r>
      <w:r w:rsidRPr="00E8243A">
        <w:t>overnment in exchange for money</w:t>
      </w:r>
      <w:r>
        <w:t xml:space="preserve"> </w:t>
      </w:r>
      <w:r w:rsidRPr="00E8243A">
        <w:t>as part of a large-scale prairie restoration plan.  Similarly, cit</w:t>
      </w:r>
      <w:r>
        <w:t>ing</w:t>
      </w:r>
      <w:r w:rsidRPr="00E8243A">
        <w:t xml:space="preserve"> the </w:t>
      </w:r>
      <w:r>
        <w:t>region</w:t>
      </w:r>
      <w:r w:rsidRPr="00E8243A">
        <w:t xml:space="preserve">’s troubled environmental </w:t>
      </w:r>
      <w:proofErr w:type="gramStart"/>
      <w:r w:rsidRPr="00E8243A">
        <w:t>history,</w:t>
      </w:r>
      <w:proofErr w:type="gramEnd"/>
      <w:r w:rsidRPr="00E8243A">
        <w:t xml:space="preserve"> climatic variability, the then unsustainable mining of the Ogallala Aquifer, large-scale depopulation, and bank failures Popper and Popper (1987</w:t>
      </w:r>
      <w:r>
        <w:t xml:space="preserve">) </w:t>
      </w:r>
      <w:r w:rsidRPr="00E8243A">
        <w:t xml:space="preserve">concluded that the depopulation of the region was “inevitable.”  They therefore advocated that the US government create “the world’s largest historic </w:t>
      </w:r>
      <w:r w:rsidR="00BB441E">
        <w:t>preservation project,</w:t>
      </w:r>
      <w:r w:rsidRPr="00E8243A">
        <w:t xml:space="preserve">” a “buffalo commons” where “most of the Great Plains will become what all of the United States once was -- a vast land mass, largely empty and </w:t>
      </w:r>
      <w:r w:rsidRPr="00E8243A">
        <w:lastRenderedPageBreak/>
        <w:t xml:space="preserve">unexploited,” where its original inhabitants would freely roam.  This position </w:t>
      </w:r>
      <w:r>
        <w:t>attracted</w:t>
      </w:r>
      <w:r w:rsidRPr="00E8243A">
        <w:t xml:space="preserve"> such media attention and local notoriety that the</w:t>
      </w:r>
      <w:r>
        <w:t xml:space="preserve"> authors </w:t>
      </w:r>
      <w:r w:rsidRPr="00E8243A">
        <w:t xml:space="preserve">needed police escort on their speaking tours through the Plains (e.g. Callenbach 1996; Matthews 2002; Popper and Popper 2006).  Nevertheless, their article catapulted the issue of the sustainability of the </w:t>
      </w:r>
      <w:r>
        <w:t>GP</w:t>
      </w:r>
      <w:r w:rsidRPr="00E8243A">
        <w:t xml:space="preserve"> to a level of discourse previously unseen, even though Popper and Popper (1999) later </w:t>
      </w:r>
      <w:r>
        <w:t>stated</w:t>
      </w:r>
      <w:r w:rsidRPr="00E8243A">
        <w:t xml:space="preserve"> that the “buffalo commons” concept was meant as a metaphor for land management, not as advocacy for government seizure of property.  </w:t>
      </w:r>
      <w:r>
        <w:t>In 1994, former Kansas governor Mike Hayden backed the concept following previous denunciations (Dreiling 2011).   In 2011, due to the increase in buffalo production and increasing land easements owned by environmental organizations in the Plains</w:t>
      </w:r>
      <w:r w:rsidRPr="00806DFA">
        <w:t>, Frank Popper stated “</w:t>
      </w:r>
      <w:r>
        <w:rPr>
          <w:color w:val="000000"/>
          <w:shd w:val="clear" w:color="auto" w:fill="FFFFFF"/>
        </w:rPr>
        <w:t>…</w:t>
      </w:r>
      <w:r w:rsidRPr="00806DFA">
        <w:rPr>
          <w:color w:val="000000"/>
          <w:shd w:val="clear" w:color="auto" w:fill="FFFFFF"/>
        </w:rPr>
        <w:t>the Buffalo Commons has beg</w:t>
      </w:r>
      <w:r>
        <w:rPr>
          <w:color w:val="000000"/>
          <w:shd w:val="clear" w:color="auto" w:fill="FFFFFF"/>
        </w:rPr>
        <w:t>un in clear ways to materialize</w:t>
      </w:r>
      <w:r w:rsidRPr="00806DFA">
        <w:rPr>
          <w:color w:val="000000"/>
          <w:shd w:val="clear" w:color="auto" w:fill="FFFFFF"/>
        </w:rPr>
        <w:t>”</w:t>
      </w:r>
      <w:r>
        <w:rPr>
          <w:color w:val="000000"/>
          <w:shd w:val="clear" w:color="auto" w:fill="FFFFFF"/>
        </w:rPr>
        <w:t xml:space="preserve"> (Dreiling 2011).</w:t>
      </w:r>
      <w:r>
        <w:t xml:space="preserve">  </w:t>
      </w:r>
    </w:p>
    <w:p w:rsidR="001E3E2A" w:rsidRDefault="001E3E2A" w:rsidP="001E3E2A">
      <w:pPr>
        <w:spacing w:line="480" w:lineRule="auto"/>
      </w:pPr>
      <w:r w:rsidRPr="00E8243A">
        <w:t xml:space="preserve">     Popper and Popper (1987) were not </w:t>
      </w:r>
      <w:r>
        <w:t xml:space="preserve">alone in </w:t>
      </w:r>
      <w:r w:rsidRPr="00E8243A">
        <w:t>their assessment of the possible</w:t>
      </w:r>
      <w:r>
        <w:t xml:space="preserve"> end state of population shifts </w:t>
      </w:r>
      <w:proofErr w:type="gramStart"/>
      <w:r>
        <w:t>nor</w:t>
      </w:r>
      <w:proofErr w:type="gramEnd"/>
      <w:r>
        <w:t xml:space="preserve"> in advocating</w:t>
      </w:r>
      <w:r w:rsidRPr="00E8243A">
        <w:t xml:space="preserve"> for the reintroduction of buffalo to the Great Plains.</w:t>
      </w:r>
      <w:r>
        <w:t xml:space="preserve"> </w:t>
      </w:r>
      <w:r w:rsidRPr="00E8243A">
        <w:t xml:space="preserve"> Based on consideration of declining small towns and their stagnant economies in Iowa (outside the Great Plains), Daniels and Lapping (1987) advocated that regional governments in the US embark on “a regional settlement policy” similar to that in the United Kingdom, by promoting the creation of regional centers of 2500-15000 people to take advantage of economies of scale for the provision of public services.  “Small town triage” would be applied, in which growing towns would receive government aid at the expense</w:t>
      </w:r>
      <w:r w:rsidR="000D5404">
        <w:t xml:space="preserve"> of those showing less promise.  </w:t>
      </w:r>
      <w:r>
        <w:t xml:space="preserve">Citing depopulation, Donlan et al. (2005; </w:t>
      </w:r>
      <w:r w:rsidRPr="00E8243A">
        <w:t xml:space="preserve">2006) </w:t>
      </w:r>
      <w:r>
        <w:t xml:space="preserve">suggested that the GP could house an </w:t>
      </w:r>
      <w:r w:rsidRPr="00E8243A">
        <w:t xml:space="preserve">“ecological history park” </w:t>
      </w:r>
      <w:r>
        <w:t>housing</w:t>
      </w:r>
      <w:r w:rsidRPr="00E8243A">
        <w:t xml:space="preserve"> endangered Pleistocene species</w:t>
      </w:r>
      <w:r>
        <w:t>,</w:t>
      </w:r>
      <w:r w:rsidRPr="00E8243A">
        <w:t xml:space="preserve"> including Bactrian camels, feral horses, cheetahs, and kangaroos.</w:t>
      </w:r>
      <w:r>
        <w:t xml:space="preserve">  </w:t>
      </w:r>
      <w:r w:rsidRPr="00E8243A">
        <w:t>Scott (1992) advocated the filling of 39,000 km</w:t>
      </w:r>
      <w:r w:rsidRPr="00E8243A">
        <w:rPr>
          <w:vertAlign w:val="superscript"/>
        </w:rPr>
        <w:t>2</w:t>
      </w:r>
      <w:r w:rsidRPr="00E8243A">
        <w:t xml:space="preserve"> in Eastern Montana known </w:t>
      </w:r>
      <w:r w:rsidRPr="00E8243A">
        <w:lastRenderedPageBreak/>
        <w:t xml:space="preserve">as “the Big Open” (population 3000) with bison and making the area one large tourist destination.  Today, Montana Big Open, Inc. is a tax-exempt charity run out of Hamilton, Montana which is devoted to restoring bison to some portions </w:t>
      </w:r>
      <w:r w:rsidRPr="0075522F">
        <w:t>of the area (</w:t>
      </w:r>
      <w:r>
        <w:t>Northern Plains Conservation Network 2012</w:t>
      </w:r>
      <w:r w:rsidRPr="0075522F">
        <w:t>).   Indeed, it is important to note that today, bison</w:t>
      </w:r>
      <w:r>
        <w:t xml:space="preserve"> numbers</w:t>
      </w:r>
      <w:r w:rsidRPr="0075522F">
        <w:t xml:space="preserve"> are increasing</w:t>
      </w:r>
      <w:r w:rsidRPr="00E8243A">
        <w:t xml:space="preserve"> on the Great Plains, primarily due to the efforts of large land owners including the media mogul Ted Turner (Founder of Cable News Network, CNN), Native American groups, the US government, and non-governmental organizations, including the Nature Conservancy (Popper and Popper 2006; Wood 2008).    </w:t>
      </w:r>
    </w:p>
    <w:p w:rsidR="001E3E2A" w:rsidRDefault="001E3E2A" w:rsidP="001E3E2A">
      <w:pPr>
        <w:spacing w:line="480" w:lineRule="auto"/>
      </w:pPr>
      <w:r w:rsidRPr="00E8243A">
        <w:t xml:space="preserve">    </w:t>
      </w:r>
      <w:r>
        <w:t xml:space="preserve"> Commenting on depopulation in the GP, North Dakota Senator Byron Dorgan</w:t>
      </w:r>
      <w:r w:rsidR="00DC4570">
        <w:t xml:space="preserve"> (2003) noted, </w:t>
      </w:r>
      <w:r>
        <w:t xml:space="preserve">“If we draw an egg shape from North Dakota down to Texas in the middle part of our country, we have the heartland of America being depopulated.”  With Nebraska Senator Chuck Hagel and eleven co-sponsors, Senator Dorgan unsuccessfully introduced the New Homestead Economic Opportunity Act to provide Federal tax credits and investment incentives to counties experiencing out-migration.  </w:t>
      </w:r>
    </w:p>
    <w:p w:rsidR="001E3E2A" w:rsidRDefault="001E3E2A" w:rsidP="001E3E2A">
      <w:pPr>
        <w:spacing w:line="480" w:lineRule="auto"/>
      </w:pPr>
      <w:r>
        <w:t xml:space="preserve">     In a content analysis featuring 600 articles in the popular media spanning 1997-2007, Dando (2009) found that the perspective of the GP</w:t>
      </w:r>
      <w:r w:rsidRPr="00E8243A">
        <w:t xml:space="preserve"> as either a failed or a severely challenged region </w:t>
      </w:r>
      <w:r>
        <w:t>is also shared by the popular media in the popular media.  She</w:t>
      </w:r>
      <w:r w:rsidRPr="00E8243A">
        <w:t xml:space="preserve"> found that “depopulation” “drought,” “bison,” and “grasslands” </w:t>
      </w:r>
      <w:r>
        <w:t xml:space="preserve">collectively accounted for 190 articles (32%) as the </w:t>
      </w:r>
      <w:r w:rsidRPr="00E8243A">
        <w:t xml:space="preserve">most frequent topics explored vis-à-vis the Great Plains.  Noting evidence to the contrary in the scholarly community, Dando (2009) accuses the media of “setting the stage for topocide/domicide.”  These terms, introduced by the geographer </w:t>
      </w:r>
      <w:r w:rsidRPr="00E8243A">
        <w:lastRenderedPageBreak/>
        <w:t>J. Douglas Porteous (1989</w:t>
      </w:r>
      <w:r>
        <w:t>, xi</w:t>
      </w:r>
      <w:r w:rsidRPr="00E8243A">
        <w:t xml:space="preserve">), </w:t>
      </w:r>
      <w:r>
        <w:t>refer respectively to</w:t>
      </w:r>
      <w:r w:rsidRPr="00E8243A">
        <w:t xml:space="preserve"> “the killing of place” and “the deliberate killing of hom</w:t>
      </w:r>
      <w:r>
        <w:t>e.”</w:t>
      </w:r>
    </w:p>
    <w:p w:rsidR="001E3E2A" w:rsidRPr="00A25DD0" w:rsidRDefault="001E3E2A" w:rsidP="00A25DD0">
      <w:pPr>
        <w:pStyle w:val="Heading3"/>
        <w:spacing w:line="480" w:lineRule="auto"/>
        <w:rPr>
          <w:b w:val="0"/>
        </w:rPr>
      </w:pPr>
      <w:bookmarkStart w:id="52" w:name="_Toc364501632"/>
      <w:bookmarkStart w:id="53" w:name="_Toc368046163"/>
      <w:r w:rsidRPr="00A25DD0">
        <w:rPr>
          <w:b w:val="0"/>
        </w:rPr>
        <w:t>2.5.2: Perspectives II: The Great American Promise</w:t>
      </w:r>
      <w:bookmarkEnd w:id="52"/>
      <w:bookmarkEnd w:id="53"/>
    </w:p>
    <w:p w:rsidR="001E3E2A" w:rsidRPr="00E8243A" w:rsidRDefault="001E3E2A" w:rsidP="001E3E2A">
      <w:pPr>
        <w:spacing w:line="480" w:lineRule="auto"/>
      </w:pPr>
      <w:r w:rsidRPr="00E8243A">
        <w:t xml:space="preserve">     </w:t>
      </w:r>
      <w:r>
        <w:t>T</w:t>
      </w:r>
      <w:r w:rsidRPr="00E8243A">
        <w:t xml:space="preserve">he </w:t>
      </w:r>
      <w:r>
        <w:t>notion</w:t>
      </w:r>
      <w:r w:rsidRPr="00E8243A">
        <w:t xml:space="preserve"> that the </w:t>
      </w:r>
      <w:r>
        <w:t xml:space="preserve">GP </w:t>
      </w:r>
      <w:r w:rsidRPr="00E8243A">
        <w:t xml:space="preserve">may eventually entirely depopulate, whether voluntarily or involuntarily, is not universally </w:t>
      </w:r>
      <w:r>
        <w:t>shared although enthusiasm is tempered.  W</w:t>
      </w:r>
      <w:r w:rsidRPr="00E8243A">
        <w:t xml:space="preserve">hile acknowledging that depopulation is indeed occurring, White (1994) </w:t>
      </w:r>
      <w:r>
        <w:t>demonstrated</w:t>
      </w:r>
      <w:r w:rsidRPr="00E8243A">
        <w:t xml:space="preserve"> that the population in some areas, such as </w:t>
      </w:r>
      <w:r>
        <w:t xml:space="preserve">in </w:t>
      </w:r>
      <w:r w:rsidRPr="00E8243A">
        <w:t>Western Kansas</w:t>
      </w:r>
      <w:r>
        <w:t>,</w:t>
      </w:r>
      <w:r w:rsidRPr="00E8243A">
        <w:t xml:space="preserve"> has become concentrated or stabilized around so-called “Ogallala Oases,” sustaining a livelihood by utilizing the High-Plains Aquifer.  White (1994) concludes: “abandonment is a regional development policy that looks good only if you are a buffalo.”  </w:t>
      </w:r>
      <w:r>
        <w:t xml:space="preserve">In a manner similar to the Homestead Act of 1862, </w:t>
      </w:r>
      <w:r w:rsidRPr="00E8243A">
        <w:t xml:space="preserve">various communities from North Dakota to Kansas have promoted “free land” </w:t>
      </w:r>
      <w:r>
        <w:t xml:space="preserve">to attract new </w:t>
      </w:r>
      <w:r w:rsidRPr="00E8243A">
        <w:t>residents (</w:t>
      </w:r>
      <w:r>
        <w:t xml:space="preserve">Shortridge 2004; </w:t>
      </w:r>
      <w:r w:rsidRPr="00E8243A">
        <w:t>Lu and Paull 2007)</w:t>
      </w:r>
      <w:r>
        <w:t>,</w:t>
      </w:r>
      <w:r w:rsidRPr="00E8243A">
        <w:t xml:space="preserve">  These communities promote themselves by emphasizing low crime rates, low traffic, good schools, inexpensive housing, and a</w:t>
      </w:r>
      <w:r>
        <w:t>s</w:t>
      </w:r>
      <w:r w:rsidRPr="00E8243A">
        <w:t xml:space="preserve"> community-oriented place</w:t>
      </w:r>
      <w:r>
        <w:t>s</w:t>
      </w:r>
      <w:r w:rsidRPr="00E8243A">
        <w:t xml:space="preserve">  suited to rais</w:t>
      </w:r>
      <w:r>
        <w:t>ing</w:t>
      </w:r>
      <w:r w:rsidRPr="00E8243A">
        <w:t xml:space="preserve"> a family</w:t>
      </w:r>
      <w:r>
        <w:t xml:space="preserve"> (Lu and Paull 2007)</w:t>
      </w:r>
      <w:r w:rsidRPr="00E8243A">
        <w:t>.  So far, these programs appear to be somewhat successful as they have attracted new residents and some towns have given away all their available lots.  “If the initial success of these free land programs is any indication,” they conclude, “then the future of rural communities in the Great Plains may be more promising than the outlook h</w:t>
      </w:r>
      <w:r>
        <w:t>as been in the past few decades</w:t>
      </w:r>
      <w:r w:rsidRPr="00E8243A">
        <w:t>”</w:t>
      </w:r>
      <w:r>
        <w:t xml:space="preserve"> (Lu and Paull 2007).  Shortridge (2004) indicates, however, that </w:t>
      </w:r>
      <w:proofErr w:type="gramStart"/>
      <w:r>
        <w:t>towns</w:t>
      </w:r>
      <w:proofErr w:type="gramEnd"/>
      <w:r>
        <w:t xml:space="preserve"> closer to major population centers have been more successful with these programs than those in more remote locations.</w:t>
      </w:r>
    </w:p>
    <w:p w:rsidR="00A25DD0" w:rsidRPr="00E8243A" w:rsidRDefault="001E3E2A" w:rsidP="00F86E62">
      <w:pPr>
        <w:spacing w:line="480" w:lineRule="auto"/>
      </w:pPr>
      <w:r w:rsidRPr="00E8243A">
        <w:lastRenderedPageBreak/>
        <w:t xml:space="preserve">    Contrary to present trends and fears about depopulation, Kotkin (2010</w:t>
      </w:r>
      <w:r>
        <w:t>, 2012</w:t>
      </w:r>
      <w:r w:rsidRPr="00E8243A">
        <w:t xml:space="preserve">), argued that the </w:t>
      </w:r>
      <w:r>
        <w:t xml:space="preserve">US “Heartland,” including the GP, </w:t>
      </w:r>
      <w:r w:rsidRPr="00E8243A">
        <w:t>will house a significantly growing American population by 2050</w:t>
      </w:r>
      <w:r>
        <w:t xml:space="preserve">. </w:t>
      </w:r>
      <w:r w:rsidRPr="00E8243A">
        <w:t xml:space="preserve"> </w:t>
      </w:r>
      <w:r>
        <w:t>He</w:t>
      </w:r>
      <w:r w:rsidRPr="00E8243A">
        <w:t xml:space="preserve"> </w:t>
      </w:r>
      <w:r>
        <w:t xml:space="preserve">argued that the rise in national and international demand for resources extracted in the GP, coupled with increased global demand for agriculture products grown in this region (corn, soybeans, cotton), and the recent increases in employment pertaining to primary economic activities in the GP bode well for the region’s future (Kotkin 2012).  Additionally, he noted the ample space for development, and that many technological firms </w:t>
      </w:r>
      <w:r w:rsidRPr="00E8243A">
        <w:t>whose reliance on high speed communications tech</w:t>
      </w:r>
      <w:r>
        <w:t>nology obviated</w:t>
      </w:r>
      <w:r w:rsidRPr="00E8243A">
        <w:t xml:space="preserve"> their locating near urban agglomerations</w:t>
      </w:r>
      <w:r>
        <w:t xml:space="preserve"> have begun settling here</w:t>
      </w:r>
      <w:r w:rsidRPr="00E8243A">
        <w:t xml:space="preserve"> (Kotkin 2010).  </w:t>
      </w:r>
      <w:r>
        <w:t>Kotkin (2012, 108) concludes:</w:t>
      </w:r>
      <w:r w:rsidRPr="00E8243A">
        <w:t xml:space="preserve"> “The Great Plains has already proved to be anything but ‘The Great American Desert</w:t>
      </w:r>
      <w:r>
        <w:t>.</w:t>
      </w:r>
      <w:r w:rsidR="00BB441E">
        <w:t>’</w:t>
      </w:r>
      <w:r>
        <w:t xml:space="preserve"> </w:t>
      </w:r>
      <w:r w:rsidRPr="00E8243A">
        <w:t xml:space="preserve"> As we move into the 21</w:t>
      </w:r>
      <w:r w:rsidRPr="00E8243A">
        <w:rPr>
          <w:vertAlign w:val="superscript"/>
        </w:rPr>
        <w:t>st</w:t>
      </w:r>
      <w:r>
        <w:t xml:space="preserve"> </w:t>
      </w:r>
      <w:r w:rsidRPr="00E8243A">
        <w:t>century, it [is] destined to once again take its role at the center stage of American inspirati</w:t>
      </w:r>
      <w:r>
        <w:t>on, innovation, and progress.”</w:t>
      </w:r>
      <w:r w:rsidR="00A25DD0">
        <w:t xml:space="preserve">          </w:t>
      </w:r>
    </w:p>
    <w:p w:rsidR="001E3E2A" w:rsidRPr="00A25DD0" w:rsidRDefault="001E3E2A" w:rsidP="00A25DD0">
      <w:pPr>
        <w:pStyle w:val="Heading3"/>
        <w:spacing w:line="480" w:lineRule="auto"/>
        <w:rPr>
          <w:b w:val="0"/>
        </w:rPr>
      </w:pPr>
      <w:bookmarkStart w:id="54" w:name="_Toc364501633"/>
      <w:bookmarkStart w:id="55" w:name="_Toc368046164"/>
      <w:r w:rsidRPr="00A25DD0">
        <w:rPr>
          <w:b w:val="0"/>
        </w:rPr>
        <w:t>2.5.3: Perspectives III: An Agricultural, Resource, Extraction, and Production Hub</w:t>
      </w:r>
      <w:bookmarkEnd w:id="54"/>
      <w:bookmarkEnd w:id="55"/>
    </w:p>
    <w:p w:rsidR="001E3E2A" w:rsidRPr="00025D2B" w:rsidRDefault="001E3E2A" w:rsidP="001E3E2A">
      <w:pPr>
        <w:spacing w:line="480" w:lineRule="auto"/>
      </w:pPr>
      <w:r w:rsidRPr="00E8243A">
        <w:t xml:space="preserve">     </w:t>
      </w:r>
      <w:r>
        <w:t>Often the clusters of population growth in the GP reflect the dominance of major industries</w:t>
      </w:r>
      <w:r w:rsidRPr="00E8243A">
        <w:t xml:space="preserve">.  Since 1995, Southwestern Kansas has become </w:t>
      </w:r>
      <w:r>
        <w:t xml:space="preserve">a </w:t>
      </w:r>
      <w:r w:rsidRPr="00E8243A">
        <w:t>prime dest</w:t>
      </w:r>
      <w:r>
        <w:t xml:space="preserve">ination for the US dairy industry and </w:t>
      </w:r>
      <w:r w:rsidRPr="00E8243A">
        <w:t xml:space="preserve">houses one of the largest clusters of dairy operations in the Great Plains (Harrington et al. 2010).  These activities take advantage of available land necessary for such large-scale operations, lower operating costs, tax incentives, and a physical climate amenable </w:t>
      </w:r>
      <w:r>
        <w:t>fo</w:t>
      </w:r>
      <w:r w:rsidRPr="00E8243A">
        <w:t>r large</w:t>
      </w:r>
      <w:r>
        <w:t>-</w:t>
      </w:r>
      <w:r w:rsidRPr="00E8243A">
        <w:t xml:space="preserve">scale dairy agriculture (e.g. lack of cold winters).  </w:t>
      </w:r>
      <w:r>
        <w:t>As of 2011, Kansas ranks third of all US states in number of cattle slaughtered and in the number of c</w:t>
      </w:r>
      <w:r w:rsidR="00291DC4">
        <w:t xml:space="preserve">attle on farms with 6.1 million </w:t>
      </w:r>
      <w:r>
        <w:t xml:space="preserve">(National Agriculture Statistics Service </w:t>
      </w:r>
      <w:r>
        <w:lastRenderedPageBreak/>
        <w:t xml:space="preserve">2012).  </w:t>
      </w:r>
      <w:r w:rsidRPr="00E8243A">
        <w:t>The ubiquitous presence of beef in the region and its growing strength led Harrington et al. (2010</w:t>
      </w:r>
      <w:r>
        <w:t>, 540</w:t>
      </w:r>
      <w:r w:rsidRPr="00E8243A">
        <w:t>) to declare</w:t>
      </w:r>
      <w:r>
        <w:t xml:space="preserve"> this part of Kansas as “real ‘cattle country!’”  </w:t>
      </w:r>
    </w:p>
    <w:p w:rsidR="00A42FE7" w:rsidRDefault="001E3E2A" w:rsidP="001E3E2A">
      <w:pPr>
        <w:spacing w:line="480" w:lineRule="auto"/>
      </w:pPr>
      <w:r w:rsidRPr="00E8243A">
        <w:t xml:space="preserve"> </w:t>
      </w:r>
      <w:r>
        <w:t xml:space="preserve">   Like agriculture, mineral extraction</w:t>
      </w:r>
      <w:r w:rsidRPr="00E8243A">
        <w:t xml:space="preserve"> ac</w:t>
      </w:r>
      <w:r>
        <w:t>tively supports local economies.  T</w:t>
      </w:r>
      <w:r w:rsidRPr="00E8243A">
        <w:t>he GP is ho</w:t>
      </w:r>
      <w:r>
        <w:t xml:space="preserve">me to reserves of oil and gas; the Oklahoma Panhandle and Southwestern Kansas region overlay one of the largest natural gas producing areas in the world-the Hugoton Natural Gas Area (Lowitt 2006, 84-86).  The national helium reserve is situated in the vicinity of this field, near Amarillo, Texas.  The GP also contains the Powder River Basin in Wyoming which is a large coal-producing region, the extensive Palo Duro and Fort Worth oil Basins in West Texas, and the Willston Basin in North Dakota, South Dakota, and Montana.  </w:t>
      </w:r>
      <w:r w:rsidRPr="00E8243A">
        <w:t>The vast majority (56%) of this production is due to extraction from the 500,000 km</w:t>
      </w:r>
      <w:r w:rsidRPr="00E8243A">
        <w:rPr>
          <w:vertAlign w:val="superscript"/>
        </w:rPr>
        <w:t>2</w:t>
      </w:r>
      <w:r w:rsidRPr="00E8243A">
        <w:t xml:space="preserve"> Bakken Formation in Western North Dakota and far eastern Montana (</w:t>
      </w:r>
      <w:r>
        <w:t>North Dakota Industrial Commission Department of Mineral Resources 2010).  T</w:t>
      </w:r>
      <w:r w:rsidRPr="00E8243A">
        <w:t xml:space="preserve">his </w:t>
      </w:r>
      <w:r>
        <w:t>F</w:t>
      </w:r>
      <w:r w:rsidRPr="00E8243A">
        <w:t>ormation overlies counties that have seen population increase by up to 50% between 2000 and 2010</w:t>
      </w:r>
      <w:r>
        <w:t>, prompting some reports to comment on the rise</w:t>
      </w:r>
      <w:r w:rsidRPr="00E8243A">
        <w:t xml:space="preserve"> of “boom towns</w:t>
      </w:r>
      <w:r>
        <w:t xml:space="preserve">.”   </w:t>
      </w:r>
      <w:r w:rsidRPr="00E8243A">
        <w:t xml:space="preserve">Counties overlying the Bakken </w:t>
      </w:r>
      <w:r>
        <w:t>F</w:t>
      </w:r>
      <w:r w:rsidRPr="00E8243A">
        <w:t>ormation that have been losing population may see increases in population by 50% by 2025 because of the energy industry (North Dakota State University Center for Social Research 2012)</w:t>
      </w:r>
      <w:r>
        <w:t xml:space="preserve">. </w:t>
      </w:r>
    </w:p>
    <w:p w:rsidR="00164E64" w:rsidRDefault="001E3E2A" w:rsidP="00164E64">
      <w:pPr>
        <w:spacing w:line="480" w:lineRule="auto"/>
      </w:pPr>
      <w:r w:rsidRPr="00E8243A">
        <w:t xml:space="preserve">      The United States’ pursuit of </w:t>
      </w:r>
      <w:r w:rsidR="00164E64">
        <w:t xml:space="preserve">renewable energy </w:t>
      </w:r>
      <w:r w:rsidRPr="00E8243A">
        <w:t>will likewise involve the Great Plains, just as its reliance on oil has involved this region.</w:t>
      </w:r>
      <w:r w:rsidR="00164E64">
        <w:t xml:space="preserve">  For instance, wind power development comprises a nascent source for economic benefit.  Each GP state has some of the highest on-shore wind power potential in the US with the highest potential capacities in the GP region being on the western portions of the GP in Montana, </w:t>
      </w:r>
      <w:r w:rsidR="00164E64">
        <w:lastRenderedPageBreak/>
        <w:t xml:space="preserve">Southern Wyoming, and New Mexico (Brown et al. 2012).  Three of the four states with the highest installed wind power capacity in 2012: Texas, Kansas, and Oklahoma, are in the Great Plains, as are five of the top 20 (Colorado, North Dakota) (DOE 2013).  Texas, which tops the list, has more than twice the installed capacity of the next-highest state, California, and has more installed wind power capacity than all but five countries.  </w:t>
      </w:r>
    </w:p>
    <w:p w:rsidR="00164E64" w:rsidRDefault="00164E64" w:rsidP="001E3E2A">
      <w:pPr>
        <w:spacing w:line="480" w:lineRule="auto"/>
      </w:pPr>
      <w:r>
        <w:t xml:space="preserve">      Wind power development in the GP results in an average aggregate increase in personal income of $11,000 per megawatt capacity and in the generation of 0.5 jobs per megawatt (Brown et al. 2012).   Slattery et al. (2011) estimated using the National Renewable Energy Laboratory (NREL) Jobs and Economic Development Impacts (JEDI) model</w:t>
      </w:r>
      <w:r>
        <w:rPr>
          <w:sz w:val="14"/>
          <w:szCs w:val="14"/>
        </w:rPr>
        <w:t xml:space="preserve"> </w:t>
      </w:r>
      <w:r w:rsidRPr="00142C70">
        <w:t>(</w:t>
      </w:r>
      <w:r w:rsidRPr="00142C70">
        <w:rPr>
          <w:i/>
        </w:rPr>
        <w:t>http://www.nrel.gov/analysis/jedi/about_jedi_wind.html</w:t>
      </w:r>
      <w:r w:rsidRPr="00142C70">
        <w:t xml:space="preserve">) </w:t>
      </w:r>
      <w:r>
        <w:t xml:space="preserve">that wind power projects in four west Texas counties supported the equivalent of 680 on-site construction jobs and 63 permanent on-site jobs, generating $3.6 million annually in earnings with an average annual salary of $58,000.   An analysis with the JEDI model likewise indicated that the cumulative development of 1000 Megawatts of power in eastern Colorado generated 1700 full-time equivalent jobs during construction and supports 300 permanent jobs rural areas with a total payroll of $14.7 million, and annual local economic activity valued at $34.9 million (Reategui and Tegen 2008).  A 2009 National Renewable Energy Laboratory report estimated that the development of 7,800 MW of wind power in Nebraska by 2030 will support 20,600 to 36,500 construction jobs, infusing $140 to $260 million into the state economy annually, and 2,200 to 4,000 operational jobs, infusing $250 million to $442 million into the state annually (Lantz 2009).     </w:t>
      </w:r>
    </w:p>
    <w:p w:rsidR="001E3E2A" w:rsidRPr="00E8243A" w:rsidRDefault="00164E64" w:rsidP="001E3E2A">
      <w:pPr>
        <w:spacing w:line="480" w:lineRule="auto"/>
      </w:pPr>
      <w:r>
        <w:lastRenderedPageBreak/>
        <w:t xml:space="preserve">     Likewise, biofuel production comprises a potential source of economic benefit.  O</w:t>
      </w:r>
      <w:r w:rsidR="001E3E2A">
        <w:t>ne biofuel-based crop that has received much attention is the warm-season grass Switchgrass (</w:t>
      </w:r>
      <w:r w:rsidR="001E3E2A">
        <w:rPr>
          <w:i/>
        </w:rPr>
        <w:t xml:space="preserve">Panicum virgatum </w:t>
      </w:r>
      <w:r w:rsidR="001E3E2A">
        <w:t xml:space="preserve">L, Parrish and Fike 2005) which is more drought-tolerant than other grasses and requires relatively few inputs for growth.  </w:t>
      </w:r>
      <w:r w:rsidR="001E3E2A" w:rsidRPr="00E8243A">
        <w:t xml:space="preserve">Recently, the </w:t>
      </w:r>
      <w:r w:rsidR="001E3E2A">
        <w:t xml:space="preserve">Samuel Roberts Noble </w:t>
      </w:r>
      <w:r w:rsidR="001E3E2A" w:rsidRPr="00E8243A">
        <w:t>Foundation planted 403 hectares of switchgrass near Guymon, O</w:t>
      </w:r>
      <w:r w:rsidR="001E3E2A">
        <w:t>klahoma</w:t>
      </w:r>
      <w:r w:rsidR="001E3E2A" w:rsidRPr="00E8243A">
        <w:t xml:space="preserve"> and 81 hectare </w:t>
      </w:r>
      <w:r w:rsidR="001E3E2A">
        <w:t xml:space="preserve">at another </w:t>
      </w:r>
      <w:r w:rsidR="001E3E2A" w:rsidRPr="00E8243A">
        <w:t>site near Maysville, O</w:t>
      </w:r>
      <w:r w:rsidR="001E3E2A">
        <w:t>klahoma</w:t>
      </w:r>
      <w:r w:rsidR="001E3E2A" w:rsidRPr="00E8243A">
        <w:t xml:space="preserve"> as demonstration projects</w:t>
      </w:r>
      <w:r w:rsidR="001E3E2A">
        <w:t xml:space="preserve"> (Oklahoma Bioenergy Center 2008).</w:t>
      </w:r>
    </w:p>
    <w:p w:rsidR="006217B6" w:rsidRDefault="001E3E2A" w:rsidP="00F86E62">
      <w:pPr>
        <w:spacing w:line="480" w:lineRule="auto"/>
      </w:pPr>
      <w:r w:rsidRPr="00E8243A">
        <w:t xml:space="preserve">     The production of </w:t>
      </w:r>
      <w:r>
        <w:t xml:space="preserve">corn-based ethanol </w:t>
      </w:r>
      <w:r w:rsidRPr="00E8243A">
        <w:t xml:space="preserve">is beginning to provide economic benefits to various towns in the Great Plains, such as Washburn, ND (population 1250) to which an ethanol plant brought 400 construction jobs and 40 permanent jobs, leading the mayor to announce “We’ve got the best future we’ve ever had” (Wood 2008, 171).  </w:t>
      </w:r>
      <w:r>
        <w:t xml:space="preserve">To process ethanol, numerous refineries have established in the GP including </w:t>
      </w:r>
      <w:r w:rsidRPr="00E8243A">
        <w:t>Sterling Ethanol, LLC (</w:t>
      </w:r>
      <w:r w:rsidRPr="000A6E34">
        <w:rPr>
          <w:i/>
        </w:rPr>
        <w:t>http://www.sterlingethanol.com/</w:t>
      </w:r>
      <w:r w:rsidRPr="00E8243A">
        <w:t>), Yuma Ethanol (</w:t>
      </w:r>
      <w:r w:rsidRPr="000A6E34">
        <w:rPr>
          <w:i/>
        </w:rPr>
        <w:t>http://www.yumaethanol.com</w:t>
      </w:r>
      <w:r w:rsidRPr="00E8243A">
        <w:t>) and Bridgeport Ethanol (</w:t>
      </w:r>
      <w:r w:rsidRPr="000A6E34">
        <w:rPr>
          <w:i/>
        </w:rPr>
        <w:t>http://www.bridgeportethanol.com</w:t>
      </w:r>
      <w:r w:rsidRPr="00E8243A">
        <w:t xml:space="preserve">).  </w:t>
      </w:r>
      <w:r>
        <w:t xml:space="preserve">Albengoa Bioenergy Corporation </w:t>
      </w:r>
      <w:r w:rsidRPr="00E8243A">
        <w:t xml:space="preserve">will open a $500 million switchgrass processing </w:t>
      </w:r>
      <w:r>
        <w:t>biorefinery</w:t>
      </w:r>
      <w:r w:rsidRPr="00E8243A">
        <w:t xml:space="preserve"> in the Southwestern Kansas town of Hugoton by </w:t>
      </w:r>
      <w:r>
        <w:t>late 2013 or early 2014 (Albengoa Bioenergy 2011)</w:t>
      </w:r>
      <w:r w:rsidRPr="00E8243A">
        <w:t xml:space="preserve">.  This biorefinery will </w:t>
      </w:r>
      <w:r>
        <w:t>produce</w:t>
      </w:r>
      <w:r w:rsidRPr="00E8243A">
        <w:t xml:space="preserve"> 87 million liters of ethanol annually</w:t>
      </w:r>
      <w:r>
        <w:t xml:space="preserve">, create </w:t>
      </w:r>
      <w:r w:rsidRPr="00E8243A">
        <w:t>300 construction jobs</w:t>
      </w:r>
      <w:r>
        <w:t>,</w:t>
      </w:r>
      <w:r w:rsidRPr="00E8243A">
        <w:t xml:space="preserve"> and employ 65 people (</w:t>
      </w:r>
      <w:r w:rsidRPr="00CF5B62">
        <w:t>Hanks</w:t>
      </w:r>
      <w:r w:rsidRPr="00CF5B62">
        <w:rPr>
          <w:rStyle w:val="Hyperlink"/>
          <w:color w:val="auto"/>
          <w:u w:val="none"/>
        </w:rPr>
        <w:t xml:space="preserve"> 2011</w:t>
      </w:r>
      <w:r>
        <w:rPr>
          <w:rStyle w:val="Hyperlink"/>
          <w:color w:val="auto"/>
          <w:u w:val="none"/>
        </w:rPr>
        <w:t>; Bickel 2012</w:t>
      </w:r>
      <w:r w:rsidRPr="00E8243A">
        <w:t xml:space="preserve">).  </w:t>
      </w:r>
      <w:r>
        <w:t>Albengoa also</w:t>
      </w:r>
      <w:r w:rsidRPr="00E8243A">
        <w:t xml:space="preserve"> operates refineries in Portales, N</w:t>
      </w:r>
      <w:r>
        <w:t xml:space="preserve">ew </w:t>
      </w:r>
      <w:r w:rsidRPr="00E8243A">
        <w:t>M</w:t>
      </w:r>
      <w:r>
        <w:t>exico</w:t>
      </w:r>
      <w:r w:rsidRPr="00E8243A">
        <w:t xml:space="preserve"> and Colwich, K</w:t>
      </w:r>
      <w:r>
        <w:t>ansas both on the GP.</w:t>
      </w:r>
      <w:r w:rsidRPr="00E8243A">
        <w:t xml:space="preserve"> </w:t>
      </w:r>
      <w:r>
        <w:t xml:space="preserve">  </w:t>
      </w:r>
    </w:p>
    <w:p w:rsidR="000A6E34" w:rsidRDefault="006217B6" w:rsidP="00F86E62">
      <w:pPr>
        <w:spacing w:line="480" w:lineRule="auto"/>
      </w:pPr>
      <w:r>
        <w:t xml:space="preserve">     </w:t>
      </w:r>
      <w:r w:rsidR="00772BF2">
        <w:t>I</w:t>
      </w:r>
      <w:r w:rsidR="001E3E2A" w:rsidRPr="00E8243A">
        <w:t xml:space="preserve"> have discussed the unfolding development of the biofuel industry on the GP to illustrate the fact that it represents a major land</w:t>
      </w:r>
      <w:r w:rsidR="001E3E2A">
        <w:t xml:space="preserve"> </w:t>
      </w:r>
      <w:r w:rsidR="001E3E2A" w:rsidRPr="00E8243A">
        <w:t xml:space="preserve">use change with implications on regional economy, regional sustainability, and environmental impacts.  </w:t>
      </w:r>
      <w:r w:rsidR="00772BF2">
        <w:t>I</w:t>
      </w:r>
      <w:r w:rsidR="001E3E2A" w:rsidRPr="00E8243A">
        <w:t xml:space="preserve"> now turn to the </w:t>
      </w:r>
      <w:r w:rsidR="001E3E2A" w:rsidRPr="00E8243A">
        <w:lastRenderedPageBreak/>
        <w:t xml:space="preserve">prospects for future land use changes in the GP.  Given that land use change is often a function of population growth, </w:t>
      </w:r>
      <w:r w:rsidR="00772BF2">
        <w:t>I</w:t>
      </w:r>
      <w:r w:rsidR="001E3E2A" w:rsidRPr="00E8243A">
        <w:t xml:space="preserve"> begin with analysis of future population scenarios in the GP.  </w:t>
      </w:r>
    </w:p>
    <w:p w:rsidR="001E3E2A" w:rsidRPr="00A25DD0" w:rsidRDefault="001E3E2A" w:rsidP="00A25DD0">
      <w:pPr>
        <w:pStyle w:val="Heading3"/>
        <w:spacing w:line="480" w:lineRule="auto"/>
        <w:rPr>
          <w:b w:val="0"/>
        </w:rPr>
      </w:pPr>
      <w:bookmarkStart w:id="56" w:name="_Toc364501634"/>
      <w:bookmarkStart w:id="57" w:name="_Toc368046165"/>
      <w:r w:rsidRPr="00A25DD0">
        <w:rPr>
          <w:b w:val="0"/>
        </w:rPr>
        <w:t>2.5.4: Quantitative Analysis I: Population Projections</w:t>
      </w:r>
      <w:bookmarkEnd w:id="56"/>
      <w:bookmarkEnd w:id="57"/>
    </w:p>
    <w:p w:rsidR="001E3E2A" w:rsidRDefault="001E3E2A" w:rsidP="001E3E2A">
      <w:pPr>
        <w:spacing w:line="480" w:lineRule="auto"/>
      </w:pPr>
      <w:r>
        <w:t xml:space="preserve">     As noted above, the new energy security act is likely to affect land use change in the GP</w:t>
      </w:r>
      <w:r w:rsidR="000A6E34">
        <w:t xml:space="preserve">.  </w:t>
      </w:r>
      <w:r>
        <w:t>Because land use change is often driven by demographics,</w:t>
      </w:r>
      <w:r w:rsidR="00772BF2">
        <w:t xml:space="preserve"> </w:t>
      </w:r>
      <w:r w:rsidRPr="00E8243A">
        <w:t>the Integrated Climate and Land Use Scenarios (ICLUS) version 1.3 dataset</w:t>
      </w:r>
      <w:r>
        <w:t xml:space="preserve"> developed by the US Environmental Protection Agency </w:t>
      </w:r>
      <w:r w:rsidR="00772BF2">
        <w:t xml:space="preserve">was utilized </w:t>
      </w:r>
      <w:r>
        <w:t>(</w:t>
      </w:r>
      <w:r w:rsidRPr="00E8243A">
        <w:t xml:space="preserve">Bierwagen et al. 2011) to </w:t>
      </w:r>
      <w:r>
        <w:t>investigate</w:t>
      </w:r>
      <w:r w:rsidRPr="00E8243A">
        <w:t xml:space="preserve"> the percent change in the population of the 492 GP counties from 2000-2100</w:t>
      </w:r>
      <w:r>
        <w:t xml:space="preserve">.  The ICLUS dataset contains county-level population data through 2100 </w:t>
      </w:r>
      <w:r w:rsidRPr="00E8243A">
        <w:t xml:space="preserve">under </w:t>
      </w:r>
      <w:r>
        <w:t xml:space="preserve">four demographic scenarios.  These scenarios were designed in a manner similar, and labeled identically, to the carbon dioxide emission scenarios used by </w:t>
      </w:r>
      <w:r w:rsidRPr="00E8243A">
        <w:t>the Intergovernmental Panel on Climate Change (</w:t>
      </w:r>
      <w:r w:rsidRPr="003C34B9">
        <w:t>Nakicenovic</w:t>
      </w:r>
      <w:r>
        <w:t xml:space="preserve"> 2000; Bierwagen et al. 2011, </w:t>
      </w:r>
      <w:r w:rsidR="005C0A3A">
        <w:t>Table 2</w:t>
      </w:r>
      <w:r w:rsidR="00E443C8">
        <w:t>.1</w:t>
      </w:r>
      <w:r w:rsidRPr="00E8243A">
        <w:t>).</w:t>
      </w:r>
      <w:r>
        <w:t xml:space="preserve">  In this analysis, </w:t>
      </w:r>
      <w:r w:rsidRPr="00E8243A">
        <w:t>2010 population projections were used rather than 2010 census valu</w:t>
      </w:r>
      <w:r>
        <w:t>es because ICLUS version 1.3 was created</w:t>
      </w:r>
      <w:r w:rsidRPr="00E8243A">
        <w:t xml:space="preserve"> prior to the census.  In all four scenarios, the majority of the counties in the Great Plains, like those in the rest of the country, are expected to have lower populations in 2100 than in 2010 (Table</w:t>
      </w:r>
      <w:r>
        <w:t xml:space="preserve"> </w:t>
      </w:r>
      <w:r w:rsidR="00E443C8">
        <w:t>2.2</w:t>
      </w:r>
      <w:r w:rsidRPr="00E8243A">
        <w:t xml:space="preserve">).  The A1 and A2 scenarios project the highest </w:t>
      </w:r>
      <w:r>
        <w:t xml:space="preserve">number </w:t>
      </w:r>
      <w:r w:rsidRPr="00E8243A">
        <w:t xml:space="preserve">of counties experiencing population declines; the B1 and B2 project the fewest.  </w:t>
      </w:r>
      <w:r>
        <w:t>Consistent with the assumptions under which these scenarios were crafted, the A1 scenario projects the most severe declines in county population (due to urban migration) while the B2 projects the fewest</w:t>
      </w:r>
      <w:r w:rsidRPr="00E8243A">
        <w:t xml:space="preserve"> </w:t>
      </w:r>
      <w:r>
        <w:t xml:space="preserve">quantity of population declines while predicting the highest number of counties experiencing population growth </w:t>
      </w:r>
      <w:r w:rsidRPr="00E8243A">
        <w:t>(</w:t>
      </w:r>
      <w:r>
        <w:t xml:space="preserve">Figure </w:t>
      </w:r>
      <w:r w:rsidR="003E57C2">
        <w:t>2.</w:t>
      </w:r>
      <w:r w:rsidR="005C0A3A">
        <w:t>4</w:t>
      </w:r>
      <w:r>
        <w:t xml:space="preserve">).  Given the disparate assumptions behind the scenarios, it is not surprising that a </w:t>
      </w:r>
      <w:r>
        <w:lastRenderedPageBreak/>
        <w:t xml:space="preserve">consensus among the four scenarios is achieved in only 54.3% of the GP counties (Figure </w:t>
      </w:r>
      <w:r w:rsidR="003E57C2">
        <w:t>2.</w:t>
      </w:r>
      <w:r w:rsidR="005C0A3A">
        <w:t>5</w:t>
      </w:r>
      <w:r>
        <w:t>).  They agree on population growth in 6.9% of the counties, notably those along the Denver-Colorado Front Range region and the Central Texas urbanized regions which have been growing for decades.  The scenarios also agree on population declines in 47.4%, most notably in the Northern Great Pla</w:t>
      </w:r>
      <w:r w:rsidR="00291DC4">
        <w:t>ins and the periphery of the GP</w:t>
      </w:r>
      <w:r>
        <w:t xml:space="preserve">. </w:t>
      </w:r>
    </w:p>
    <w:p w:rsidR="00A25DD0" w:rsidRPr="00A25DD0" w:rsidRDefault="00A25DD0" w:rsidP="00A25DD0">
      <w:pPr>
        <w:rPr>
          <w:lang w:val="en-GB" w:eastAsia="en-GB"/>
        </w:rPr>
      </w:pPr>
    </w:p>
    <w:p w:rsidR="00E443C8" w:rsidRPr="0001398C" w:rsidRDefault="00E443C8" w:rsidP="00E443C8">
      <w:pPr>
        <w:pStyle w:val="Tabletitle"/>
      </w:pPr>
      <w:bookmarkStart w:id="58" w:name="_Toc364503703"/>
      <w:bookmarkStart w:id="59" w:name="_Toc367550597"/>
      <w:proofErr w:type="gramStart"/>
      <w:r>
        <w:t>Table 2.1</w:t>
      </w:r>
      <w:r w:rsidRPr="0001398C">
        <w:t>: Table illustrating the various ICLUS scenarios.</w:t>
      </w:r>
      <w:proofErr w:type="gramEnd"/>
      <w:r w:rsidRPr="0001398C">
        <w:t xml:space="preserve">  Source: Bierwagen et al. (2011</w:t>
      </w:r>
      <w:r w:rsidRPr="00490F16">
        <w:t xml:space="preserve">). </w:t>
      </w:r>
      <w:r w:rsidR="00E83CDD">
        <w:t>Adapted</w:t>
      </w:r>
      <w:r w:rsidRPr="00490F16">
        <w:t xml:space="preserve"> </w:t>
      </w:r>
      <w:r w:rsidR="00E83CDD">
        <w:t>table used w</w:t>
      </w:r>
      <w:r w:rsidRPr="00490F16">
        <w:t>ith permission.</w:t>
      </w:r>
      <w:bookmarkEnd w:id="58"/>
      <w:bookmarkEnd w:id="59"/>
    </w:p>
    <w:p w:rsidR="00E443C8" w:rsidRPr="00E443C8" w:rsidRDefault="00E443C8" w:rsidP="00E443C8">
      <w:pPr>
        <w:jc w:val="center"/>
        <w:rPr>
          <w:b/>
        </w:rPr>
      </w:pPr>
      <w:r>
        <w:rPr>
          <w:b/>
          <w:noProof/>
        </w:rPr>
        <w:drawing>
          <wp:inline distT="0" distB="0" distL="0" distR="0" wp14:anchorId="1A4D078F" wp14:editId="1827C8FA">
            <wp:extent cx="3305175" cy="15483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jpg"/>
                    <pic:cNvPicPr/>
                  </pic:nvPicPr>
                  <pic:blipFill rotWithShape="1">
                    <a:blip r:embed="rId16">
                      <a:extLst>
                        <a:ext uri="{28A0092B-C50C-407E-A947-70E740481C1C}">
                          <a14:useLocalDpi xmlns:a14="http://schemas.microsoft.com/office/drawing/2010/main" val="0"/>
                        </a:ext>
                      </a:extLst>
                    </a:blip>
                    <a:srcRect r="38692"/>
                    <a:stretch/>
                  </pic:blipFill>
                  <pic:spPr bwMode="auto">
                    <a:xfrm>
                      <a:off x="0" y="0"/>
                      <a:ext cx="3307511" cy="1549400"/>
                    </a:xfrm>
                    <a:prstGeom prst="rect">
                      <a:avLst/>
                    </a:prstGeom>
                    <a:ln>
                      <a:noFill/>
                    </a:ln>
                    <a:extLst>
                      <a:ext uri="{53640926-AAD7-44D8-BBD7-CCE9431645EC}">
                        <a14:shadowObscured xmlns:a14="http://schemas.microsoft.com/office/drawing/2010/main"/>
                      </a:ext>
                    </a:extLst>
                  </pic:spPr>
                </pic:pic>
              </a:graphicData>
            </a:graphic>
          </wp:inline>
        </w:drawing>
      </w:r>
    </w:p>
    <w:p w:rsidR="00E443C8" w:rsidRDefault="00E443C8" w:rsidP="00E443C8">
      <w:pPr>
        <w:pStyle w:val="Tabletitle"/>
      </w:pPr>
    </w:p>
    <w:p w:rsidR="00E443C8" w:rsidRDefault="00E443C8" w:rsidP="00E443C8">
      <w:pPr>
        <w:pStyle w:val="Tabletitle"/>
      </w:pPr>
      <w:bookmarkStart w:id="60" w:name="_Toc364503704"/>
      <w:bookmarkStart w:id="61" w:name="_Toc367550598"/>
      <w:proofErr w:type="gramStart"/>
      <w:r>
        <w:t xml:space="preserve">Table 2.2: </w:t>
      </w:r>
      <w:r w:rsidR="00A9518C">
        <w:t>N</w:t>
      </w:r>
      <w:r>
        <w:t>umber of GP Counties Projected to Lose Population, 2010-2010, according to the ICLUS Dataset.</w:t>
      </w:r>
      <w:bookmarkEnd w:id="60"/>
      <w:bookmarkEnd w:id="61"/>
      <w:proofErr w:type="gramEnd"/>
    </w:p>
    <w:tbl>
      <w:tblPr>
        <w:tblStyle w:val="LightList-Accent3"/>
        <w:tblW w:w="0" w:type="auto"/>
        <w:jc w:val="center"/>
        <w:tblBorders>
          <w:top w:val="single" w:sz="8" w:space="0" w:color="auto"/>
          <w:left w:val="single" w:sz="8" w:space="0" w:color="auto"/>
          <w:bottom w:val="single" w:sz="8" w:space="0" w:color="auto"/>
          <w:right w:val="single" w:sz="8" w:space="0" w:color="auto"/>
        </w:tblBorders>
        <w:tblLook w:val="0620" w:firstRow="1" w:lastRow="0" w:firstColumn="0" w:lastColumn="0" w:noHBand="1" w:noVBand="1"/>
      </w:tblPr>
      <w:tblGrid>
        <w:gridCol w:w="1810"/>
        <w:gridCol w:w="4003"/>
        <w:gridCol w:w="2256"/>
      </w:tblGrid>
      <w:tr w:rsidR="00E443C8" w:rsidTr="00AA3F19">
        <w:trPr>
          <w:cnfStyle w:val="100000000000" w:firstRow="1" w:lastRow="0" w:firstColumn="0" w:lastColumn="0" w:oddVBand="0" w:evenVBand="0" w:oddHBand="0" w:evenHBand="0" w:firstRowFirstColumn="0" w:firstRowLastColumn="0" w:lastRowFirstColumn="0" w:lastRowLastColumn="0"/>
          <w:jc w:val="center"/>
        </w:trPr>
        <w:tc>
          <w:tcPr>
            <w:tcW w:w="0" w:type="auto"/>
            <w:tcBorders>
              <w:top w:val="single" w:sz="8" w:space="0" w:color="auto"/>
              <w:left w:val="single" w:sz="8" w:space="0" w:color="auto"/>
              <w:bottom w:val="nil"/>
              <w:right w:val="nil"/>
            </w:tcBorders>
            <w:shd w:val="clear" w:color="auto" w:fill="000000" w:themeFill="text1"/>
            <w:hideMark/>
          </w:tcPr>
          <w:p w:rsidR="00E443C8" w:rsidRDefault="00BB441E" w:rsidP="00AA3F19">
            <w:pPr>
              <w:jc w:val="center"/>
              <w:rPr>
                <w:b w:val="0"/>
                <w:sz w:val="24"/>
                <w:szCs w:val="24"/>
              </w:rPr>
            </w:pPr>
            <w:r>
              <w:rPr>
                <w:b w:val="0"/>
                <w:sz w:val="24"/>
                <w:szCs w:val="24"/>
              </w:rPr>
              <w:t>ICLUS</w:t>
            </w:r>
            <w:r w:rsidR="00E443C8">
              <w:rPr>
                <w:b w:val="0"/>
                <w:sz w:val="24"/>
                <w:szCs w:val="24"/>
              </w:rPr>
              <w:t xml:space="preserve"> Scenario</w:t>
            </w:r>
          </w:p>
        </w:tc>
        <w:tc>
          <w:tcPr>
            <w:tcW w:w="0" w:type="auto"/>
            <w:tcBorders>
              <w:top w:val="single" w:sz="8" w:space="0" w:color="auto"/>
              <w:left w:val="nil"/>
              <w:bottom w:val="nil"/>
              <w:right w:val="nil"/>
            </w:tcBorders>
            <w:shd w:val="clear" w:color="auto" w:fill="000000" w:themeFill="text1"/>
            <w:hideMark/>
          </w:tcPr>
          <w:p w:rsidR="00E443C8" w:rsidRDefault="00E443C8" w:rsidP="00AA3F19">
            <w:pPr>
              <w:jc w:val="center"/>
              <w:rPr>
                <w:b w:val="0"/>
                <w:sz w:val="24"/>
                <w:szCs w:val="24"/>
              </w:rPr>
            </w:pPr>
            <w:r>
              <w:rPr>
                <w:b w:val="0"/>
                <w:sz w:val="24"/>
                <w:szCs w:val="24"/>
              </w:rPr>
              <w:t>Number of Counties Losing Population</w:t>
            </w:r>
          </w:p>
        </w:tc>
        <w:tc>
          <w:tcPr>
            <w:tcW w:w="0" w:type="auto"/>
            <w:tcBorders>
              <w:top w:val="single" w:sz="8" w:space="0" w:color="auto"/>
              <w:left w:val="nil"/>
              <w:bottom w:val="nil"/>
              <w:right w:val="single" w:sz="8" w:space="0" w:color="auto"/>
            </w:tcBorders>
            <w:shd w:val="clear" w:color="auto" w:fill="000000" w:themeFill="text1"/>
            <w:hideMark/>
          </w:tcPr>
          <w:p w:rsidR="00E443C8" w:rsidRDefault="00E443C8" w:rsidP="00AA3F19">
            <w:pPr>
              <w:jc w:val="center"/>
              <w:rPr>
                <w:b w:val="0"/>
                <w:sz w:val="24"/>
                <w:szCs w:val="24"/>
              </w:rPr>
            </w:pPr>
            <w:r>
              <w:rPr>
                <w:b w:val="0"/>
                <w:sz w:val="24"/>
                <w:szCs w:val="24"/>
              </w:rPr>
              <w:t>% of all GP Counties</w:t>
            </w:r>
          </w:p>
        </w:tc>
      </w:tr>
      <w:tr w:rsidR="00E443C8" w:rsidTr="00AA3F19">
        <w:trPr>
          <w:jc w:val="center"/>
        </w:trPr>
        <w:tc>
          <w:tcPr>
            <w:tcW w:w="0" w:type="auto"/>
            <w:tcBorders>
              <w:top w:val="nil"/>
              <w:left w:val="single" w:sz="8" w:space="0" w:color="auto"/>
              <w:bottom w:val="nil"/>
              <w:right w:val="nil"/>
            </w:tcBorders>
            <w:hideMark/>
          </w:tcPr>
          <w:p w:rsidR="00E443C8" w:rsidRDefault="00E443C8" w:rsidP="00AA3F19">
            <w:pPr>
              <w:jc w:val="center"/>
              <w:rPr>
                <w:sz w:val="24"/>
                <w:szCs w:val="24"/>
              </w:rPr>
            </w:pPr>
            <w:r>
              <w:rPr>
                <w:sz w:val="24"/>
                <w:szCs w:val="24"/>
              </w:rPr>
              <w:t>A1</w:t>
            </w:r>
          </w:p>
        </w:tc>
        <w:tc>
          <w:tcPr>
            <w:tcW w:w="0" w:type="auto"/>
            <w:tcBorders>
              <w:top w:val="nil"/>
              <w:left w:val="nil"/>
              <w:bottom w:val="nil"/>
              <w:right w:val="nil"/>
            </w:tcBorders>
            <w:hideMark/>
          </w:tcPr>
          <w:p w:rsidR="00E443C8" w:rsidRDefault="00E443C8" w:rsidP="00AA3F19">
            <w:pPr>
              <w:jc w:val="center"/>
              <w:rPr>
                <w:sz w:val="24"/>
                <w:szCs w:val="24"/>
              </w:rPr>
            </w:pPr>
            <w:r>
              <w:rPr>
                <w:sz w:val="24"/>
                <w:szCs w:val="24"/>
              </w:rPr>
              <w:t>458</w:t>
            </w:r>
          </w:p>
        </w:tc>
        <w:tc>
          <w:tcPr>
            <w:tcW w:w="0" w:type="auto"/>
            <w:tcBorders>
              <w:top w:val="nil"/>
              <w:left w:val="nil"/>
              <w:bottom w:val="nil"/>
              <w:right w:val="single" w:sz="8" w:space="0" w:color="auto"/>
            </w:tcBorders>
            <w:hideMark/>
          </w:tcPr>
          <w:p w:rsidR="00E443C8" w:rsidRDefault="00E443C8" w:rsidP="00AA3F19">
            <w:pPr>
              <w:jc w:val="center"/>
              <w:rPr>
                <w:sz w:val="24"/>
                <w:szCs w:val="24"/>
              </w:rPr>
            </w:pPr>
            <w:r>
              <w:rPr>
                <w:sz w:val="24"/>
                <w:szCs w:val="24"/>
              </w:rPr>
              <w:t>93.1%</w:t>
            </w:r>
          </w:p>
        </w:tc>
      </w:tr>
      <w:tr w:rsidR="00E443C8" w:rsidTr="00AA3F19">
        <w:trPr>
          <w:jc w:val="center"/>
        </w:trPr>
        <w:tc>
          <w:tcPr>
            <w:tcW w:w="0" w:type="auto"/>
            <w:tcBorders>
              <w:top w:val="nil"/>
              <w:left w:val="single" w:sz="8" w:space="0" w:color="auto"/>
              <w:bottom w:val="nil"/>
              <w:right w:val="nil"/>
            </w:tcBorders>
            <w:hideMark/>
          </w:tcPr>
          <w:p w:rsidR="00E443C8" w:rsidRDefault="00E443C8" w:rsidP="00AA3F19">
            <w:pPr>
              <w:jc w:val="center"/>
              <w:rPr>
                <w:sz w:val="24"/>
                <w:szCs w:val="24"/>
              </w:rPr>
            </w:pPr>
            <w:r>
              <w:rPr>
                <w:sz w:val="24"/>
                <w:szCs w:val="24"/>
              </w:rPr>
              <w:t>A2</w:t>
            </w:r>
          </w:p>
        </w:tc>
        <w:tc>
          <w:tcPr>
            <w:tcW w:w="0" w:type="auto"/>
            <w:tcBorders>
              <w:top w:val="nil"/>
              <w:left w:val="nil"/>
              <w:bottom w:val="nil"/>
              <w:right w:val="nil"/>
            </w:tcBorders>
            <w:hideMark/>
          </w:tcPr>
          <w:p w:rsidR="00E443C8" w:rsidRDefault="00E443C8" w:rsidP="00AA3F19">
            <w:pPr>
              <w:jc w:val="center"/>
              <w:rPr>
                <w:sz w:val="24"/>
                <w:szCs w:val="24"/>
              </w:rPr>
            </w:pPr>
            <w:r>
              <w:rPr>
                <w:sz w:val="24"/>
                <w:szCs w:val="24"/>
              </w:rPr>
              <w:t>413</w:t>
            </w:r>
          </w:p>
        </w:tc>
        <w:tc>
          <w:tcPr>
            <w:tcW w:w="0" w:type="auto"/>
            <w:tcBorders>
              <w:top w:val="nil"/>
              <w:left w:val="nil"/>
              <w:bottom w:val="nil"/>
              <w:right w:val="single" w:sz="8" w:space="0" w:color="auto"/>
            </w:tcBorders>
            <w:hideMark/>
          </w:tcPr>
          <w:p w:rsidR="00E443C8" w:rsidRDefault="00E443C8" w:rsidP="00AA3F19">
            <w:pPr>
              <w:jc w:val="center"/>
              <w:rPr>
                <w:sz w:val="24"/>
                <w:szCs w:val="24"/>
              </w:rPr>
            </w:pPr>
            <w:r>
              <w:rPr>
                <w:sz w:val="24"/>
                <w:szCs w:val="24"/>
              </w:rPr>
              <w:t>83.9%</w:t>
            </w:r>
          </w:p>
        </w:tc>
      </w:tr>
      <w:tr w:rsidR="00E443C8" w:rsidTr="00AA3F19">
        <w:trPr>
          <w:jc w:val="center"/>
        </w:trPr>
        <w:tc>
          <w:tcPr>
            <w:tcW w:w="0" w:type="auto"/>
            <w:tcBorders>
              <w:top w:val="nil"/>
              <w:left w:val="single" w:sz="8" w:space="0" w:color="auto"/>
              <w:bottom w:val="nil"/>
              <w:right w:val="nil"/>
            </w:tcBorders>
            <w:hideMark/>
          </w:tcPr>
          <w:p w:rsidR="00E443C8" w:rsidRDefault="00E443C8" w:rsidP="00AA3F19">
            <w:pPr>
              <w:jc w:val="center"/>
              <w:rPr>
                <w:sz w:val="24"/>
                <w:szCs w:val="24"/>
              </w:rPr>
            </w:pPr>
            <w:r>
              <w:rPr>
                <w:sz w:val="24"/>
                <w:szCs w:val="24"/>
              </w:rPr>
              <w:t>B1</w:t>
            </w:r>
          </w:p>
        </w:tc>
        <w:tc>
          <w:tcPr>
            <w:tcW w:w="0" w:type="auto"/>
            <w:tcBorders>
              <w:top w:val="nil"/>
              <w:left w:val="nil"/>
              <w:bottom w:val="nil"/>
              <w:right w:val="nil"/>
            </w:tcBorders>
            <w:hideMark/>
          </w:tcPr>
          <w:p w:rsidR="00E443C8" w:rsidRDefault="00E443C8" w:rsidP="00AA3F19">
            <w:pPr>
              <w:jc w:val="center"/>
              <w:rPr>
                <w:sz w:val="24"/>
                <w:szCs w:val="24"/>
              </w:rPr>
            </w:pPr>
            <w:r>
              <w:rPr>
                <w:sz w:val="24"/>
                <w:szCs w:val="24"/>
              </w:rPr>
              <w:t>392</w:t>
            </w:r>
          </w:p>
        </w:tc>
        <w:tc>
          <w:tcPr>
            <w:tcW w:w="0" w:type="auto"/>
            <w:tcBorders>
              <w:top w:val="nil"/>
              <w:left w:val="nil"/>
              <w:bottom w:val="nil"/>
              <w:right w:val="single" w:sz="8" w:space="0" w:color="auto"/>
            </w:tcBorders>
            <w:hideMark/>
          </w:tcPr>
          <w:p w:rsidR="00E443C8" w:rsidRDefault="00E443C8" w:rsidP="00AA3F19">
            <w:pPr>
              <w:jc w:val="center"/>
              <w:rPr>
                <w:sz w:val="24"/>
                <w:szCs w:val="24"/>
              </w:rPr>
            </w:pPr>
            <w:r>
              <w:rPr>
                <w:sz w:val="24"/>
                <w:szCs w:val="24"/>
              </w:rPr>
              <w:t>79.7%</w:t>
            </w:r>
          </w:p>
        </w:tc>
      </w:tr>
      <w:tr w:rsidR="00E443C8" w:rsidTr="00AA3F19">
        <w:trPr>
          <w:jc w:val="center"/>
        </w:trPr>
        <w:tc>
          <w:tcPr>
            <w:tcW w:w="0" w:type="auto"/>
            <w:tcBorders>
              <w:top w:val="nil"/>
              <w:left w:val="single" w:sz="8" w:space="0" w:color="auto"/>
              <w:bottom w:val="single" w:sz="8" w:space="0" w:color="auto"/>
              <w:right w:val="nil"/>
            </w:tcBorders>
            <w:hideMark/>
          </w:tcPr>
          <w:p w:rsidR="00E443C8" w:rsidRDefault="00E443C8" w:rsidP="00AA3F19">
            <w:pPr>
              <w:jc w:val="center"/>
              <w:rPr>
                <w:sz w:val="24"/>
                <w:szCs w:val="24"/>
              </w:rPr>
            </w:pPr>
            <w:r>
              <w:rPr>
                <w:sz w:val="24"/>
                <w:szCs w:val="24"/>
              </w:rPr>
              <w:t>B2</w:t>
            </w:r>
          </w:p>
        </w:tc>
        <w:tc>
          <w:tcPr>
            <w:tcW w:w="0" w:type="auto"/>
            <w:tcBorders>
              <w:top w:val="nil"/>
              <w:left w:val="nil"/>
              <w:bottom w:val="single" w:sz="8" w:space="0" w:color="auto"/>
              <w:right w:val="nil"/>
            </w:tcBorders>
            <w:hideMark/>
          </w:tcPr>
          <w:p w:rsidR="00E443C8" w:rsidRDefault="00E443C8" w:rsidP="00AA3F19">
            <w:pPr>
              <w:jc w:val="center"/>
              <w:rPr>
                <w:sz w:val="24"/>
                <w:szCs w:val="24"/>
              </w:rPr>
            </w:pPr>
            <w:r>
              <w:rPr>
                <w:sz w:val="24"/>
                <w:szCs w:val="24"/>
              </w:rPr>
              <w:t>244</w:t>
            </w:r>
          </w:p>
        </w:tc>
        <w:tc>
          <w:tcPr>
            <w:tcW w:w="0" w:type="auto"/>
            <w:tcBorders>
              <w:top w:val="nil"/>
              <w:left w:val="nil"/>
              <w:bottom w:val="single" w:sz="8" w:space="0" w:color="auto"/>
              <w:right w:val="single" w:sz="8" w:space="0" w:color="auto"/>
            </w:tcBorders>
            <w:hideMark/>
          </w:tcPr>
          <w:p w:rsidR="00E443C8" w:rsidRDefault="00E443C8" w:rsidP="00AA3F19">
            <w:pPr>
              <w:jc w:val="center"/>
              <w:rPr>
                <w:sz w:val="24"/>
                <w:szCs w:val="24"/>
              </w:rPr>
            </w:pPr>
            <w:r>
              <w:rPr>
                <w:sz w:val="24"/>
                <w:szCs w:val="24"/>
              </w:rPr>
              <w:t>49.6%</w:t>
            </w:r>
          </w:p>
        </w:tc>
      </w:tr>
    </w:tbl>
    <w:p w:rsidR="003E57C2" w:rsidRDefault="003E57C2" w:rsidP="003E57C2">
      <w:pPr>
        <w:rPr>
          <w:b/>
          <w:noProof/>
        </w:rPr>
      </w:pPr>
    </w:p>
    <w:p w:rsidR="00A25DD0" w:rsidRDefault="00A25DD0" w:rsidP="003E57C2">
      <w:pPr>
        <w:rPr>
          <w:b/>
          <w:noProof/>
        </w:rPr>
      </w:pPr>
    </w:p>
    <w:p w:rsidR="00D27CB0" w:rsidRDefault="00B731F3" w:rsidP="00F86E62">
      <w:bookmarkStart w:id="62" w:name="_Toc364442681"/>
      <w:bookmarkStart w:id="63" w:name="_Toc364505724"/>
      <w:r>
        <w:rPr>
          <w:noProof/>
        </w:rPr>
        <w:lastRenderedPageBreak/>
        <w:drawing>
          <wp:inline distT="0" distB="0" distL="0" distR="0" wp14:anchorId="4955DD7F" wp14:editId="7E1F3BF2">
            <wp:extent cx="5394514" cy="348052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_fig2.4.png"/>
                    <pic:cNvPicPr/>
                  </pic:nvPicPr>
                  <pic:blipFill>
                    <a:blip r:embed="rId17">
                      <a:extLst>
                        <a:ext uri="{28A0092B-C50C-407E-A947-70E740481C1C}">
                          <a14:useLocalDpi xmlns:a14="http://schemas.microsoft.com/office/drawing/2010/main" val="0"/>
                        </a:ext>
                      </a:extLst>
                    </a:blip>
                    <a:stretch>
                      <a:fillRect/>
                    </a:stretch>
                  </pic:blipFill>
                  <pic:spPr>
                    <a:xfrm>
                      <a:off x="0" y="0"/>
                      <a:ext cx="5394514" cy="3480529"/>
                    </a:xfrm>
                    <a:prstGeom prst="rect">
                      <a:avLst/>
                    </a:prstGeom>
                  </pic:spPr>
                </pic:pic>
              </a:graphicData>
            </a:graphic>
          </wp:inline>
        </w:drawing>
      </w:r>
    </w:p>
    <w:p w:rsidR="003E57C2" w:rsidRDefault="003E57C2" w:rsidP="00D27CB0">
      <w:pPr>
        <w:pStyle w:val="Figurecaption"/>
      </w:pPr>
      <w:bookmarkStart w:id="64" w:name="_Toc367004736"/>
      <w:r>
        <w:t xml:space="preserve">Figure 2.4: Histograms illustrating the percentage of GP counties experiencing various ranges of population changes, 2000-2010, under all four ICLUS scenarios.  </w:t>
      </w:r>
      <w:r w:rsidRPr="00490F16">
        <w:t>Data source: EPA ICLUS Dataset.</w:t>
      </w:r>
      <w:bookmarkEnd w:id="62"/>
      <w:bookmarkEnd w:id="63"/>
      <w:bookmarkEnd w:id="64"/>
      <w:r w:rsidRPr="00490F16">
        <w:t xml:space="preserve"> </w:t>
      </w:r>
    </w:p>
    <w:p w:rsidR="001A10A0" w:rsidRPr="001A10A0" w:rsidRDefault="001A10A0" w:rsidP="001A10A0">
      <w:pPr>
        <w:rPr>
          <w:lang w:val="en-GB" w:eastAsia="en-GB"/>
        </w:rPr>
      </w:pPr>
    </w:p>
    <w:p w:rsidR="003E57C2" w:rsidRDefault="00D433F0" w:rsidP="00F86E62">
      <w:pPr>
        <w:jc w:val="center"/>
        <w:rPr>
          <w:b/>
        </w:rPr>
      </w:pPr>
      <w:r>
        <w:rPr>
          <w:b/>
          <w:noProof/>
        </w:rPr>
        <w:lastRenderedPageBreak/>
        <w:drawing>
          <wp:inline distT="0" distB="0" distL="0" distR="0" wp14:anchorId="0F4B9D3E" wp14:editId="62DBFD68">
            <wp:extent cx="4800600" cy="32670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Fig2.5-PopDyn2010-2100.png"/>
                    <pic:cNvPicPr/>
                  </pic:nvPicPr>
                  <pic:blipFill rotWithShape="1">
                    <a:blip r:embed="rId18" cstate="print">
                      <a:extLst>
                        <a:ext uri="{28A0092B-C50C-407E-A947-70E740481C1C}">
                          <a14:useLocalDpi xmlns:a14="http://schemas.microsoft.com/office/drawing/2010/main" val="0"/>
                        </a:ext>
                      </a:extLst>
                    </a:blip>
                    <a:srcRect r="10954" b="18843"/>
                    <a:stretch/>
                  </pic:blipFill>
                  <pic:spPr bwMode="auto">
                    <a:xfrm>
                      <a:off x="0" y="0"/>
                      <a:ext cx="4803993" cy="3269384"/>
                    </a:xfrm>
                    <a:prstGeom prst="rect">
                      <a:avLst/>
                    </a:prstGeom>
                    <a:ln>
                      <a:noFill/>
                    </a:ln>
                    <a:extLst>
                      <a:ext uri="{53640926-AAD7-44D8-BBD7-CCE9431645EC}">
                        <a14:shadowObscured xmlns:a14="http://schemas.microsoft.com/office/drawing/2010/main"/>
                      </a:ext>
                    </a:extLst>
                  </pic:spPr>
                </pic:pic>
              </a:graphicData>
            </a:graphic>
          </wp:inline>
        </w:drawing>
      </w:r>
    </w:p>
    <w:p w:rsidR="003E57C2" w:rsidRDefault="003E57C2" w:rsidP="00490F16">
      <w:pPr>
        <w:pStyle w:val="Figurecaption"/>
      </w:pPr>
      <w:bookmarkStart w:id="65" w:name="_Toc364442682"/>
      <w:bookmarkStart w:id="66" w:name="_Toc364505725"/>
      <w:bookmarkStart w:id="67" w:name="_Toc367004737"/>
      <w:r>
        <w:t xml:space="preserve">Figure 2.5: Areas of agreement among the ICLUS scenarios vis-à-vis population increase or decline in GP counties by the Year 2100.  </w:t>
      </w:r>
      <w:r w:rsidRPr="00490F16">
        <w:t>Data source: EPA ICLUS dataset.</w:t>
      </w:r>
      <w:bookmarkEnd w:id="65"/>
      <w:bookmarkEnd w:id="66"/>
      <w:bookmarkEnd w:id="67"/>
    </w:p>
    <w:p w:rsidR="00A375FE" w:rsidRPr="00A375FE" w:rsidRDefault="00A375FE" w:rsidP="00A375FE">
      <w:pPr>
        <w:rPr>
          <w:lang w:val="en-GB" w:eastAsia="en-GB"/>
        </w:rPr>
      </w:pPr>
    </w:p>
    <w:p w:rsidR="001E3E2A" w:rsidRPr="00A25DD0" w:rsidRDefault="001E3E2A" w:rsidP="00A25DD0">
      <w:pPr>
        <w:pStyle w:val="Heading3"/>
        <w:spacing w:line="480" w:lineRule="auto"/>
        <w:rPr>
          <w:b w:val="0"/>
        </w:rPr>
      </w:pPr>
      <w:bookmarkStart w:id="68" w:name="_Toc364501635"/>
      <w:bookmarkStart w:id="69" w:name="_Toc368046166"/>
      <w:r w:rsidRPr="00A25DD0">
        <w:rPr>
          <w:b w:val="0"/>
        </w:rPr>
        <w:t>2.5.5: Quantitative An</w:t>
      </w:r>
      <w:r w:rsidR="00E443C8" w:rsidRPr="00A25DD0">
        <w:rPr>
          <w:b w:val="0"/>
        </w:rPr>
        <w:t>alysis II: Land Use Projections</w:t>
      </w:r>
      <w:bookmarkEnd w:id="68"/>
      <w:bookmarkEnd w:id="69"/>
    </w:p>
    <w:p w:rsidR="001E3E2A" w:rsidRPr="00746041" w:rsidRDefault="001E3E2A" w:rsidP="001E3E2A">
      <w:pPr>
        <w:spacing w:line="480" w:lineRule="auto"/>
      </w:pPr>
      <w:r>
        <w:rPr>
          <w:rStyle w:val="CommentReference"/>
          <w:rFonts w:eastAsiaTheme="minorEastAsia"/>
        </w:rPr>
        <w:t xml:space="preserve">     </w:t>
      </w:r>
      <w:r w:rsidRPr="00E443C8">
        <w:rPr>
          <w:rStyle w:val="CommentReference"/>
          <w:rFonts w:eastAsiaTheme="minorEastAsia"/>
          <w:sz w:val="24"/>
          <w:szCs w:val="24"/>
        </w:rPr>
        <w:t>N</w:t>
      </w:r>
      <w:r>
        <w:t>ext</w:t>
      </w:r>
      <w:r w:rsidR="00772BF2">
        <w:t>,</w:t>
      </w:r>
      <w:r>
        <w:t xml:space="preserve"> possible </w:t>
      </w:r>
      <w:r w:rsidRPr="00E8243A">
        <w:t>future land use projections</w:t>
      </w:r>
      <w:r w:rsidR="00772BF2">
        <w:t xml:space="preserve"> are discussed</w:t>
      </w:r>
      <w:r w:rsidRPr="00E8243A">
        <w:t>.  Sohl et al. (2012) modeled changes in the la</w:t>
      </w:r>
      <w:r>
        <w:t>nd use composition of the GP in the Year 2100 using four scenarios designed in a manner similar to those used in the ICLUS dataset.  However, they integrate agriculture into these scenarios, with higher demand for agricultural products, including biofuels, present in the A1B and A2 scenarios and heavier demand for sustainable land use practices, conservation, and the restoration of native land use typ</w:t>
      </w:r>
      <w:r w:rsidR="003E57C2">
        <w:t xml:space="preserve">es in the B1 and B2 scenarios.  </w:t>
      </w:r>
      <w:r>
        <w:t>In their analysis, t</w:t>
      </w:r>
      <w:r w:rsidRPr="00E8243A">
        <w:t xml:space="preserve">he </w:t>
      </w:r>
      <w:r>
        <w:t>former</w:t>
      </w:r>
      <w:r w:rsidRPr="00E8243A">
        <w:t xml:space="preserve"> result in an increased proportion of anthropogenic land (defined as land that is urban, cultivated, hay/pasture, mechanically disturbed, or mined) in the GP from approximately 43% in 2006 to 65% </w:t>
      </w:r>
      <w:r w:rsidRPr="00E8243A">
        <w:lastRenderedPageBreak/>
        <w:t xml:space="preserve">in 2010 with that of the B1 increasing after 2040 to approximately 53% of the GP.  The B2, however, predicts </w:t>
      </w:r>
      <w:r>
        <w:t xml:space="preserve">that following initial increase, anthropogenic signature in the GP </w:t>
      </w:r>
      <w:r w:rsidRPr="00E8243A">
        <w:t xml:space="preserve">decreases to 2006 levels by 2100.  Accordingly, the proportion of “natural” land (forests, grass/shrublands, and wetlands) decreases from 56% (2003 value), with the A1B and A2 scenarios predicting the largest decrease – to approximately 35% by 2100.  In all scenarios, the proportion of land that is hay/pasture (surrogate for biofuels) increases, with the largest expansions occurring in the A1B and A2 scenarios, where increase in the Northern and Southeastern </w:t>
      </w:r>
      <w:r>
        <w:t xml:space="preserve">GP </w:t>
      </w:r>
      <w:r w:rsidRPr="00E8243A">
        <w:t>comes at the</w:t>
      </w:r>
      <w:r w:rsidR="00DC4570">
        <w:t xml:space="preserve"> expense of grass and shrubland</w:t>
      </w:r>
      <w:r w:rsidRPr="00E8243A">
        <w:t xml:space="preserve">.  </w:t>
      </w:r>
      <w:r>
        <w:t xml:space="preserve">The aforementioned studies </w:t>
      </w:r>
      <w:r w:rsidRPr="00E8243A">
        <w:t xml:space="preserve">suggest that the major land use change </w:t>
      </w:r>
      <w:r>
        <w:t xml:space="preserve">in the GP </w:t>
      </w:r>
      <w:r w:rsidRPr="00E8243A">
        <w:t xml:space="preserve">will be the conversion of grassland to agriculture, even if population losses stabilize </w:t>
      </w:r>
      <w:r>
        <w:t>as suggested by the B2 scenario and micropolitan and metropolitan areas continue to grow.</w:t>
      </w:r>
    </w:p>
    <w:p w:rsidR="001E3E2A" w:rsidRDefault="001E3E2A" w:rsidP="001E3E2A">
      <w:pPr>
        <w:spacing w:line="480" w:lineRule="auto"/>
      </w:pPr>
      <w:r>
        <w:t xml:space="preserve">    Visual inspection of the </w:t>
      </w:r>
      <w:r w:rsidR="00BB441E">
        <w:t xml:space="preserve">map illustrating the </w:t>
      </w:r>
      <w:r>
        <w:t xml:space="preserve">extent of impervious land in the GP by 2100 using the ICLUS dataset described above reveals that </w:t>
      </w:r>
      <w:r w:rsidRPr="00E8243A">
        <w:t xml:space="preserve">the </w:t>
      </w:r>
      <w:r>
        <w:t>GP</w:t>
      </w:r>
      <w:r w:rsidRPr="00E8243A">
        <w:t xml:space="preserve"> will continue to lag behind the rest of the </w:t>
      </w:r>
      <w:r>
        <w:t xml:space="preserve">Continental </w:t>
      </w:r>
      <w:r w:rsidRPr="00E8243A">
        <w:t>United States in the proportion of built-up land</w:t>
      </w:r>
      <w:r>
        <w:t xml:space="preserve"> (Figure </w:t>
      </w:r>
      <w:r w:rsidR="003E57C2">
        <w:t>2.</w:t>
      </w:r>
      <w:r w:rsidR="005C0A3A">
        <w:t>6</w:t>
      </w:r>
      <w:r>
        <w:t>).  This observation is consistent with population projections and with the findings of Sohl et al. (2012) that this region will remain predominantly low-density.</w:t>
      </w:r>
    </w:p>
    <w:p w:rsidR="003E57C2" w:rsidRDefault="00B74556" w:rsidP="00F86E62">
      <w:pPr>
        <w:spacing w:after="100" w:line="480" w:lineRule="auto"/>
        <w:jc w:val="center"/>
      </w:pPr>
      <w:r w:rsidRPr="00B74556">
        <w:rPr>
          <w:noProof/>
        </w:rPr>
        <w:lastRenderedPageBreak/>
        <w:drawing>
          <wp:inline distT="0" distB="0" distL="0" distR="0" wp14:anchorId="2C956D3A" wp14:editId="7B8C19DE">
            <wp:extent cx="4572000" cy="2924175"/>
            <wp:effectExtent l="0" t="0" r="0" b="0"/>
            <wp:docPr id="1026" name="Picture 2" descr="C:\Users\gold9629\Dropbox\Sustainability of GP manuscripts\ATdraft2 and postATdraft2\PostATdraft2\Resubmission_to_B_Paul_Goldstein&amp;Tarhule_GR\Fig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gold9629\Dropbox\Sustainability of GP manuscripts\ATdraft2 and postATdraft2\PostATdraft2\Resubmission_to_B_Paul_Goldstein&amp;Tarhule_GR\Figure6.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8631"/>
                    <a:stretch/>
                  </pic:blipFill>
                  <pic:spPr bwMode="auto">
                    <a:xfrm>
                      <a:off x="0" y="0"/>
                      <a:ext cx="4572000" cy="2924175"/>
                    </a:xfrm>
                    <a:prstGeom prst="rect">
                      <a:avLst/>
                    </a:prstGeom>
                    <a:noFill/>
                    <a:ln>
                      <a:noFill/>
                    </a:ln>
                    <a:extLst>
                      <a:ext uri="{53640926-AAD7-44D8-BBD7-CCE9431645EC}">
                        <a14:shadowObscured xmlns:a14="http://schemas.microsoft.com/office/drawing/2010/main"/>
                      </a:ext>
                    </a:extLst>
                  </pic:spPr>
                </pic:pic>
              </a:graphicData>
            </a:graphic>
          </wp:inline>
        </w:drawing>
      </w:r>
    </w:p>
    <w:p w:rsidR="003E57C2" w:rsidRDefault="003E57C2" w:rsidP="00490F16">
      <w:pPr>
        <w:pStyle w:val="Figurecaption"/>
      </w:pPr>
      <w:bookmarkStart w:id="70" w:name="_Toc364442683"/>
      <w:bookmarkStart w:id="71" w:name="_Toc364505726"/>
      <w:bookmarkStart w:id="72" w:name="_Toc367004738"/>
      <w:r>
        <w:t>Figure 2.6: Extent of Impervious Surfaces (white) in the Year 2100, A2 Scenario</w:t>
      </w:r>
      <w:r w:rsidR="00A25DD0" w:rsidRPr="00490F16">
        <w:t>.</w:t>
      </w:r>
      <w:r w:rsidRPr="00490F16">
        <w:t xml:space="preserve">  Data source: EPA ICLUS Dataset.</w:t>
      </w:r>
      <w:bookmarkEnd w:id="70"/>
      <w:bookmarkEnd w:id="71"/>
      <w:bookmarkEnd w:id="72"/>
    </w:p>
    <w:p w:rsidR="00490F16" w:rsidRPr="00490F16" w:rsidRDefault="00490F16" w:rsidP="00490F16">
      <w:pPr>
        <w:rPr>
          <w:lang w:val="en-GB" w:eastAsia="en-GB"/>
        </w:rPr>
      </w:pPr>
    </w:p>
    <w:p w:rsidR="001E3E2A" w:rsidRPr="00A25DD0" w:rsidRDefault="001E3E2A" w:rsidP="00A25DD0">
      <w:pPr>
        <w:pStyle w:val="Heading3"/>
        <w:spacing w:line="480" w:lineRule="auto"/>
        <w:rPr>
          <w:b w:val="0"/>
        </w:rPr>
      </w:pPr>
      <w:bookmarkStart w:id="73" w:name="_Toc364501636"/>
      <w:bookmarkStart w:id="74" w:name="_Toc368046167"/>
      <w:r w:rsidRPr="00A25DD0">
        <w:rPr>
          <w:b w:val="0"/>
        </w:rPr>
        <w:t xml:space="preserve">2.5.6: Implications </w:t>
      </w:r>
      <w:proofErr w:type="gramStart"/>
      <w:r w:rsidRPr="00A25DD0">
        <w:rPr>
          <w:b w:val="0"/>
        </w:rPr>
        <w:t>Of</w:t>
      </w:r>
      <w:proofErr w:type="gramEnd"/>
      <w:r w:rsidRPr="00A25DD0">
        <w:rPr>
          <w:b w:val="0"/>
        </w:rPr>
        <w:t xml:space="preserve"> Climate Change Vis-à-vis Scenarios</w:t>
      </w:r>
      <w:bookmarkEnd w:id="73"/>
      <w:bookmarkEnd w:id="74"/>
    </w:p>
    <w:p w:rsidR="006217B6" w:rsidRDefault="001E3E2A" w:rsidP="001E3E2A">
      <w:pPr>
        <w:spacing w:line="480" w:lineRule="auto"/>
      </w:pPr>
      <w:r>
        <w:t xml:space="preserve">     Under climate change, the Northern GP is expected to see increased moisture while the Southern GP is expected to become drier (U.S. Global Change Research Program 2009, 123-128).  Concurrently, temperatures are expected to increase and more sustained droughts, which occur frequently on the Plains, are expected.  Such conditions will tax a semi-arid region with a strong agricultural economic basis by reducing water supplies and pressuring agricultural economies (U.S. Global Change Research Program 2009).  Continued drought may cause the long-term closures of biorefineries, for example.  </w:t>
      </w:r>
    </w:p>
    <w:p w:rsidR="001E3E2A" w:rsidRDefault="006217B6" w:rsidP="001E3E2A">
      <w:pPr>
        <w:spacing w:line="480" w:lineRule="auto"/>
      </w:pPr>
      <w:r>
        <w:lastRenderedPageBreak/>
        <w:t xml:space="preserve">     </w:t>
      </w:r>
      <w:r w:rsidR="001E3E2A">
        <w:t>Global climate change has the potential to amplify the impacts of both the “A” and “B” scenarios mentioned above.  It has the potential of enhancing rural depopulation if water supplies dwindle, perhaps resulting in increased migration to urban centers similar to those projected in the “A” scenarios listed above.  Or, it can foster the cultivation of crops and grasses that are more drought-tolerant, such as switchgrass.  With regard to the “B” scenarios, the prevalence of groundwater conservation districts represents recognition that even in the most severe droughts, awareness of the sustainability of water supplies is necessary.  Additionally, diversification of economic activities and the developme</w:t>
      </w:r>
      <w:r w:rsidR="00916E53">
        <w:t xml:space="preserve">nt of micropolitan/metropolitan </w:t>
      </w:r>
      <w:r w:rsidR="001E3E2A">
        <w:t>centers can mitigate the direct impacts of climate change on agricultu</w:t>
      </w:r>
      <w:r w:rsidR="00A25DD0">
        <w:t xml:space="preserve">re and stem population loss.   </w:t>
      </w:r>
    </w:p>
    <w:p w:rsidR="001E3E2A" w:rsidRPr="00025D2B" w:rsidRDefault="001E3E2A" w:rsidP="000D5404">
      <w:pPr>
        <w:pStyle w:val="Heading2"/>
      </w:pPr>
      <w:bookmarkStart w:id="75" w:name="_Toc364501637"/>
      <w:bookmarkStart w:id="76" w:name="_Toc368046168"/>
      <w:r>
        <w:t xml:space="preserve">2.6: </w:t>
      </w:r>
      <w:r w:rsidR="006F29EA">
        <w:t>Conclusions: The Great Plains: An Uncertain Future</w:t>
      </w:r>
      <w:bookmarkEnd w:id="75"/>
      <w:bookmarkEnd w:id="76"/>
    </w:p>
    <w:p w:rsidR="001E3E2A" w:rsidRPr="00E8243A" w:rsidRDefault="001E3E2A" w:rsidP="001E3E2A">
      <w:pPr>
        <w:spacing w:line="480" w:lineRule="auto"/>
      </w:pPr>
      <w:r>
        <w:t xml:space="preserve">     </w:t>
      </w:r>
      <w:r w:rsidRPr="00E8243A">
        <w:t xml:space="preserve">The sustainability of the American Great Plains has been a matter of intense public discourse and speculation since the days of the region’s early exploration.  On one hand, the discourse has had the effect of cementing </w:t>
      </w:r>
      <w:r>
        <w:t>iconic</w:t>
      </w:r>
      <w:r w:rsidRPr="00E8243A">
        <w:t xml:space="preserve"> images of the Great Plains as a formidable des</w:t>
      </w:r>
      <w:r>
        <w:t>ert and a</w:t>
      </w:r>
      <w:r w:rsidRPr="00E8243A">
        <w:t xml:space="preserve">s a drought-prone dust bowl </w:t>
      </w:r>
      <w:r>
        <w:t xml:space="preserve">abyss.  Others believe </w:t>
      </w:r>
      <w:r w:rsidRPr="00E8243A">
        <w:t xml:space="preserve">the region’s agricultural and mineral-based economy </w:t>
      </w:r>
      <w:r>
        <w:t xml:space="preserve">is </w:t>
      </w:r>
      <w:r w:rsidRPr="00E8243A">
        <w:t>a position of strength, especially if this region becomes a hearth for the cultivation of the nation’s supply of biofuel crops.</w:t>
      </w:r>
      <w:r>
        <w:t xml:space="preserve">  Nevertheless, impacts of climate change need to be considered when evaluating the agricultural future of this region.  The beginning of non-native settlement, land use change in the GP has been heavily influenced by government policies and market conditions.</w:t>
      </w:r>
      <w:r w:rsidRPr="00E8243A">
        <w:t xml:space="preserve"> </w:t>
      </w:r>
      <w:r>
        <w:t xml:space="preserve">  </w:t>
      </w:r>
      <w:r w:rsidRPr="00E8243A">
        <w:t xml:space="preserve"> </w:t>
      </w:r>
    </w:p>
    <w:p w:rsidR="00296BD6" w:rsidRDefault="001E3E2A" w:rsidP="001E3E2A">
      <w:pPr>
        <w:pStyle w:val="EndnoteText"/>
        <w:spacing w:line="480" w:lineRule="auto"/>
        <w:rPr>
          <w:sz w:val="24"/>
          <w:szCs w:val="24"/>
        </w:rPr>
      </w:pPr>
      <w:r w:rsidRPr="00E8243A">
        <w:rPr>
          <w:sz w:val="24"/>
          <w:szCs w:val="24"/>
        </w:rPr>
        <w:lastRenderedPageBreak/>
        <w:t xml:space="preserve">    If current projections of population dynamics and land use change hold, </w:t>
      </w:r>
      <w:r>
        <w:rPr>
          <w:sz w:val="24"/>
          <w:szCs w:val="24"/>
        </w:rPr>
        <w:t xml:space="preserve">the vast majority of </w:t>
      </w:r>
      <w:r w:rsidRPr="00E8243A">
        <w:rPr>
          <w:sz w:val="24"/>
          <w:szCs w:val="24"/>
        </w:rPr>
        <w:t>GP counties will continue to lose population, with the exception of those along the fringes of metropolitan and micropolitan areas</w:t>
      </w:r>
      <w:r>
        <w:rPr>
          <w:sz w:val="24"/>
          <w:szCs w:val="24"/>
        </w:rPr>
        <w:t>. Thus, most of GP will remain agricultural favoring large expanses of land, the operation of small-scale industries, and perhaps some protected areas</w:t>
      </w:r>
      <w:r w:rsidRPr="00E8243A">
        <w:rPr>
          <w:sz w:val="24"/>
          <w:szCs w:val="24"/>
        </w:rPr>
        <w:t>.</w:t>
      </w:r>
      <w:r>
        <w:rPr>
          <w:sz w:val="24"/>
          <w:szCs w:val="24"/>
        </w:rPr>
        <w:t xml:space="preserve">  M</w:t>
      </w:r>
      <w:r w:rsidRPr="00E8243A">
        <w:rPr>
          <w:sz w:val="24"/>
          <w:szCs w:val="24"/>
        </w:rPr>
        <w:t xml:space="preserve">ost land use change </w:t>
      </w:r>
      <w:r>
        <w:rPr>
          <w:sz w:val="24"/>
          <w:szCs w:val="24"/>
        </w:rPr>
        <w:t>will</w:t>
      </w:r>
      <w:r w:rsidRPr="00E8243A">
        <w:rPr>
          <w:sz w:val="24"/>
          <w:szCs w:val="24"/>
        </w:rPr>
        <w:t xml:space="preserve"> involve either conversion of grasslands to agriculture or the retirement of agricultural land to grassland, depending on market prices, federal policies, and the demand for biofuel production.  Although there may continue to be two </w:t>
      </w:r>
      <w:r w:rsidRPr="00450C05">
        <w:rPr>
          <w:sz w:val="24"/>
          <w:szCs w:val="24"/>
        </w:rPr>
        <w:t>de-facto</w:t>
      </w:r>
      <w:r w:rsidRPr="00616A8B">
        <w:rPr>
          <w:sz w:val="24"/>
          <w:szCs w:val="24"/>
        </w:rPr>
        <w:t xml:space="preserve"> </w:t>
      </w:r>
      <w:r w:rsidRPr="00E8243A">
        <w:rPr>
          <w:sz w:val="24"/>
          <w:szCs w:val="24"/>
        </w:rPr>
        <w:t>GP regions: one agricultural and one built up, both will continue to play an integral role in US economic production, regardless of the extent of population changes.</w:t>
      </w:r>
      <w:r>
        <w:rPr>
          <w:sz w:val="24"/>
          <w:szCs w:val="24"/>
        </w:rPr>
        <w:t xml:space="preserve">  </w:t>
      </w:r>
    </w:p>
    <w:p w:rsidR="00296BD6" w:rsidRDefault="00296BD6" w:rsidP="0053279C">
      <w:pPr>
        <w:pStyle w:val="Heading2"/>
      </w:pPr>
      <w:bookmarkStart w:id="77" w:name="_Toc364501638"/>
      <w:bookmarkStart w:id="78" w:name="_Toc368046169"/>
      <w:r>
        <w:t>Acknowledgements</w:t>
      </w:r>
      <w:bookmarkEnd w:id="77"/>
      <w:bookmarkEnd w:id="78"/>
    </w:p>
    <w:p w:rsidR="004513AB" w:rsidRDefault="00296BD6" w:rsidP="004513AB">
      <w:pPr>
        <w:spacing w:line="480" w:lineRule="auto"/>
      </w:pPr>
      <w:r w:rsidRPr="00296BD6">
        <w:t xml:space="preserve">     </w:t>
      </w:r>
      <w:r w:rsidR="008A7834">
        <w:t>I</w:t>
      </w:r>
      <w:r w:rsidR="004513AB">
        <w:t xml:space="preserve"> thank Steven Wilson (US Census Bureau) for providing the vector files used in Census Bureau publications which facilitated the cartographic process and to David Brauer (Agricultural Research Service, USDA) for providing insights into irrigation patterns in the Great Plains.  </w:t>
      </w:r>
      <w:r w:rsidR="00772BF2">
        <w:t>I</w:t>
      </w:r>
      <w:r w:rsidR="004513AB">
        <w:t xml:space="preserve"> also thank the two anonymous reviewers for providing insights which improved the quality of this manuscript.  </w:t>
      </w:r>
    </w:p>
    <w:p w:rsidR="001E3E2A" w:rsidRDefault="006F29EA" w:rsidP="000D5404">
      <w:pPr>
        <w:pStyle w:val="Heading2"/>
      </w:pPr>
      <w:bookmarkStart w:id="79" w:name="_Toc364501639"/>
      <w:bookmarkStart w:id="80" w:name="_Toc368046170"/>
      <w:r>
        <w:t>References</w:t>
      </w:r>
      <w:bookmarkEnd w:id="79"/>
      <w:bookmarkEnd w:id="80"/>
    </w:p>
    <w:p w:rsidR="001E3E2A" w:rsidRPr="001E3E2A" w:rsidRDefault="001E3E2A" w:rsidP="001E3E2A">
      <w:r>
        <w:t xml:space="preserve">Albengoa Bioenergy.  2011.  General Information.  </w:t>
      </w:r>
      <w:r>
        <w:tab/>
        <w:t xml:space="preserve">[http://www.abengoabioenergy.com/web/en/2g_hugoton_project].  Last </w:t>
      </w:r>
      <w:r>
        <w:tab/>
        <w:t>accessed 06 August 2013.</w:t>
      </w:r>
    </w:p>
    <w:p w:rsidR="001E3E2A" w:rsidRDefault="001E3E2A" w:rsidP="00201A4A">
      <w:proofErr w:type="gramStart"/>
      <w:r>
        <w:t>Bickel, A.</w:t>
      </w:r>
      <w:proofErr w:type="gramEnd"/>
      <w:r>
        <w:t xml:space="preserve">  2012.  Ethanol plant is big business for area.  </w:t>
      </w:r>
      <w:proofErr w:type="gramStart"/>
      <w:r>
        <w:rPr>
          <w:i/>
        </w:rPr>
        <w:t>The Hutchinson News</w:t>
      </w:r>
      <w:r>
        <w:t>.</w:t>
      </w:r>
      <w:proofErr w:type="gramEnd"/>
      <w:r>
        <w:t xml:space="preserve">  </w:t>
      </w:r>
      <w:r>
        <w:tab/>
        <w:t xml:space="preserve">[http://hutchnews.com/todaystop/MON--abengoa-biomass].  Last accessed </w:t>
      </w:r>
      <w:r>
        <w:tab/>
        <w:t xml:space="preserve">2 February 2013.  </w:t>
      </w:r>
    </w:p>
    <w:p w:rsidR="000D5404" w:rsidRPr="001E3E2A" w:rsidRDefault="000D5404" w:rsidP="00201A4A"/>
    <w:p w:rsidR="001E3E2A" w:rsidRDefault="001E3E2A" w:rsidP="001E3E2A">
      <w:r>
        <w:lastRenderedPageBreak/>
        <w:t xml:space="preserve">Bierwagen, B. G., D. M. Theobald, C. R. Pyke, A. Choate, P. Groth, J. V. </w:t>
      </w:r>
      <w:r>
        <w:tab/>
      </w:r>
      <w:proofErr w:type="gramStart"/>
      <w:r>
        <w:t xml:space="preserve">Thomas, and </w:t>
      </w:r>
      <w:r>
        <w:tab/>
      </w:r>
      <w:proofErr w:type="gramEnd"/>
      <w:r>
        <w:t xml:space="preserve">P. Morefield. 2010.  National Housing and Impervious Surface Scenarios for </w:t>
      </w:r>
      <w:r>
        <w:tab/>
        <w:t xml:space="preserve">Integrated Climate Impact Assessments. </w:t>
      </w:r>
      <w:r>
        <w:rPr>
          <w:i/>
        </w:rPr>
        <w:t xml:space="preserve">Proceedings of the National Academy </w:t>
      </w:r>
      <w:r>
        <w:rPr>
          <w:i/>
        </w:rPr>
        <w:tab/>
        <w:t>of Sciences of the United States of America</w:t>
      </w:r>
      <w:r>
        <w:t xml:space="preserve"> 107(49): 20887-20892.</w:t>
      </w:r>
    </w:p>
    <w:p w:rsidR="001E3E2A" w:rsidRDefault="001E3E2A" w:rsidP="001E3E2A">
      <w:r>
        <w:t xml:space="preserve">Bogue, A. G. 1994.  </w:t>
      </w:r>
      <w:proofErr w:type="gramStart"/>
      <w:r>
        <w:t>An Agricultural Empire.</w:t>
      </w:r>
      <w:proofErr w:type="gramEnd"/>
      <w:r>
        <w:t xml:space="preserve">  </w:t>
      </w:r>
      <w:proofErr w:type="gramStart"/>
      <w:r>
        <w:t xml:space="preserve">In </w:t>
      </w:r>
      <w:r>
        <w:rPr>
          <w:i/>
        </w:rPr>
        <w:t>The Oxford History of the</w:t>
      </w:r>
      <w:r w:rsidR="0024709C">
        <w:rPr>
          <w:i/>
        </w:rPr>
        <w:t xml:space="preserve"> American</w:t>
      </w:r>
      <w:r>
        <w:rPr>
          <w:i/>
        </w:rPr>
        <w:t xml:space="preserve"> </w:t>
      </w:r>
      <w:r>
        <w:rPr>
          <w:i/>
        </w:rPr>
        <w:tab/>
        <w:t>West</w:t>
      </w:r>
      <w:r>
        <w:t>, edited by C A. Milner II, C, A. O' Connor and M. A.</w:t>
      </w:r>
      <w:proofErr w:type="gramEnd"/>
      <w:r>
        <w:t xml:space="preserve"> </w:t>
      </w:r>
      <w:r>
        <w:tab/>
        <w:t xml:space="preserve">Sandweiss, 275-313.  </w:t>
      </w:r>
      <w:r w:rsidR="0024709C">
        <w:tab/>
      </w:r>
      <w:r>
        <w:t>New</w:t>
      </w:r>
      <w:r w:rsidR="005C0A3A">
        <w:t xml:space="preserve"> York: Oxford University Press.</w:t>
      </w:r>
    </w:p>
    <w:p w:rsidR="002C4EC4" w:rsidRDefault="001E3E2A" w:rsidP="001E3E2A">
      <w:r>
        <w:t xml:space="preserve">Bowden, M. J.  1969.  The Perception of the Western Interior of the United States, </w:t>
      </w:r>
      <w:r>
        <w:tab/>
        <w:t xml:space="preserve">1800-1870: A </w:t>
      </w:r>
      <w:r>
        <w:tab/>
        <w:t xml:space="preserve">Problem in Historical Geosophy.  </w:t>
      </w:r>
      <w:r>
        <w:rPr>
          <w:i/>
        </w:rPr>
        <w:t xml:space="preserve">Proceedings of the </w:t>
      </w:r>
      <w:r>
        <w:rPr>
          <w:i/>
        </w:rPr>
        <w:tab/>
        <w:t>Association of American Geographers</w:t>
      </w:r>
      <w:r>
        <w:t xml:space="preserve"> 1(1): 16-21.</w:t>
      </w:r>
    </w:p>
    <w:p w:rsidR="002C4EC4" w:rsidRDefault="002C4EC4" w:rsidP="002C4EC4">
      <w:proofErr w:type="gramStart"/>
      <w:r>
        <w:t>Brown, J. P., J. Pender, R. Wiser, E. Lantz, and B. Hoen.</w:t>
      </w:r>
      <w:proofErr w:type="gramEnd"/>
      <w:r>
        <w:t xml:space="preserve">  2012.  Ex Post Analysis of </w:t>
      </w:r>
      <w:r>
        <w:tab/>
        <w:t xml:space="preserve">Economic Impacts from Wind Power Development in U.S. counties.  </w:t>
      </w:r>
      <w:r w:rsidRPr="002C4EC4">
        <w:rPr>
          <w:i/>
        </w:rPr>
        <w:t xml:space="preserve">Energy </w:t>
      </w:r>
      <w:r>
        <w:rPr>
          <w:i/>
        </w:rPr>
        <w:tab/>
      </w:r>
      <w:r w:rsidRPr="002C4EC4">
        <w:rPr>
          <w:i/>
        </w:rPr>
        <w:t>Economics</w:t>
      </w:r>
      <w:r>
        <w:t xml:space="preserve"> 34(6): 1743-1754.</w:t>
      </w:r>
    </w:p>
    <w:p w:rsidR="001E3E2A" w:rsidRDefault="001E3E2A" w:rsidP="001E3E2A">
      <w:proofErr w:type="gramStart"/>
      <w:r>
        <w:t>Callenbach, E.</w:t>
      </w:r>
      <w:proofErr w:type="gramEnd"/>
      <w:r>
        <w:t xml:space="preserve">  1996.  </w:t>
      </w:r>
      <w:r>
        <w:rPr>
          <w:i/>
        </w:rPr>
        <w:t>Bring Back the Buff</w:t>
      </w:r>
      <w:r w:rsidR="001A34B0">
        <w:rPr>
          <w:i/>
        </w:rPr>
        <w:t>alo</w:t>
      </w:r>
      <w:proofErr w:type="gramStart"/>
      <w:r w:rsidR="001A34B0">
        <w:rPr>
          <w:i/>
        </w:rPr>
        <w:t>!:</w:t>
      </w:r>
      <w:proofErr w:type="gramEnd"/>
      <w:r w:rsidR="00CA4077">
        <w:rPr>
          <w:i/>
        </w:rPr>
        <w:t xml:space="preserve"> A Sustainable Future for </w:t>
      </w:r>
      <w:r>
        <w:rPr>
          <w:i/>
        </w:rPr>
        <w:t xml:space="preserve">America's </w:t>
      </w:r>
      <w:r>
        <w:rPr>
          <w:i/>
        </w:rPr>
        <w:tab/>
        <w:t>Great Plains</w:t>
      </w:r>
      <w:r>
        <w:t xml:space="preserve">. </w:t>
      </w:r>
      <w:r w:rsidR="009C3309">
        <w:t>Washington, D.C.</w:t>
      </w:r>
      <w:r>
        <w:t>: Island Press.</w:t>
      </w:r>
    </w:p>
    <w:p w:rsidR="001E3E2A" w:rsidRDefault="001E3E2A" w:rsidP="001E3E2A">
      <w:proofErr w:type="gramStart"/>
      <w:r>
        <w:t>Colaizzi, P. D., P. H. Gowda, T. H. Marek, and D. O.</w:t>
      </w:r>
      <w:r w:rsidR="002C4EC4">
        <w:t xml:space="preserve"> Porter.</w:t>
      </w:r>
      <w:proofErr w:type="gramEnd"/>
      <w:r w:rsidR="002C4EC4">
        <w:t xml:space="preserve">  2009.  Irrigation in </w:t>
      </w:r>
      <w:r>
        <w:t xml:space="preserve">the </w:t>
      </w:r>
      <w:r>
        <w:tab/>
        <w:t xml:space="preserve">Texas High Plains: A Brief History and Potential Reductions in Demand.  </w:t>
      </w:r>
      <w:r>
        <w:tab/>
      </w:r>
      <w:r>
        <w:rPr>
          <w:i/>
        </w:rPr>
        <w:t>Irrigation and Drainage</w:t>
      </w:r>
      <w:r>
        <w:t xml:space="preserve"> 58(3): 257-274.</w:t>
      </w:r>
    </w:p>
    <w:p w:rsidR="001E3E2A" w:rsidRDefault="001E3E2A" w:rsidP="001E3E2A">
      <w:r>
        <w:t xml:space="preserve">Cunfer, G.  2005.  </w:t>
      </w:r>
      <w:proofErr w:type="gramStart"/>
      <w:r>
        <w:rPr>
          <w:i/>
        </w:rPr>
        <w:t>On</w:t>
      </w:r>
      <w:proofErr w:type="gramEnd"/>
      <w:r>
        <w:rPr>
          <w:i/>
        </w:rPr>
        <w:t xml:space="preserve"> the Great Plains: Agriculture and Environment</w:t>
      </w:r>
      <w:r>
        <w:t xml:space="preserve">.  College </w:t>
      </w:r>
      <w:r w:rsidR="00CA4077">
        <w:t>Station,</w:t>
      </w:r>
      <w:r w:rsidR="00CA4077">
        <w:tab/>
        <w:t xml:space="preserve">Station, </w:t>
      </w:r>
      <w:r>
        <w:t>TX: Texas A &amp; M University Press, 2005.</w:t>
      </w:r>
    </w:p>
    <w:p w:rsidR="0035575F" w:rsidRDefault="001E3E2A" w:rsidP="001E3E2A">
      <w:r>
        <w:t xml:space="preserve">Dando, C. E. 2009.  Deathscapes, Topocide, Domicide the Plains in </w:t>
      </w:r>
      <w:r w:rsidR="00CA4077">
        <w:t>Contemporary</w:t>
      </w:r>
      <w:r w:rsidR="003E57C2">
        <w:t xml:space="preserve"> Print</w:t>
      </w:r>
      <w:r w:rsidR="00CA4077">
        <w:tab/>
      </w:r>
      <w:r>
        <w:t xml:space="preserve">Media.  </w:t>
      </w:r>
      <w:r>
        <w:rPr>
          <w:i/>
        </w:rPr>
        <w:t>Great Plains Quarterly</w:t>
      </w:r>
      <w:r w:rsidR="0035575F">
        <w:t xml:space="preserve"> 29(2): 95-119.</w:t>
      </w:r>
    </w:p>
    <w:p w:rsidR="001E3E2A" w:rsidRDefault="0035575F" w:rsidP="001E3E2A">
      <w:proofErr w:type="gramStart"/>
      <w:r>
        <w:t>Daniels, T. L., and M. B. Lapping.</w:t>
      </w:r>
      <w:proofErr w:type="gramEnd"/>
      <w:r>
        <w:t xml:space="preserve">  </w:t>
      </w:r>
      <w:proofErr w:type="gramStart"/>
      <w:r>
        <w:t xml:space="preserve">1987.  Small Town Triage - a Rural Settlement </w:t>
      </w:r>
      <w:r>
        <w:tab/>
      </w:r>
      <w:r w:rsidR="001E3E2A">
        <w:t>Policy for the American Midwest.</w:t>
      </w:r>
      <w:proofErr w:type="gramEnd"/>
      <w:r w:rsidR="001E3E2A">
        <w:t xml:space="preserve">   </w:t>
      </w:r>
      <w:r w:rsidR="001E3E2A">
        <w:rPr>
          <w:i/>
        </w:rPr>
        <w:t>Journal of Rural Studies</w:t>
      </w:r>
      <w:r w:rsidR="001E3E2A">
        <w:t xml:space="preserve"> 3(3): 273-280.</w:t>
      </w:r>
    </w:p>
    <w:p w:rsidR="001E3E2A" w:rsidRDefault="001E3E2A" w:rsidP="001E3E2A">
      <w:r>
        <w:t xml:space="preserve">Dodge, R. I. 1877.  </w:t>
      </w:r>
      <w:proofErr w:type="gramStart"/>
      <w:r>
        <w:rPr>
          <w:i/>
        </w:rPr>
        <w:t xml:space="preserve">The Hunting Grounds of the Great West a Description of the </w:t>
      </w:r>
      <w:r w:rsidR="003E57C2">
        <w:rPr>
          <w:i/>
        </w:rPr>
        <w:t>Plains,</w:t>
      </w:r>
      <w:r>
        <w:rPr>
          <w:i/>
        </w:rPr>
        <w:tab/>
        <w:t xml:space="preserve">Game, </w:t>
      </w:r>
      <w:r>
        <w:rPr>
          <w:i/>
        </w:rPr>
        <w:tab/>
        <w:t>and Indians of the Great North American Desert</w:t>
      </w:r>
      <w:r>
        <w:t>.</w:t>
      </w:r>
      <w:proofErr w:type="gramEnd"/>
      <w:r>
        <w:t xml:space="preserve">  London: </w:t>
      </w:r>
      <w:r>
        <w:tab/>
        <w:t xml:space="preserve">Chatto &amp; </w:t>
      </w:r>
      <w:r w:rsidR="003E57C2">
        <w:tab/>
      </w:r>
      <w:r>
        <w:t>Windus.</w:t>
      </w:r>
    </w:p>
    <w:p w:rsidR="0035575F" w:rsidRDefault="0035575F" w:rsidP="0035575F">
      <w:proofErr w:type="gramStart"/>
      <w:r>
        <w:t>DOE.</w:t>
      </w:r>
      <w:proofErr w:type="gramEnd"/>
      <w:r>
        <w:t xml:space="preserve">  2013.  </w:t>
      </w:r>
      <w:r w:rsidRPr="005F1F6D">
        <w:rPr>
          <w:i/>
        </w:rPr>
        <w:t>2012 Wind Technologies Market Report</w:t>
      </w:r>
      <w:r>
        <w:t xml:space="preserve">.  </w:t>
      </w:r>
      <w:r>
        <w:rPr>
          <w:rFonts w:asciiTheme="majorHAnsi" w:hAnsiTheme="majorHAnsi" w:cstheme="majorHAnsi"/>
          <w:bCs/>
        </w:rPr>
        <w:t>Available on-line at:</w:t>
      </w:r>
      <w:r w:rsidRPr="00142C70">
        <w:rPr>
          <w:rFonts w:ascii="Arial" w:hAnsi="Arial"/>
          <w:b/>
          <w:bCs/>
          <w:sz w:val="23"/>
          <w:szCs w:val="23"/>
        </w:rPr>
        <w:t xml:space="preserve"> </w:t>
      </w:r>
      <w:r>
        <w:t xml:space="preserve"> </w:t>
      </w:r>
      <w:r w:rsidRPr="005F1F6D">
        <w:rPr>
          <w:rFonts w:asciiTheme="majorHAnsi" w:hAnsiTheme="majorHAnsi" w:cstheme="majorHAnsi"/>
        </w:rPr>
        <w:tab/>
      </w:r>
      <w:r w:rsidRPr="005F1F6D">
        <w:rPr>
          <w:rStyle w:val="HTMLCite"/>
          <w:rFonts w:asciiTheme="majorHAnsi" w:hAnsiTheme="majorHAnsi" w:cstheme="majorHAnsi"/>
          <w:bCs/>
          <w:i w:val="0"/>
          <w:iCs w:val="0"/>
          <w:shd w:val="clear" w:color="auto" w:fill="FFFFFF"/>
        </w:rPr>
        <w:t>wind</w:t>
      </w:r>
      <w:r w:rsidRPr="005F1F6D">
        <w:rPr>
          <w:rStyle w:val="HTMLCite"/>
          <w:rFonts w:asciiTheme="majorHAnsi" w:hAnsiTheme="majorHAnsi" w:cstheme="majorHAnsi"/>
          <w:i w:val="0"/>
          <w:iCs w:val="0"/>
          <w:shd w:val="clear" w:color="auto" w:fill="FFFFFF"/>
        </w:rPr>
        <w:t>.energy.gov/pdfs/</w:t>
      </w:r>
      <w:r w:rsidRPr="005F1F6D">
        <w:rPr>
          <w:rStyle w:val="HTMLCite"/>
          <w:rFonts w:asciiTheme="majorHAnsi" w:hAnsiTheme="majorHAnsi" w:cstheme="majorHAnsi"/>
          <w:bCs/>
          <w:i w:val="0"/>
          <w:iCs w:val="0"/>
          <w:shd w:val="clear" w:color="auto" w:fill="FFFFFF"/>
        </w:rPr>
        <w:t>2012</w:t>
      </w:r>
      <w:r w:rsidRPr="005F1F6D">
        <w:rPr>
          <w:rStyle w:val="HTMLCite"/>
          <w:rFonts w:asciiTheme="majorHAnsi" w:hAnsiTheme="majorHAnsi" w:cstheme="majorHAnsi"/>
          <w:i w:val="0"/>
          <w:iCs w:val="0"/>
          <w:shd w:val="clear" w:color="auto" w:fill="FFFFFF"/>
        </w:rPr>
        <w:t>_</w:t>
      </w:r>
      <w:r w:rsidRPr="005F1F6D">
        <w:rPr>
          <w:rStyle w:val="HTMLCite"/>
          <w:rFonts w:asciiTheme="majorHAnsi" w:hAnsiTheme="majorHAnsi" w:cstheme="majorHAnsi"/>
          <w:bCs/>
          <w:i w:val="0"/>
          <w:iCs w:val="0"/>
          <w:shd w:val="clear" w:color="auto" w:fill="FFFFFF"/>
        </w:rPr>
        <w:t>wind</w:t>
      </w:r>
      <w:r w:rsidRPr="005F1F6D">
        <w:rPr>
          <w:rStyle w:val="HTMLCite"/>
          <w:rFonts w:asciiTheme="majorHAnsi" w:hAnsiTheme="majorHAnsi" w:cstheme="majorHAnsi"/>
          <w:i w:val="0"/>
          <w:iCs w:val="0"/>
          <w:shd w:val="clear" w:color="auto" w:fill="FFFFFF"/>
        </w:rPr>
        <w:t>_</w:t>
      </w:r>
      <w:r w:rsidRPr="005F1F6D">
        <w:rPr>
          <w:rStyle w:val="HTMLCite"/>
          <w:rFonts w:asciiTheme="majorHAnsi" w:hAnsiTheme="majorHAnsi" w:cstheme="majorHAnsi"/>
          <w:bCs/>
          <w:i w:val="0"/>
          <w:iCs w:val="0"/>
          <w:shd w:val="clear" w:color="auto" w:fill="FFFFFF"/>
        </w:rPr>
        <w:t>technologies</w:t>
      </w:r>
      <w:r w:rsidRPr="005F1F6D">
        <w:rPr>
          <w:rStyle w:val="HTMLCite"/>
          <w:rFonts w:asciiTheme="majorHAnsi" w:hAnsiTheme="majorHAnsi" w:cstheme="majorHAnsi"/>
          <w:i w:val="0"/>
          <w:iCs w:val="0"/>
          <w:shd w:val="clear" w:color="auto" w:fill="FFFFFF"/>
        </w:rPr>
        <w:t>_</w:t>
      </w:r>
      <w:r w:rsidRPr="005F1F6D">
        <w:rPr>
          <w:rStyle w:val="HTMLCite"/>
          <w:rFonts w:asciiTheme="majorHAnsi" w:hAnsiTheme="majorHAnsi" w:cstheme="majorHAnsi"/>
          <w:bCs/>
          <w:i w:val="0"/>
          <w:iCs w:val="0"/>
          <w:shd w:val="clear" w:color="auto" w:fill="FFFFFF"/>
        </w:rPr>
        <w:t>market</w:t>
      </w:r>
      <w:r w:rsidRPr="005F1F6D">
        <w:rPr>
          <w:rStyle w:val="HTMLCite"/>
          <w:rFonts w:asciiTheme="majorHAnsi" w:hAnsiTheme="majorHAnsi" w:cstheme="majorHAnsi"/>
          <w:i w:val="0"/>
          <w:iCs w:val="0"/>
          <w:shd w:val="clear" w:color="auto" w:fill="FFFFFF"/>
        </w:rPr>
        <w:t>_</w:t>
      </w:r>
      <w:r w:rsidRPr="005F1F6D">
        <w:rPr>
          <w:rStyle w:val="HTMLCite"/>
          <w:rFonts w:asciiTheme="majorHAnsi" w:hAnsiTheme="majorHAnsi" w:cstheme="majorHAnsi"/>
          <w:bCs/>
          <w:i w:val="0"/>
          <w:iCs w:val="0"/>
          <w:shd w:val="clear" w:color="auto" w:fill="FFFFFF"/>
        </w:rPr>
        <w:t>report</w:t>
      </w:r>
      <w:r w:rsidRPr="005F1F6D">
        <w:rPr>
          <w:rStyle w:val="HTMLCite"/>
          <w:rFonts w:asciiTheme="majorHAnsi" w:hAnsiTheme="majorHAnsi" w:cstheme="majorHAnsi"/>
          <w:i w:val="0"/>
          <w:iCs w:val="0"/>
          <w:shd w:val="clear" w:color="auto" w:fill="FFFFFF"/>
        </w:rPr>
        <w:t>.pdf</w:t>
      </w:r>
      <w:r w:rsidRPr="005F1F6D">
        <w:rPr>
          <w:rFonts w:asciiTheme="majorHAnsi" w:hAnsiTheme="majorHAnsi" w:cstheme="majorHAnsi"/>
          <w:shd w:val="clear" w:color="auto" w:fill="FFFFFF"/>
        </w:rPr>
        <w:t>‎</w:t>
      </w:r>
      <w:r w:rsidRPr="005F1F6D">
        <w:rPr>
          <w:rFonts w:asciiTheme="majorHAnsi" w:hAnsiTheme="majorHAnsi" w:cstheme="majorHAnsi"/>
        </w:rPr>
        <w:t>.</w:t>
      </w:r>
      <w:r w:rsidRPr="005F1F6D">
        <w:t xml:space="preserve">  </w:t>
      </w:r>
      <w:r>
        <w:t xml:space="preserve">Last </w:t>
      </w:r>
      <w:r>
        <w:tab/>
        <w:t xml:space="preserve">accessed 1 September 2013. </w:t>
      </w:r>
    </w:p>
    <w:p w:rsidR="0035575F" w:rsidRDefault="0035575F" w:rsidP="0035575F">
      <w:r>
        <w:t xml:space="preserve">Donlan, J., J. Berger, C. E. Bock, J. H. Bock, D. A. Burney, J. A. Estes, D. Foreman, </w:t>
      </w:r>
      <w:r>
        <w:tab/>
        <w:t xml:space="preserve">P. S. Martin, G. W. Roemer, F. A. Smith, M. E. Soule, and H. W. Greene.  </w:t>
      </w:r>
      <w:r>
        <w:tab/>
        <w:t xml:space="preserve">2005.  Re-Wilding North America.  </w:t>
      </w:r>
      <w:r>
        <w:rPr>
          <w:i/>
        </w:rPr>
        <w:t>Nature</w:t>
      </w:r>
      <w:r>
        <w:t xml:space="preserve"> 436(7053): 913-914.</w:t>
      </w:r>
    </w:p>
    <w:p w:rsidR="0035575F" w:rsidRDefault="0035575F" w:rsidP="0035575F">
      <w:r>
        <w:t xml:space="preserve">Donlan, C. J., J. Berger, C. E. Bock, J. H. Bock, D. A. Burney, J. A. Estes, D. Foreman, </w:t>
      </w:r>
      <w:r>
        <w:tab/>
        <w:t xml:space="preserve">P. S. Martin, G. W. Roemer, F. A. Smith, M. E. Soule, and H. W. Greene.  2006.  </w:t>
      </w:r>
      <w:r>
        <w:tab/>
        <w:t xml:space="preserve">Pleistocene Rewilding: An Optimistic Agenda for Twenty-First Century </w:t>
      </w:r>
      <w:r>
        <w:tab/>
        <w:t xml:space="preserve">Conservation.  </w:t>
      </w:r>
      <w:r>
        <w:rPr>
          <w:i/>
        </w:rPr>
        <w:t>American Naturalist</w:t>
      </w:r>
      <w:r>
        <w:t xml:space="preserve"> 168(5): 660-681.</w:t>
      </w:r>
    </w:p>
    <w:p w:rsidR="0035575F" w:rsidRDefault="0035575F" w:rsidP="0035575F">
      <w:r>
        <w:lastRenderedPageBreak/>
        <w:t xml:space="preserve">Dorgan, B. 2003 (9 January).  Homestead Economic Opportunity Act.  In: the </w:t>
      </w:r>
      <w:r>
        <w:tab/>
      </w:r>
      <w:r>
        <w:rPr>
          <w:i/>
        </w:rPr>
        <w:t>Congressional Record</w:t>
      </w:r>
      <w:r w:rsidRPr="00097758">
        <w:t>,</w:t>
      </w:r>
      <w:r>
        <w:t xml:space="preserve"> 336.  </w:t>
      </w:r>
    </w:p>
    <w:p w:rsidR="0035575F" w:rsidRPr="001E3E2A" w:rsidRDefault="0035575F" w:rsidP="0035575F">
      <w:pPr>
        <w:rPr>
          <w:i/>
        </w:rPr>
      </w:pPr>
      <w:r>
        <w:t xml:space="preserve">Dreiling, L.  2011.  Geographers revisit Buffalo Commons.  </w:t>
      </w:r>
      <w:proofErr w:type="gramStart"/>
      <w:r>
        <w:rPr>
          <w:i/>
        </w:rPr>
        <w:t xml:space="preserve">High Plains/MidwestAg </w:t>
      </w:r>
      <w:r>
        <w:rPr>
          <w:i/>
        </w:rPr>
        <w:tab/>
        <w:t>Journal</w:t>
      </w:r>
      <w:r>
        <w:t>, Jan.</w:t>
      </w:r>
      <w:proofErr w:type="gramEnd"/>
      <w:r>
        <w:t xml:space="preserve">  Available on-line at: </w:t>
      </w:r>
      <w:r w:rsidRPr="00E72E9E">
        <w:tab/>
        <w:t>http://www.hpj.com/archives/2011/jan</w:t>
      </w:r>
      <w:r>
        <w:t>11/jan10/0105KFUConferenceldsr.</w:t>
      </w:r>
      <w:r w:rsidRPr="00E72E9E">
        <w:t xml:space="preserve">cfm.  </w:t>
      </w:r>
      <w:r>
        <w:tab/>
      </w:r>
      <w:r w:rsidRPr="00E72E9E">
        <w:t>Last accessed 27 July 2013.</w:t>
      </w:r>
    </w:p>
    <w:p w:rsidR="001E3E2A" w:rsidRDefault="001E3E2A" w:rsidP="001E3E2A">
      <w:r>
        <w:t xml:space="preserve">Drummond, M. A., R. F. Auch, K. A. Karstensen, K. L. Sayler, J. L. Taylor, and </w:t>
      </w:r>
      <w:r>
        <w:tab/>
        <w:t xml:space="preserve">T. R. </w:t>
      </w:r>
      <w:r>
        <w:tab/>
        <w:t xml:space="preserve">Loveland.  2012.  Land Change Variability and Human-Environment Dynamics </w:t>
      </w:r>
      <w:r>
        <w:tab/>
        <w:t xml:space="preserve">in the United States Great Plains.  </w:t>
      </w:r>
      <w:r>
        <w:rPr>
          <w:i/>
        </w:rPr>
        <w:t>Land Use Policy</w:t>
      </w:r>
      <w:r>
        <w:t xml:space="preserve"> 29(3): 710-723.</w:t>
      </w:r>
    </w:p>
    <w:p w:rsidR="001E3E2A" w:rsidRDefault="001E3E2A" w:rsidP="001E3E2A">
      <w:r>
        <w:t xml:space="preserve">Egan, T.  2006.  </w:t>
      </w:r>
      <w:r>
        <w:rPr>
          <w:i/>
        </w:rPr>
        <w:t>The Worst Hard Time: The Unt</w:t>
      </w:r>
      <w:r w:rsidR="00CA4077">
        <w:rPr>
          <w:i/>
        </w:rPr>
        <w:t xml:space="preserve">old Story of Those Who Survived </w:t>
      </w:r>
      <w:r>
        <w:rPr>
          <w:i/>
        </w:rPr>
        <w:t xml:space="preserve">the </w:t>
      </w:r>
      <w:r>
        <w:rPr>
          <w:i/>
        </w:rPr>
        <w:tab/>
        <w:t>Great American Dust Bowl</w:t>
      </w:r>
      <w:r>
        <w:t>.  Bo</w:t>
      </w:r>
      <w:r w:rsidR="005C0A3A">
        <w:t>ston: Houghton Mifflin Company.</w:t>
      </w:r>
    </w:p>
    <w:p w:rsidR="001E3E2A" w:rsidRDefault="001E3E2A" w:rsidP="000844CF">
      <w:pPr>
        <w:pStyle w:val="Default"/>
        <w:spacing w:after="200"/>
        <w:rPr>
          <w:rFonts w:ascii="Times New Roman" w:hAnsi="Times New Roman" w:cs="Times New Roman"/>
        </w:rPr>
      </w:pPr>
      <w:r>
        <w:rPr>
          <w:rFonts w:ascii="Times New Roman" w:hAnsi="Times New Roman" w:cs="Times New Roman"/>
        </w:rPr>
        <w:t xml:space="preserve">Fite, G. C.  1977.  Great Plains Farming: A Century of Change and Adjustment.  </w:t>
      </w:r>
      <w:r>
        <w:rPr>
          <w:rFonts w:ascii="Times New Roman" w:hAnsi="Times New Roman" w:cs="Times New Roman"/>
        </w:rPr>
        <w:tab/>
      </w:r>
      <w:r>
        <w:rPr>
          <w:rFonts w:ascii="Times New Roman" w:hAnsi="Times New Roman" w:cs="Times New Roman"/>
          <w:i/>
        </w:rPr>
        <w:t>Agricultural History</w:t>
      </w:r>
      <w:r>
        <w:rPr>
          <w:rFonts w:ascii="Times New Roman" w:hAnsi="Times New Roman" w:cs="Times New Roman"/>
        </w:rPr>
        <w:t xml:space="preserve"> 51(1): 244-256.</w:t>
      </w:r>
    </w:p>
    <w:p w:rsidR="001E3E2A" w:rsidRDefault="001E3E2A" w:rsidP="001E3E2A">
      <w:r>
        <w:t xml:space="preserve">Garreau, J.  1981.  </w:t>
      </w:r>
      <w:r>
        <w:rPr>
          <w:i/>
        </w:rPr>
        <w:t>The Nine Nations of North America</w:t>
      </w:r>
      <w:r>
        <w:t xml:space="preserve">. Boston: Houghton </w:t>
      </w:r>
      <w:r>
        <w:tab/>
        <w:t>Mifflin.</w:t>
      </w:r>
    </w:p>
    <w:p w:rsidR="001E3E2A" w:rsidRDefault="001E3E2A" w:rsidP="001E3E2A">
      <w:proofErr w:type="gramStart"/>
      <w:r>
        <w:t>Greeley, H.</w:t>
      </w:r>
      <w:proofErr w:type="gramEnd"/>
      <w:r>
        <w:t xml:space="preserve">  1860.  </w:t>
      </w:r>
      <w:r>
        <w:rPr>
          <w:rStyle w:val="HTMLCite"/>
          <w:color w:val="000000"/>
        </w:rPr>
        <w:t xml:space="preserve">An Overland Journey from New York to San Francisco in the </w:t>
      </w:r>
      <w:r>
        <w:rPr>
          <w:rStyle w:val="HTMLCite"/>
          <w:color w:val="000000"/>
        </w:rPr>
        <w:tab/>
      </w:r>
      <w:proofErr w:type="gramStart"/>
      <w:r>
        <w:rPr>
          <w:rStyle w:val="HTMLCite"/>
          <w:color w:val="000000"/>
        </w:rPr>
        <w:t>Summer</w:t>
      </w:r>
      <w:proofErr w:type="gramEnd"/>
      <w:r>
        <w:rPr>
          <w:rStyle w:val="HTMLCite"/>
          <w:color w:val="000000"/>
        </w:rPr>
        <w:t xml:space="preserve"> of 1859</w:t>
      </w:r>
      <w:r w:rsidRPr="00324175">
        <w:rPr>
          <w:rStyle w:val="HTMLCite"/>
          <w:rFonts w:eastAsiaTheme="minorEastAsia"/>
          <w:color w:val="000000"/>
        </w:rPr>
        <w:t>.</w:t>
      </w:r>
      <w:r>
        <w:rPr>
          <w:rStyle w:val="HTMLCite"/>
          <w:rFonts w:eastAsiaTheme="minorEastAsia"/>
          <w:color w:val="000000"/>
        </w:rPr>
        <w:t xml:space="preserve">  </w:t>
      </w:r>
      <w:r w:rsidRPr="00856337">
        <w:rPr>
          <w:rStyle w:val="HTMLCite"/>
          <w:rFonts w:eastAsiaTheme="minorEastAsia"/>
          <w:color w:val="000000"/>
        </w:rPr>
        <w:t>New York:</w:t>
      </w:r>
      <w:r>
        <w:rPr>
          <w:rStyle w:val="HTMLCite"/>
          <w:rFonts w:eastAsiaTheme="minorEastAsia"/>
          <w:color w:val="000000"/>
        </w:rPr>
        <w:t xml:space="preserve"> </w:t>
      </w:r>
      <w:r>
        <w:rPr>
          <w:color w:val="000000"/>
          <w:shd w:val="clear" w:color="auto" w:fill="FFFFFF"/>
        </w:rPr>
        <w:t>C. M. Saxton, Barker &amp; Company</w:t>
      </w:r>
      <w:r>
        <w:rPr>
          <w:rStyle w:val="HTMLCite"/>
          <w:rFonts w:eastAsiaTheme="minorEastAsia"/>
          <w:color w:val="000000"/>
        </w:rPr>
        <w:t>.</w:t>
      </w:r>
    </w:p>
    <w:p w:rsidR="001E3E2A" w:rsidRDefault="0050039E" w:rsidP="001E3E2A">
      <w:r>
        <w:t>Gutmann</w:t>
      </w:r>
      <w:r w:rsidR="001E3E2A">
        <w:t>, M. P., W. J. Parton, G. Cunfer, and I. C. Burke.  2005</w:t>
      </w:r>
      <w:r w:rsidR="000E328A">
        <w:t xml:space="preserve">.  Population and </w:t>
      </w:r>
      <w:r w:rsidR="000E328A">
        <w:tab/>
        <w:t xml:space="preserve">Environment </w:t>
      </w:r>
      <w:r w:rsidR="001E3E2A">
        <w:t xml:space="preserve">in the U.S. </w:t>
      </w:r>
      <w:proofErr w:type="gramStart"/>
      <w:r w:rsidR="001E3E2A">
        <w:t>Great Plains.</w:t>
      </w:r>
      <w:proofErr w:type="gramEnd"/>
      <w:r w:rsidR="001E3E2A">
        <w:t xml:space="preserve"> In </w:t>
      </w:r>
      <w:r w:rsidR="001E3E2A">
        <w:rPr>
          <w:i/>
        </w:rPr>
        <w:t xml:space="preserve">Population, Land Use, and </w:t>
      </w:r>
      <w:r w:rsidR="001E3E2A">
        <w:rPr>
          <w:i/>
        </w:rPr>
        <w:tab/>
        <w:t>Environment: Research Directions</w:t>
      </w:r>
      <w:r w:rsidR="001E3E2A">
        <w:t>, edited by B. Stern and P. C. Entwisle, 84-</w:t>
      </w:r>
      <w:r w:rsidR="001E3E2A">
        <w:tab/>
        <w:t xml:space="preserve">105. </w:t>
      </w:r>
      <w:r w:rsidR="009C3309">
        <w:t>Washington, D.C.</w:t>
      </w:r>
      <w:r w:rsidR="001E3E2A">
        <w:t>: National Academies Press.</w:t>
      </w:r>
    </w:p>
    <w:p w:rsidR="001E3E2A" w:rsidRPr="001E3E2A" w:rsidRDefault="001E3E2A" w:rsidP="00005D41">
      <w:proofErr w:type="gramStart"/>
      <w:r>
        <w:t>Hanks, K.</w:t>
      </w:r>
      <w:proofErr w:type="gramEnd"/>
      <w:r>
        <w:t xml:space="preserve">  2011.  Hugoton is Literally Building a Future.  </w:t>
      </w:r>
      <w:proofErr w:type="gramStart"/>
      <w:r>
        <w:rPr>
          <w:i/>
        </w:rPr>
        <w:t>The Hutchinson News</w:t>
      </w:r>
      <w:r>
        <w:t>.</w:t>
      </w:r>
      <w:proofErr w:type="gramEnd"/>
      <w:r>
        <w:t xml:space="preserve">  </w:t>
      </w:r>
      <w:r>
        <w:tab/>
        <w:t>[http://www.hutchnews.com/Todaystop/sun--Hugoton-s-growth-spurt].</w:t>
      </w:r>
    </w:p>
    <w:p w:rsidR="001E3E2A" w:rsidRDefault="001E3E2A" w:rsidP="001E3E2A">
      <w:proofErr w:type="gramStart"/>
      <w:r>
        <w:t>Hansen, Z. K, and G. D. Libecap.</w:t>
      </w:r>
      <w:proofErr w:type="gramEnd"/>
      <w:r>
        <w:t xml:space="preserve">  2004.  Small Farms, Externalities, and the Dust </w:t>
      </w:r>
      <w:r>
        <w:tab/>
        <w:t xml:space="preserve">Bowl of the 1930s.  </w:t>
      </w:r>
      <w:r>
        <w:rPr>
          <w:i/>
        </w:rPr>
        <w:t>The Journal of Political Economy</w:t>
      </w:r>
      <w:r>
        <w:t xml:space="preserve"> 112(3): 665-694.</w:t>
      </w:r>
    </w:p>
    <w:p w:rsidR="001E3E2A" w:rsidRDefault="001E3E2A" w:rsidP="001E3E2A">
      <w:r>
        <w:t>Harrington, L. M. B.  2009.  The US Great Plains, Change, and Place</w:t>
      </w:r>
      <w:r w:rsidR="00CA4077">
        <w:t xml:space="preserve"> Development. </w:t>
      </w:r>
      <w:r w:rsidR="00CA4077">
        <w:tab/>
      </w:r>
      <w:r>
        <w:t xml:space="preserve">In </w:t>
      </w:r>
      <w:r>
        <w:rPr>
          <w:i/>
        </w:rPr>
        <w:t xml:space="preserve">The Next Rural Economies: Constructing Rural Place in </w:t>
      </w:r>
      <w:r>
        <w:rPr>
          <w:i/>
        </w:rPr>
        <w:tab/>
        <w:t>Global Economies</w:t>
      </w:r>
      <w:r>
        <w:t xml:space="preserve">, </w:t>
      </w:r>
      <w:r w:rsidR="00CA4077">
        <w:tab/>
      </w:r>
      <w:r>
        <w:t>edited by G. Markey, S.</w:t>
      </w:r>
      <w:r w:rsidR="00CA4077">
        <w:t xml:space="preserve"> Bruce, and D. Halseth, 32-44. </w:t>
      </w:r>
      <w:r>
        <w:t>Wallingford: CABI.</w:t>
      </w:r>
    </w:p>
    <w:p w:rsidR="001E3E2A" w:rsidRDefault="001E3E2A" w:rsidP="001E3E2A">
      <w:proofErr w:type="gramStart"/>
      <w:r>
        <w:t>Harrington, L. M. B., and M. Lu.</w:t>
      </w:r>
      <w:proofErr w:type="gramEnd"/>
      <w:r>
        <w:t xml:space="preserve"> 2002.  Beef Feedlots in Southwestern Kansas: Local </w:t>
      </w:r>
      <w:r>
        <w:tab/>
        <w:t xml:space="preserve">Change, Perceptions, and the Global Change Context.  </w:t>
      </w:r>
      <w:r>
        <w:rPr>
          <w:i/>
        </w:rPr>
        <w:t xml:space="preserve">Global Environmental </w:t>
      </w:r>
      <w:r>
        <w:rPr>
          <w:i/>
        </w:rPr>
        <w:tab/>
        <w:t>Change-Human and Policy Dimensions</w:t>
      </w:r>
      <w:r>
        <w:t xml:space="preserve"> 12(4): 273-282.</w:t>
      </w:r>
    </w:p>
    <w:p w:rsidR="001E3E2A" w:rsidRDefault="001E3E2A" w:rsidP="001E3E2A">
      <w:proofErr w:type="gramStart"/>
      <w:r>
        <w:t>Harrington, L. M. B., M. Lu, and J. Harrin</w:t>
      </w:r>
      <w:r w:rsidR="003E57C2">
        <w:t>gton.</w:t>
      </w:r>
      <w:proofErr w:type="gramEnd"/>
      <w:r w:rsidR="003E57C2">
        <w:t xml:space="preserve">  2009.  Fossil Water and </w:t>
      </w:r>
      <w:r>
        <w:t xml:space="preserve">Agriculture </w:t>
      </w:r>
      <w:r>
        <w:tab/>
        <w:t xml:space="preserve">in Southwestern Kansas.  In </w:t>
      </w:r>
      <w:r>
        <w:rPr>
          <w:i/>
        </w:rPr>
        <w:t xml:space="preserve">Sustainable Communities on a </w:t>
      </w:r>
      <w:r>
        <w:rPr>
          <w:i/>
        </w:rPr>
        <w:tab/>
        <w:t xml:space="preserve">Sustainable Planet: </w:t>
      </w:r>
      <w:r>
        <w:rPr>
          <w:i/>
        </w:rPr>
        <w:tab/>
        <w:t>The Human-Environment Regional Observatory Project</w:t>
      </w:r>
      <w:r>
        <w:t xml:space="preserve">, edited by B. </w:t>
      </w:r>
      <w:r>
        <w:tab/>
      </w:r>
      <w:proofErr w:type="gramStart"/>
      <w:r>
        <w:t>Yarnal, C. Polsky and J. O’ Brien.</w:t>
      </w:r>
      <w:proofErr w:type="gramEnd"/>
      <w:r>
        <w:t xml:space="preserve"> Cambridge: Cambridge University Press.</w:t>
      </w:r>
    </w:p>
    <w:p w:rsidR="001E3E2A" w:rsidRDefault="001E3E2A" w:rsidP="001E3E2A">
      <w:proofErr w:type="gramStart"/>
      <w:r>
        <w:lastRenderedPageBreak/>
        <w:t>Harrington, L. M. B., M. Lu, and D. E. Kromm.</w:t>
      </w:r>
      <w:proofErr w:type="gramEnd"/>
      <w:r>
        <w:t xml:space="preserve">  2010.  Milking the Plains: </w:t>
      </w:r>
      <w:r w:rsidR="00CA4077">
        <w:t>Movement</w:t>
      </w:r>
      <w:r>
        <w:tab/>
        <w:t>of Large Dairy Operati</w:t>
      </w:r>
      <w:r w:rsidR="00CA4077">
        <w:t xml:space="preserve">ons into Southwestern Kansas.  </w:t>
      </w:r>
      <w:r>
        <w:rPr>
          <w:i/>
        </w:rPr>
        <w:t xml:space="preserve">Geographical Review </w:t>
      </w:r>
      <w:r w:rsidR="00CA4077">
        <w:rPr>
          <w:i/>
        </w:rPr>
        <w:tab/>
      </w:r>
      <w:r>
        <w:t>100(4): 538-558.</w:t>
      </w:r>
    </w:p>
    <w:p w:rsidR="001E3E2A" w:rsidRDefault="001E3E2A" w:rsidP="001E3E2A">
      <w:r>
        <w:t xml:space="preserve">Hudson, J. C.  1976.  Migration to an American Frontier.  </w:t>
      </w:r>
      <w:r>
        <w:rPr>
          <w:i/>
        </w:rPr>
        <w:t xml:space="preserve">Annals of the Association of </w:t>
      </w:r>
      <w:r>
        <w:rPr>
          <w:i/>
        </w:rPr>
        <w:tab/>
        <w:t>American Geographers</w:t>
      </w:r>
      <w:r>
        <w:t xml:space="preserve"> 66(2): 242-265.</w:t>
      </w:r>
    </w:p>
    <w:p w:rsidR="001E3E2A" w:rsidRDefault="001E3E2A" w:rsidP="001E3E2A">
      <w:r>
        <w:t xml:space="preserve">Hudson, J. C. 1986.  Who was ‘Forest Man?’  </w:t>
      </w:r>
      <w:proofErr w:type="gramStart"/>
      <w:r>
        <w:t>Sources of Migration to the Plains.</w:t>
      </w:r>
      <w:proofErr w:type="gramEnd"/>
      <w:r w:rsidR="003E57C2">
        <w:t xml:space="preserve"> </w:t>
      </w:r>
      <w:r w:rsidR="003E57C2">
        <w:rPr>
          <w:i/>
        </w:rPr>
        <w:t>Great</w:t>
      </w:r>
      <w:r>
        <w:t xml:space="preserve">  </w:t>
      </w:r>
      <w:r>
        <w:tab/>
      </w:r>
      <w:r w:rsidRPr="00BB41FD">
        <w:rPr>
          <w:i/>
        </w:rPr>
        <w:t>Plains Quarterly</w:t>
      </w:r>
      <w:r>
        <w:t xml:space="preserve"> 6(1): 69-83.</w:t>
      </w:r>
    </w:p>
    <w:p w:rsidR="001E3E2A" w:rsidRDefault="001E3E2A" w:rsidP="001E3E2A">
      <w:r>
        <w:t xml:space="preserve">Hudson, J. C. 2011.  </w:t>
      </w:r>
      <w:proofErr w:type="gramStart"/>
      <w:r>
        <w:t>Introduction.</w:t>
      </w:r>
      <w:proofErr w:type="gramEnd"/>
      <w:r>
        <w:t xml:space="preserve">  </w:t>
      </w:r>
      <w:proofErr w:type="gramStart"/>
      <w:r>
        <w:t xml:space="preserve">In </w:t>
      </w:r>
      <w:r>
        <w:rPr>
          <w:i/>
        </w:rPr>
        <w:t>Atlas of the Great Plains</w:t>
      </w:r>
      <w:r>
        <w:t>, edited by S. J.</w:t>
      </w:r>
      <w:proofErr w:type="gramEnd"/>
      <w:r>
        <w:t xml:space="preserve"> </w:t>
      </w:r>
      <w:r>
        <w:tab/>
      </w:r>
      <w:proofErr w:type="gramStart"/>
      <w:r>
        <w:t>Lavin, F. M. Shelley, and J. C. Archer.</w:t>
      </w:r>
      <w:proofErr w:type="gramEnd"/>
      <w:r>
        <w:t xml:space="preserve">  Lincoln: University of Nebraska Press.</w:t>
      </w:r>
    </w:p>
    <w:p w:rsidR="001E3E2A" w:rsidRDefault="001E3E2A" w:rsidP="001E3E2A">
      <w:r>
        <w:t xml:space="preserve">Hurt, R. D. 1986.  </w:t>
      </w:r>
      <w:proofErr w:type="gramStart"/>
      <w:r>
        <w:t>Federal Land Reclamation in the Dust Bowl.</w:t>
      </w:r>
      <w:proofErr w:type="gramEnd"/>
      <w:r>
        <w:t xml:space="preserve">  </w:t>
      </w:r>
      <w:r>
        <w:rPr>
          <w:i/>
        </w:rPr>
        <w:t>Great Plains</w:t>
      </w:r>
      <w:r w:rsidR="00CA4077">
        <w:rPr>
          <w:i/>
        </w:rPr>
        <w:t xml:space="preserve"> Quarterly</w:t>
      </w:r>
      <w:r>
        <w:rPr>
          <w:i/>
        </w:rPr>
        <w:t xml:space="preserve"> </w:t>
      </w:r>
      <w:r>
        <w:rPr>
          <w:i/>
        </w:rPr>
        <w:tab/>
      </w:r>
      <w:r>
        <w:t>6(1): 94-106.</w:t>
      </w:r>
    </w:p>
    <w:p w:rsidR="001E3E2A" w:rsidRDefault="001E3E2A" w:rsidP="001E3E2A">
      <w:r>
        <w:t>Jackson, R. H.  1992.  The Mormon Experience: The Plains as Sinai, the Great Salt</w:t>
      </w:r>
      <w:r w:rsidR="00CA4077">
        <w:t xml:space="preserve"> </w:t>
      </w:r>
      <w:r>
        <w:t xml:space="preserve"> </w:t>
      </w:r>
      <w:r>
        <w:tab/>
        <w:t xml:space="preserve">Lake as the Dead Sea, and the Great Basin as Desert-Cum-Promised Land.  </w:t>
      </w:r>
      <w:r>
        <w:tab/>
      </w:r>
      <w:r>
        <w:rPr>
          <w:i/>
        </w:rPr>
        <w:t>Journal of Historical Geography</w:t>
      </w:r>
      <w:r>
        <w:t xml:space="preserve"> 18(1): 41-58.</w:t>
      </w:r>
    </w:p>
    <w:p w:rsidR="001E3E2A" w:rsidRDefault="001E3E2A" w:rsidP="001E3E2A">
      <w:proofErr w:type="gramStart"/>
      <w:r>
        <w:t>James, E., S. H. Long, and T. Say.</w:t>
      </w:r>
      <w:proofErr w:type="gramEnd"/>
      <w:r>
        <w:t xml:space="preserve">  1823.  </w:t>
      </w:r>
      <w:r w:rsidRPr="004A18FA">
        <w:rPr>
          <w:i/>
        </w:rPr>
        <w:t xml:space="preserve">Account of an Expedition from Pittsburgh to </w:t>
      </w:r>
      <w:r>
        <w:rPr>
          <w:i/>
        </w:rPr>
        <w:tab/>
      </w:r>
      <w:r w:rsidRPr="004A18FA">
        <w:rPr>
          <w:i/>
        </w:rPr>
        <w:t xml:space="preserve">the Rocky Mountains, Performed in the Years 1819 and ’20, </w:t>
      </w:r>
      <w:r>
        <w:rPr>
          <w:i/>
        </w:rPr>
        <w:t>b</w:t>
      </w:r>
      <w:r w:rsidRPr="004A18FA">
        <w:rPr>
          <w:i/>
        </w:rPr>
        <w:t xml:space="preserve">y order of the </w:t>
      </w:r>
      <w:r>
        <w:rPr>
          <w:i/>
        </w:rPr>
        <w:tab/>
      </w:r>
      <w:r w:rsidRPr="004A18FA">
        <w:rPr>
          <w:i/>
        </w:rPr>
        <w:t xml:space="preserve">Hon. J.C. Calhoun, Sec’y of War, Under the Command of Major Stephen H. </w:t>
      </w:r>
      <w:r>
        <w:rPr>
          <w:i/>
        </w:rPr>
        <w:tab/>
      </w:r>
      <w:proofErr w:type="gramStart"/>
      <w:r w:rsidRPr="004A18FA">
        <w:rPr>
          <w:i/>
        </w:rPr>
        <w:t>Long, Vol. III.</w:t>
      </w:r>
      <w:proofErr w:type="gramEnd"/>
      <w:r>
        <w:t xml:space="preserve">  London: Longman, Hurst, Rees, Orme and Brown.</w:t>
      </w:r>
    </w:p>
    <w:p w:rsidR="001E3E2A" w:rsidRDefault="001E3E2A" w:rsidP="001E3E2A">
      <w:r>
        <w:t xml:space="preserve">Kotkin, J.  2010.  </w:t>
      </w:r>
      <w:r>
        <w:rPr>
          <w:i/>
        </w:rPr>
        <w:t>The Next Hundred Million: America in 2050</w:t>
      </w:r>
      <w:r>
        <w:t>. New York:</w:t>
      </w:r>
      <w:r w:rsidR="00CA4077">
        <w:t xml:space="preserve"> Penguin </w:t>
      </w:r>
      <w:r>
        <w:t xml:space="preserve"> </w:t>
      </w:r>
      <w:r w:rsidR="00CA4077">
        <w:tab/>
      </w:r>
      <w:r>
        <w:t>Press.</w:t>
      </w:r>
    </w:p>
    <w:p w:rsidR="00D04407" w:rsidRDefault="001E3E2A" w:rsidP="001E3E2A">
      <w:r>
        <w:t xml:space="preserve">Kotkin, J.  2012.  </w:t>
      </w:r>
      <w:r>
        <w:rPr>
          <w:i/>
        </w:rPr>
        <w:t>The Rise of the Great Plains</w:t>
      </w:r>
      <w:r>
        <w:t xml:space="preserve">.  Lubbock, TX: Texas Tech </w:t>
      </w:r>
      <w:r w:rsidR="00CA4077">
        <w:t>University.</w:t>
      </w:r>
    </w:p>
    <w:p w:rsidR="00E824BB" w:rsidRDefault="00D04407" w:rsidP="001E3E2A">
      <w:proofErr w:type="gramStart"/>
      <w:r>
        <w:t>Lantz</w:t>
      </w:r>
      <w:r w:rsidR="00E824BB">
        <w:t>, E. 2009.</w:t>
      </w:r>
      <w:proofErr w:type="gramEnd"/>
      <w:r w:rsidR="00E824BB">
        <w:t xml:space="preserve">  Economic Development Benefits from Wind Power in Nebraska: A </w:t>
      </w:r>
      <w:r w:rsidR="00E824BB">
        <w:tab/>
        <w:t xml:space="preserve">Report for the Nebraska Energy Office.  </w:t>
      </w:r>
      <w:proofErr w:type="gramStart"/>
      <w:r w:rsidR="00E824BB">
        <w:t>NREL Technical Report NREL/TP-</w:t>
      </w:r>
      <w:r w:rsidR="00E824BB">
        <w:tab/>
        <w:t>500-44344.</w:t>
      </w:r>
      <w:proofErr w:type="gramEnd"/>
      <w:r w:rsidR="00E824BB">
        <w:t xml:space="preserve">  </w:t>
      </w:r>
      <w:r w:rsidR="00E824BB">
        <w:rPr>
          <w:rFonts w:asciiTheme="majorHAnsi" w:hAnsiTheme="majorHAnsi" w:cstheme="majorHAnsi"/>
          <w:bCs/>
        </w:rPr>
        <w:t>Available on-line at:</w:t>
      </w:r>
      <w:r w:rsidR="00E824BB" w:rsidRPr="00142C70">
        <w:rPr>
          <w:rFonts w:ascii="Arial" w:hAnsi="Arial"/>
          <w:b/>
          <w:bCs/>
          <w:sz w:val="23"/>
          <w:szCs w:val="23"/>
        </w:rPr>
        <w:t xml:space="preserve"> </w:t>
      </w:r>
      <w:r w:rsidR="00E824BB">
        <w:t xml:space="preserve"> </w:t>
      </w:r>
      <w:r w:rsidR="00E824BB">
        <w:tab/>
      </w:r>
      <w:r w:rsidR="00E824BB" w:rsidRPr="00E824BB">
        <w:t>http://www.nrel.gov/docs/fy09osti/44344.pdf</w:t>
      </w:r>
      <w:r w:rsidR="00E824BB">
        <w:t xml:space="preserve">.  Last accessed 1 September 2013. </w:t>
      </w:r>
    </w:p>
    <w:p w:rsidR="001E3E2A" w:rsidRDefault="001E3E2A" w:rsidP="001E3E2A">
      <w:proofErr w:type="gramStart"/>
      <w:r>
        <w:t>Libecap, G. D., and Z. K. Hansen.</w:t>
      </w:r>
      <w:proofErr w:type="gramEnd"/>
      <w:r>
        <w:t xml:space="preserve">  2002.  ‘Rain Follows the Plow’ and Dryfarming </w:t>
      </w:r>
      <w:r>
        <w:tab/>
        <w:t xml:space="preserve">Doctrine: The Climate Information Problem and Homestead Failure in the </w:t>
      </w:r>
      <w:r>
        <w:tab/>
        <w:t xml:space="preserve">Upper Great Plains, 1890-1925.  </w:t>
      </w:r>
      <w:r>
        <w:rPr>
          <w:i/>
        </w:rPr>
        <w:t>Journal of Economic History</w:t>
      </w:r>
      <w:r>
        <w:t xml:space="preserve"> 62(1): 86-120.</w:t>
      </w:r>
    </w:p>
    <w:p w:rsidR="001E3E2A" w:rsidRDefault="001E3E2A" w:rsidP="001E3E2A">
      <w:r>
        <w:t>Lowitt, R.  2006.  A</w:t>
      </w:r>
      <w:r>
        <w:rPr>
          <w:i/>
        </w:rPr>
        <w:t xml:space="preserve">merican Outback: The Oklahoma Panhandle in the Twentieth </w:t>
      </w:r>
      <w:r>
        <w:rPr>
          <w:i/>
        </w:rPr>
        <w:tab/>
        <w:t>Century</w:t>
      </w:r>
      <w:r>
        <w:t>.  Lubbock, TX: Texas Tech University Press, 2006.</w:t>
      </w:r>
    </w:p>
    <w:p w:rsidR="001E3E2A" w:rsidRPr="005C0A3A" w:rsidRDefault="001E3E2A" w:rsidP="005C0A3A">
      <w:proofErr w:type="gramStart"/>
      <w:r>
        <w:t>Lu, M., and D. A. Paull.</w:t>
      </w:r>
      <w:proofErr w:type="gramEnd"/>
      <w:r>
        <w:t xml:space="preserve">  2007.  Assessing the Fr</w:t>
      </w:r>
      <w:r w:rsidR="00CA4077">
        <w:t xml:space="preserve">ee Land Programs for Reversing </w:t>
      </w:r>
      <w:r>
        <w:t xml:space="preserve">Rural </w:t>
      </w:r>
      <w:r>
        <w:tab/>
        <w:t xml:space="preserve">Depopulation.  </w:t>
      </w:r>
      <w:r>
        <w:rPr>
          <w:i/>
        </w:rPr>
        <w:t>Great Plains Research</w:t>
      </w:r>
      <w:r w:rsidR="005C0A3A">
        <w:t xml:space="preserve"> 17(1): 73-86.</w:t>
      </w:r>
    </w:p>
    <w:p w:rsidR="001E3E2A" w:rsidRDefault="001E3E2A" w:rsidP="001E3E2A">
      <w:pPr>
        <w:pStyle w:val="Default"/>
        <w:rPr>
          <w:rFonts w:ascii="Times New Roman" w:hAnsi="Times New Roman" w:cs="Times New Roman"/>
        </w:rPr>
      </w:pPr>
      <w:proofErr w:type="gramStart"/>
      <w:r>
        <w:rPr>
          <w:rFonts w:ascii="Times New Roman" w:hAnsi="Times New Roman" w:cs="Times New Roman"/>
        </w:rPr>
        <w:t>Mackun, P., and S. Wilson.</w:t>
      </w:r>
      <w:proofErr w:type="gramEnd"/>
      <w:r>
        <w:rPr>
          <w:rFonts w:ascii="Times New Roman" w:hAnsi="Times New Roman" w:cs="Times New Roman"/>
        </w:rPr>
        <w:t xml:space="preserve">  2011.  </w:t>
      </w:r>
      <w:r>
        <w:rPr>
          <w:rFonts w:ascii="Times New Roman" w:hAnsi="Times New Roman" w:cs="Times New Roman"/>
          <w:i/>
        </w:rPr>
        <w:t>Population D</w:t>
      </w:r>
      <w:r w:rsidR="003E57C2">
        <w:rPr>
          <w:rFonts w:ascii="Times New Roman" w:hAnsi="Times New Roman" w:cs="Times New Roman"/>
          <w:i/>
        </w:rPr>
        <w:t>istribution and Change: 2000 to</w:t>
      </w:r>
      <w:r>
        <w:rPr>
          <w:rFonts w:ascii="Times New Roman" w:hAnsi="Times New Roman" w:cs="Times New Roman"/>
          <w:i/>
        </w:rPr>
        <w:tab/>
        <w:t>2010</w:t>
      </w:r>
      <w:r>
        <w:rPr>
          <w:rFonts w:ascii="Times New Roman" w:hAnsi="Times New Roman" w:cs="Times New Roman"/>
        </w:rPr>
        <w:t xml:space="preserve">.  </w:t>
      </w:r>
      <w:r>
        <w:rPr>
          <w:rFonts w:ascii="Times New Roman" w:hAnsi="Times New Roman" w:cs="Times New Roman"/>
        </w:rPr>
        <w:tab/>
        <w:t>Suitland: US Census Bureau.</w:t>
      </w:r>
    </w:p>
    <w:p w:rsidR="001E3E2A" w:rsidRDefault="001E3E2A" w:rsidP="001E3E2A">
      <w:pPr>
        <w:pStyle w:val="Default"/>
        <w:rPr>
          <w:rFonts w:ascii="Times New Roman" w:hAnsi="Times New Roman" w:cs="Times New Roman"/>
        </w:rPr>
      </w:pPr>
    </w:p>
    <w:p w:rsidR="001E3E2A" w:rsidRDefault="001E3E2A" w:rsidP="001E3E2A">
      <w:proofErr w:type="gramStart"/>
      <w:r>
        <w:lastRenderedPageBreak/>
        <w:t>Matthews, A.</w:t>
      </w:r>
      <w:proofErr w:type="gramEnd"/>
      <w:r>
        <w:t xml:space="preserve">  2002.  </w:t>
      </w:r>
      <w:r>
        <w:rPr>
          <w:i/>
        </w:rPr>
        <w:t>Where the Buffalo Roam: Restoring America's Great Plains</w:t>
      </w:r>
      <w:r>
        <w:t>.</w:t>
      </w:r>
      <w:r w:rsidR="00CA4077">
        <w:t xml:space="preserve">  </w:t>
      </w:r>
      <w:r>
        <w:t xml:space="preserve"> </w:t>
      </w:r>
      <w:r>
        <w:tab/>
        <w:t>Chicago: University of Chicago Press.</w:t>
      </w:r>
    </w:p>
    <w:p w:rsidR="001E3E2A" w:rsidRDefault="001E3E2A" w:rsidP="001E3E2A">
      <w:proofErr w:type="gramStart"/>
      <w:r>
        <w:t>Musick, J. T, F. B. Pringle, and J.D. Walker.</w:t>
      </w:r>
      <w:proofErr w:type="gramEnd"/>
      <w:r>
        <w:t xml:space="preserve">  1988.  Sprinkler and Furrow </w:t>
      </w:r>
      <w:r>
        <w:tab/>
        <w:t xml:space="preserve">Irrigation </w:t>
      </w:r>
      <w:r>
        <w:tab/>
        <w:t xml:space="preserve">Trends - Texas High Plains. </w:t>
      </w:r>
      <w:r>
        <w:rPr>
          <w:i/>
        </w:rPr>
        <w:t>Applied Engineering in Agriculture</w:t>
      </w:r>
      <w:r>
        <w:t xml:space="preserve"> 4(1): 46-52.</w:t>
      </w:r>
    </w:p>
    <w:p w:rsidR="001E3E2A" w:rsidRDefault="001E3E2A" w:rsidP="001E3E2A">
      <w:proofErr w:type="gramStart"/>
      <w:r>
        <w:t>Nakicenovic, N.</w:t>
      </w:r>
      <w:proofErr w:type="gramEnd"/>
      <w:r>
        <w:t xml:space="preserve">  2000.  </w:t>
      </w:r>
      <w:r>
        <w:rPr>
          <w:i/>
        </w:rPr>
        <w:t xml:space="preserve">Special Report on Emissions Scenarios: A Special Report </w:t>
      </w:r>
      <w:r>
        <w:rPr>
          <w:i/>
        </w:rPr>
        <w:tab/>
        <w:t>of Working Group III of the Inte</w:t>
      </w:r>
      <w:r w:rsidR="005C0A3A">
        <w:rPr>
          <w:i/>
        </w:rPr>
        <w:t xml:space="preserve">rgovernmental Panel on Climate </w:t>
      </w:r>
      <w:r>
        <w:rPr>
          <w:i/>
        </w:rPr>
        <w:t>Change</w:t>
      </w:r>
      <w:r>
        <w:t xml:space="preserve">.  </w:t>
      </w:r>
      <w:r>
        <w:tab/>
        <w:t>Cambridge: Cambridge University Press.</w:t>
      </w:r>
    </w:p>
    <w:p w:rsidR="000D5404" w:rsidRDefault="001E3E2A" w:rsidP="001E3E2A">
      <w:proofErr w:type="gramStart"/>
      <w:r w:rsidRPr="00616A8B">
        <w:t xml:space="preserve">National </w:t>
      </w:r>
      <w:r w:rsidRPr="00896674">
        <w:t>Agriculture Statistics Service.</w:t>
      </w:r>
      <w:proofErr w:type="gramEnd"/>
      <w:r w:rsidRPr="00896674">
        <w:t xml:space="preserve">  2012.  Kansas Farm Facts.  Available on-</w:t>
      </w:r>
      <w:r>
        <w:tab/>
      </w:r>
      <w:r w:rsidRPr="00616A8B">
        <w:t xml:space="preserve">line </w:t>
      </w:r>
      <w:r>
        <w:tab/>
      </w:r>
      <w:r w:rsidRPr="00616A8B">
        <w:t>at:</w:t>
      </w:r>
      <w:r>
        <w:t xml:space="preserve"> </w:t>
      </w:r>
      <w:r w:rsidRPr="00896674">
        <w:t>http://www.nass.usda.gov/Statistics_by_State/Kansas/Publications/Annual</w:t>
      </w:r>
      <w:r>
        <w:tab/>
      </w:r>
      <w:r w:rsidRPr="00896674">
        <w:t>_Statistical_Bulletin/ff2012.pdf.  Last accessed 06 August 2013.</w:t>
      </w:r>
      <w:r w:rsidRPr="00616A8B">
        <w:t xml:space="preserve">  </w:t>
      </w:r>
    </w:p>
    <w:p w:rsidR="001E3E2A" w:rsidRDefault="001E3E2A" w:rsidP="001E3E2A">
      <w:proofErr w:type="gramStart"/>
      <w:r>
        <w:t>North Dakota Industrial Commission Department</w:t>
      </w:r>
      <w:r w:rsidR="00DB453C">
        <w:t xml:space="preserve"> of Mineral Resources.</w:t>
      </w:r>
      <w:proofErr w:type="gramEnd"/>
      <w:r w:rsidR="00DB453C">
        <w:t xml:space="preserve">  2010.  </w:t>
      </w:r>
      <w:r>
        <w:t xml:space="preserve">2010 </w:t>
      </w:r>
      <w:r w:rsidR="00DB453C">
        <w:tab/>
      </w:r>
      <w:r>
        <w:t xml:space="preserve">North Dakota Gas Production by Formation.  </w:t>
      </w:r>
      <w:r>
        <w:tab/>
        <w:t xml:space="preserve">[https://www.dmr.nd.gov/oilgas/stats/2010gasprod.pdf].  </w:t>
      </w:r>
      <w:r w:rsidR="005C0A3A">
        <w:t xml:space="preserve">Last accessed 2 </w:t>
      </w:r>
      <w:r w:rsidR="005C0A3A">
        <w:tab/>
        <w:t>February 2013.</w:t>
      </w:r>
    </w:p>
    <w:p w:rsidR="001E3E2A" w:rsidRDefault="001E3E2A" w:rsidP="001E3E2A">
      <w:proofErr w:type="gramStart"/>
      <w:r>
        <w:t>North Dakota State University Center for Social Research.</w:t>
      </w:r>
      <w:proofErr w:type="gramEnd"/>
      <w:r>
        <w:t xml:space="preserve">  2012.  2012 North</w:t>
      </w:r>
      <w:r w:rsidR="00CA4077">
        <w:t xml:space="preserve"> Dakota </w:t>
      </w:r>
      <w:r w:rsidR="00CA4077">
        <w:tab/>
      </w:r>
      <w:r>
        <w:t>Statewide Housing Needs As</w:t>
      </w:r>
      <w:r w:rsidR="00CA4077">
        <w:t xml:space="preserve">sessment. </w:t>
      </w:r>
      <w:proofErr w:type="gramStart"/>
      <w:r w:rsidR="00CA4077">
        <w:t xml:space="preserve">Component 1, Housing </w:t>
      </w:r>
      <w:r>
        <w:t>Forecast.</w:t>
      </w:r>
      <w:proofErr w:type="gramEnd"/>
      <w:r>
        <w:t xml:space="preserve">  Fargo: </w:t>
      </w:r>
      <w:r w:rsidR="00CA4077">
        <w:tab/>
      </w:r>
      <w:r>
        <w:t>Center for Socia</w:t>
      </w:r>
      <w:r w:rsidR="005C0A3A">
        <w:t xml:space="preserve">l Research, North Dakota State </w:t>
      </w:r>
      <w:r>
        <w:t>University.</w:t>
      </w:r>
    </w:p>
    <w:p w:rsidR="001E3E2A" w:rsidRDefault="001E3E2A" w:rsidP="001E3E2A">
      <w:proofErr w:type="gramStart"/>
      <w:r>
        <w:t>Northern Plains Conservation Network.</w:t>
      </w:r>
      <w:proofErr w:type="gramEnd"/>
      <w:r>
        <w:t xml:space="preserve">  2012.   The Big Open Project.</w:t>
      </w:r>
      <w:r>
        <w:tab/>
        <w:t xml:space="preserve">[http://www.npcn.net/index.php/pages/big-open/].  Last accessed 2 </w:t>
      </w:r>
      <w:r>
        <w:tab/>
        <w:t>February 2013.</w:t>
      </w:r>
    </w:p>
    <w:p w:rsidR="001E3E2A" w:rsidRDefault="001E3E2A" w:rsidP="001E3E2A">
      <w:proofErr w:type="gramStart"/>
      <w:r w:rsidRPr="00C72B2E">
        <w:t>NPS, 1987.</w:t>
      </w:r>
      <w:proofErr w:type="gramEnd"/>
      <w:r w:rsidRPr="00C72B2E">
        <w:t xml:space="preserve">  </w:t>
      </w:r>
      <w:proofErr w:type="gramStart"/>
      <w:r w:rsidRPr="00C72B2E">
        <w:t>Bonanza Farming in North Dakota.</w:t>
      </w:r>
      <w:proofErr w:type="gramEnd"/>
      <w:r w:rsidRPr="00C72B2E">
        <w:t xml:space="preserve">  </w:t>
      </w:r>
      <w:r>
        <w:tab/>
      </w:r>
      <w:r w:rsidRPr="00C72B2E">
        <w:t>[</w:t>
      </w:r>
      <w:r w:rsidRPr="00856337">
        <w:t>http://pdfhost.focus.nps.gov/docs/NRHP/Text/64500377.pdf</w:t>
      </w:r>
      <w:r w:rsidRPr="00C72B2E">
        <w:t xml:space="preserve">].  Last </w:t>
      </w:r>
      <w:r>
        <w:tab/>
      </w:r>
      <w:r w:rsidRPr="00C72B2E">
        <w:t>accessed 25 July 2013.</w:t>
      </w:r>
    </w:p>
    <w:p w:rsidR="001E3E2A" w:rsidRDefault="001E3E2A" w:rsidP="001E3E2A">
      <w:proofErr w:type="gramStart"/>
      <w:r>
        <w:t>Oklahoma Bioenergy Center.</w:t>
      </w:r>
      <w:proofErr w:type="gramEnd"/>
      <w:r>
        <w:t xml:space="preserve">  2008.  [http://</w:t>
      </w:r>
      <w:r w:rsidR="00CA4077">
        <w:t xml:space="preserve">okbioenergycenter.org/].  Last </w:t>
      </w:r>
      <w:r>
        <w:t xml:space="preserve">accessed 2 </w:t>
      </w:r>
      <w:r w:rsidR="00CA4077">
        <w:tab/>
      </w:r>
      <w:r>
        <w:t>February 2013.</w:t>
      </w:r>
    </w:p>
    <w:p w:rsidR="001E3E2A" w:rsidRDefault="001A34B0" w:rsidP="001E3E2A">
      <w:proofErr w:type="gramStart"/>
      <w:r>
        <w:t>Parrish, D. J., and J. H. Fike.</w:t>
      </w:r>
      <w:proofErr w:type="gramEnd"/>
      <w:r>
        <w:t xml:space="preserve">  2005.  </w:t>
      </w:r>
      <w:r w:rsidR="001E3E2A" w:rsidRPr="00FF6393">
        <w:t xml:space="preserve">The Biology and </w:t>
      </w:r>
      <w:r w:rsidR="001E3E2A">
        <w:t>A</w:t>
      </w:r>
      <w:r w:rsidR="001E3E2A" w:rsidRPr="00FF6393">
        <w:t xml:space="preserve">gronomy of </w:t>
      </w:r>
      <w:r w:rsidR="001E3E2A">
        <w:t>S</w:t>
      </w:r>
      <w:r w:rsidR="001E3E2A" w:rsidRPr="00FF6393">
        <w:t xml:space="preserve">witchgrass for </w:t>
      </w:r>
      <w:r w:rsidR="005C0A3A">
        <w:tab/>
      </w:r>
      <w:r w:rsidR="001E3E2A">
        <w:t>B</w:t>
      </w:r>
      <w:r w:rsidR="001E3E2A" w:rsidRPr="00FF6393">
        <w:t xml:space="preserve">iofuels, </w:t>
      </w:r>
      <w:r w:rsidR="001E3E2A" w:rsidRPr="00C729B0">
        <w:rPr>
          <w:i/>
        </w:rPr>
        <w:t>Critical Reviews in Plant Science</w:t>
      </w:r>
      <w:r w:rsidR="005C0A3A">
        <w:t>s</w:t>
      </w:r>
      <w:r w:rsidR="001E3E2A" w:rsidRPr="00FF6393">
        <w:t xml:space="preserve"> 24(5-6), 423-</w:t>
      </w:r>
      <w:r w:rsidR="001E3E2A">
        <w:t>4</w:t>
      </w:r>
      <w:r w:rsidR="001E3E2A" w:rsidRPr="00FF6393">
        <w:t>59.</w:t>
      </w:r>
    </w:p>
    <w:p w:rsidR="001E3E2A" w:rsidRDefault="001E3E2A" w:rsidP="001E3E2A">
      <w:proofErr w:type="gramStart"/>
      <w:r>
        <w:t xml:space="preserve">Parton, W. J., M. P. </w:t>
      </w:r>
      <w:r w:rsidR="0050039E">
        <w:t>Gutmann</w:t>
      </w:r>
      <w:r>
        <w:t>, and W. R. Trav</w:t>
      </w:r>
      <w:r w:rsidR="00CA4077">
        <w:t>is.</w:t>
      </w:r>
      <w:proofErr w:type="gramEnd"/>
      <w:r w:rsidR="00CA4077">
        <w:t xml:space="preserve">  2003.  Sustainability and </w:t>
      </w:r>
      <w:r>
        <w:t xml:space="preserve">Historical </w:t>
      </w:r>
      <w:r w:rsidR="00CA4077">
        <w:tab/>
      </w:r>
      <w:r>
        <w:t xml:space="preserve">Land-Use Change in the Great Plains: The Case of Eastern </w:t>
      </w:r>
      <w:r>
        <w:tab/>
        <w:t xml:space="preserve">Colorado.  </w:t>
      </w:r>
      <w:r>
        <w:rPr>
          <w:i/>
        </w:rPr>
        <w:t xml:space="preserve">Great </w:t>
      </w:r>
      <w:r w:rsidR="00CA4077">
        <w:rPr>
          <w:i/>
        </w:rPr>
        <w:tab/>
      </w:r>
      <w:r>
        <w:rPr>
          <w:i/>
        </w:rPr>
        <w:t>Plains Research</w:t>
      </w:r>
      <w:r>
        <w:t xml:space="preserve"> 13(1): 97-125.</w:t>
      </w:r>
    </w:p>
    <w:p w:rsidR="001E3E2A" w:rsidRDefault="001E3E2A" w:rsidP="001E3E2A">
      <w:proofErr w:type="gramStart"/>
      <w:r>
        <w:t xml:space="preserve">Parton, W. J., M. P. </w:t>
      </w:r>
      <w:r w:rsidR="0050039E">
        <w:t>Gutmann</w:t>
      </w:r>
      <w:r>
        <w:t>, and D. Ojima.</w:t>
      </w:r>
      <w:proofErr w:type="gramEnd"/>
      <w:r>
        <w:t xml:space="preserve">  2007.  Long-Term Trends in </w:t>
      </w:r>
      <w:r w:rsidR="00CA4077">
        <w:t>Population,</w:t>
      </w:r>
      <w:r w:rsidR="00CA4077">
        <w:tab/>
      </w:r>
      <w:r>
        <w:t>Farm Income, and Crop P</w:t>
      </w:r>
      <w:r w:rsidR="00CA4077">
        <w:t xml:space="preserve">roduction in the Great Plains. </w:t>
      </w:r>
      <w:r>
        <w:rPr>
          <w:i/>
        </w:rPr>
        <w:t>Bioscience</w:t>
      </w:r>
      <w:r>
        <w:t xml:space="preserve"> 57(9): 737-</w:t>
      </w:r>
      <w:r w:rsidR="00CA4077">
        <w:tab/>
      </w:r>
      <w:r>
        <w:t>747.</w:t>
      </w:r>
    </w:p>
    <w:p w:rsidR="00E83CDD" w:rsidRDefault="00E83CDD" w:rsidP="001E3E2A"/>
    <w:p w:rsidR="00E83CDD" w:rsidRDefault="00E83CDD" w:rsidP="001E3E2A"/>
    <w:p w:rsidR="001E3E2A" w:rsidRDefault="001E3E2A" w:rsidP="001E3E2A">
      <w:r>
        <w:lastRenderedPageBreak/>
        <w:t xml:space="preserve">Pike, Z.  1810.  </w:t>
      </w:r>
      <w:r w:rsidRPr="004A18FA">
        <w:rPr>
          <w:i/>
        </w:rPr>
        <w:t xml:space="preserve">An Account of Expeditions to the Sources of the Mississippi, And </w:t>
      </w:r>
      <w:r>
        <w:rPr>
          <w:i/>
        </w:rPr>
        <w:tab/>
      </w:r>
      <w:r w:rsidRPr="004A18FA">
        <w:rPr>
          <w:i/>
        </w:rPr>
        <w:t xml:space="preserve">Though The Western Parts of Louisiana, to the Sources of the Arkansaw, Kans, </w:t>
      </w:r>
      <w:r>
        <w:rPr>
          <w:i/>
        </w:rPr>
        <w:tab/>
      </w:r>
      <w:r w:rsidRPr="004A18FA">
        <w:rPr>
          <w:i/>
        </w:rPr>
        <w:t xml:space="preserve">La Platte, and Pierre Jaun, Rivers; Performed By the Order of the </w:t>
      </w:r>
      <w:r>
        <w:rPr>
          <w:i/>
        </w:rPr>
        <w:tab/>
      </w:r>
      <w:r w:rsidRPr="004A18FA">
        <w:rPr>
          <w:i/>
        </w:rPr>
        <w:t xml:space="preserve">Government </w:t>
      </w:r>
      <w:r>
        <w:rPr>
          <w:i/>
        </w:rPr>
        <w:tab/>
      </w:r>
      <w:r w:rsidRPr="004A18FA">
        <w:rPr>
          <w:i/>
        </w:rPr>
        <w:t>of the United States During the Years 1805, 1806, and 1807.</w:t>
      </w:r>
      <w:r>
        <w:t xml:space="preserve">  Philadelphia: C.A. </w:t>
      </w:r>
      <w:r>
        <w:tab/>
        <w:t xml:space="preserve">Conrad &amp; Company.  </w:t>
      </w:r>
      <w:r w:rsidRPr="004A18FA">
        <w:t xml:space="preserve"> Available on-line at: </w:t>
      </w:r>
      <w:r w:rsidRPr="004A18FA">
        <w:tab/>
      </w:r>
      <w:r w:rsidRPr="00856337">
        <w:t>http://www.nebraskastudies.org/0400/media/0401_011005.pdf</w:t>
      </w:r>
      <w:r>
        <w:t xml:space="preserve">.  </w:t>
      </w:r>
      <w:r w:rsidRPr="004A18FA">
        <w:t xml:space="preserve">Last </w:t>
      </w:r>
      <w:r w:rsidR="00CA4077">
        <w:t>accessed</w:t>
      </w:r>
      <w:r>
        <w:tab/>
      </w:r>
      <w:r w:rsidRPr="004A18FA">
        <w:t xml:space="preserve">25 July 2013. </w:t>
      </w:r>
    </w:p>
    <w:p w:rsidR="001E3E2A" w:rsidRDefault="001E3E2A" w:rsidP="001E3E2A">
      <w:proofErr w:type="gramStart"/>
      <w:r>
        <w:t>Popper, D. E., and F. J. Popper.</w:t>
      </w:r>
      <w:proofErr w:type="gramEnd"/>
      <w:r>
        <w:t xml:space="preserve"> 1987.  Great Plains: From Dust to Dust.  </w:t>
      </w:r>
      <w:r>
        <w:rPr>
          <w:i/>
        </w:rPr>
        <w:t>Planning</w:t>
      </w:r>
      <w:r w:rsidR="00CA4077">
        <w:t xml:space="preserve"> </w:t>
      </w:r>
      <w:r w:rsidR="00CA4077">
        <w:tab/>
      </w:r>
      <w:r>
        <w:t>53(12): 12-18.</w:t>
      </w:r>
    </w:p>
    <w:p w:rsidR="001E3E2A" w:rsidRDefault="001E3E2A" w:rsidP="001E3E2A">
      <w:proofErr w:type="gramStart"/>
      <w:r>
        <w:t>Popper, D. E., and F. J. Popper.</w:t>
      </w:r>
      <w:proofErr w:type="gramEnd"/>
      <w:r>
        <w:t xml:space="preserve">  1999.  The Buffalo Commons: Metaphor as </w:t>
      </w:r>
      <w:r w:rsidR="00CA4077">
        <w:t>Method.</w:t>
      </w:r>
      <w:r w:rsidR="00CA4077">
        <w:tab/>
      </w:r>
      <w:r>
        <w:rPr>
          <w:i/>
        </w:rPr>
        <w:t>Geographical Review</w:t>
      </w:r>
      <w:r>
        <w:t xml:space="preserve"> 89(4): 491-510.</w:t>
      </w:r>
    </w:p>
    <w:p w:rsidR="001E3E2A" w:rsidRDefault="001E3E2A" w:rsidP="001E3E2A">
      <w:proofErr w:type="gramStart"/>
      <w:r>
        <w:t>Pop</w:t>
      </w:r>
      <w:r w:rsidR="003E57C2">
        <w:t>per, D. E., and F. J. Popper.</w:t>
      </w:r>
      <w:proofErr w:type="gramEnd"/>
      <w:r w:rsidR="003E57C2">
        <w:t xml:space="preserve">  </w:t>
      </w:r>
      <w:r>
        <w:t>2006.  The Onset of the Buffalo Commons.</w:t>
      </w:r>
      <w:r w:rsidR="00CA4077">
        <w:t xml:space="preserve">  </w:t>
      </w:r>
      <w:r w:rsidR="00CA4077">
        <w:rPr>
          <w:i/>
        </w:rPr>
        <w:t>Journal</w:t>
      </w:r>
      <w:r>
        <w:t xml:space="preserve">  </w:t>
      </w:r>
      <w:r>
        <w:tab/>
      </w:r>
      <w:r>
        <w:rPr>
          <w:i/>
        </w:rPr>
        <w:t>of the West</w:t>
      </w:r>
      <w:r>
        <w:t xml:space="preserve"> 48(4): 65-70.</w:t>
      </w:r>
    </w:p>
    <w:p w:rsidR="00142C70" w:rsidRDefault="001E3E2A" w:rsidP="001E3E2A">
      <w:proofErr w:type="gramStart"/>
      <w:r>
        <w:t>Porteous, J. D.</w:t>
      </w:r>
      <w:proofErr w:type="gramEnd"/>
      <w:r>
        <w:t xml:space="preserve">  1989.  </w:t>
      </w:r>
      <w:r>
        <w:rPr>
          <w:i/>
        </w:rPr>
        <w:t xml:space="preserve">Planned to Death: The Annihilation of a Place Called </w:t>
      </w:r>
      <w:r>
        <w:rPr>
          <w:i/>
        </w:rPr>
        <w:tab/>
        <w:t>Howdendyke</w:t>
      </w:r>
      <w:r>
        <w:t>.  Manchester: Manchester University Press.</w:t>
      </w:r>
    </w:p>
    <w:p w:rsidR="00142C70" w:rsidRPr="00142C70" w:rsidRDefault="00142C70" w:rsidP="00142C70">
      <w:pPr>
        <w:pStyle w:val="Default"/>
        <w:rPr>
          <w:rFonts w:ascii="Arial" w:hAnsi="Arial" w:cs="Arial"/>
        </w:rPr>
      </w:pPr>
      <w:proofErr w:type="gramStart"/>
      <w:r>
        <w:t>Reategui, S., and S. Tegen.</w:t>
      </w:r>
      <w:proofErr w:type="gramEnd"/>
      <w:r>
        <w:t xml:space="preserve">  2008.  </w:t>
      </w:r>
      <w:r w:rsidRPr="00142C70">
        <w:rPr>
          <w:rFonts w:asciiTheme="majorHAnsi" w:hAnsiTheme="majorHAnsi" w:cstheme="majorHAnsi"/>
          <w:i/>
        </w:rPr>
        <w:t xml:space="preserve">Economic Development Impacts of Colorado’s First </w:t>
      </w:r>
      <w:r>
        <w:rPr>
          <w:rFonts w:asciiTheme="majorHAnsi" w:hAnsiTheme="majorHAnsi" w:cstheme="majorHAnsi"/>
          <w:i/>
        </w:rPr>
        <w:tab/>
      </w:r>
      <w:r w:rsidRPr="00142C70">
        <w:rPr>
          <w:rFonts w:asciiTheme="majorHAnsi" w:hAnsiTheme="majorHAnsi" w:cstheme="majorHAnsi"/>
          <w:i/>
        </w:rPr>
        <w:t>1000 Megawatts of Wind Energy</w:t>
      </w:r>
      <w:r>
        <w:rPr>
          <w:rFonts w:ascii="Times New Roman" w:hAnsi="Times New Roman" w:cs="Arial"/>
          <w:color w:val="auto"/>
        </w:rPr>
        <w:t xml:space="preserve">.  </w:t>
      </w:r>
      <w:proofErr w:type="gramStart"/>
      <w:r>
        <w:rPr>
          <w:rFonts w:ascii="Times New Roman" w:hAnsi="Times New Roman" w:cs="Arial"/>
          <w:color w:val="auto"/>
        </w:rPr>
        <w:t xml:space="preserve">WINDPOWER 2008 Conference Paper </w:t>
      </w:r>
      <w:r>
        <w:rPr>
          <w:rFonts w:ascii="Times New Roman" w:hAnsi="Times New Roman" w:cs="Arial"/>
          <w:color w:val="auto"/>
        </w:rPr>
        <w:tab/>
      </w:r>
      <w:r w:rsidRPr="00142C70">
        <w:rPr>
          <w:rFonts w:asciiTheme="majorHAnsi" w:hAnsiTheme="majorHAnsi" w:cstheme="majorHAnsi"/>
          <w:bCs/>
        </w:rPr>
        <w:t>NREL/CP-500-43505</w:t>
      </w:r>
      <w:r>
        <w:rPr>
          <w:rFonts w:asciiTheme="majorHAnsi" w:hAnsiTheme="majorHAnsi" w:cstheme="majorHAnsi"/>
          <w:bCs/>
        </w:rPr>
        <w:t>.</w:t>
      </w:r>
      <w:proofErr w:type="gramEnd"/>
      <w:r>
        <w:rPr>
          <w:rFonts w:asciiTheme="majorHAnsi" w:hAnsiTheme="majorHAnsi" w:cstheme="majorHAnsi"/>
          <w:bCs/>
        </w:rPr>
        <w:t xml:space="preserve">  Available on-line at:</w:t>
      </w:r>
      <w:r w:rsidRPr="00142C70">
        <w:rPr>
          <w:rFonts w:ascii="Arial" w:hAnsi="Arial" w:cs="Arial"/>
          <w:b/>
          <w:bCs/>
          <w:sz w:val="23"/>
          <w:szCs w:val="23"/>
        </w:rPr>
        <w:t xml:space="preserve"> </w:t>
      </w:r>
      <w:r>
        <w:t xml:space="preserve"> </w:t>
      </w:r>
      <w:r>
        <w:tab/>
      </w:r>
      <w:r w:rsidR="00E824BB" w:rsidRPr="00E824BB">
        <w:rPr>
          <w:rFonts w:ascii="Times New Roman" w:hAnsi="Times New Roman" w:cs="Arial"/>
          <w:color w:val="auto"/>
        </w:rPr>
        <w:t>http://www.nrel.gov/docs/fy08osti/43505.pdf</w:t>
      </w:r>
      <w:r w:rsidR="00E824BB">
        <w:rPr>
          <w:rFonts w:ascii="Times New Roman" w:hAnsi="Times New Roman" w:cs="Arial"/>
          <w:color w:val="auto"/>
        </w:rPr>
        <w:t>.  Last accessed 1 September 2013.</w:t>
      </w:r>
      <w:r w:rsidRPr="00142C70">
        <w:rPr>
          <w:rFonts w:ascii="Times New Roman" w:hAnsi="Times New Roman" w:cs="Arial"/>
          <w:color w:val="auto"/>
        </w:rPr>
        <w:t xml:space="preserve"> </w:t>
      </w:r>
    </w:p>
    <w:p w:rsidR="00142C70" w:rsidRPr="00142C70" w:rsidRDefault="00142C70" w:rsidP="00142C70">
      <w:pPr>
        <w:autoSpaceDE w:val="0"/>
        <w:autoSpaceDN w:val="0"/>
        <w:adjustRightInd w:val="0"/>
        <w:spacing w:after="0"/>
        <w:rPr>
          <w:rFonts w:ascii="Arial" w:hAnsi="Arial"/>
          <w:color w:val="000000"/>
        </w:rPr>
      </w:pPr>
    </w:p>
    <w:p w:rsidR="001E3E2A" w:rsidRDefault="001E3E2A" w:rsidP="001E3E2A">
      <w:r>
        <w:t xml:space="preserve">Reisner, M.  1993.  </w:t>
      </w:r>
      <w:r>
        <w:rPr>
          <w:i/>
        </w:rPr>
        <w:t xml:space="preserve">Cadillac Desert: The American West and Its Disappearing </w:t>
      </w:r>
      <w:r w:rsidR="00CA4077">
        <w:rPr>
          <w:i/>
        </w:rPr>
        <w:t>Water.</w:t>
      </w:r>
      <w:r w:rsidR="00CA4077">
        <w:rPr>
          <w:i/>
        </w:rPr>
        <w:tab/>
      </w:r>
      <w:r w:rsidR="005C0A3A">
        <w:t>New York: Penguin Books.</w:t>
      </w:r>
    </w:p>
    <w:p w:rsidR="001E3E2A" w:rsidRDefault="001E3E2A" w:rsidP="001E3E2A">
      <w:proofErr w:type="gramStart"/>
      <w:r>
        <w:t>Rosenberg, N. J., and S. J. Smith.</w:t>
      </w:r>
      <w:proofErr w:type="gramEnd"/>
      <w:r>
        <w:t xml:space="preserve">  2009.  A Sustai</w:t>
      </w:r>
      <w:r w:rsidR="00CA4077">
        <w:t xml:space="preserve">nable Biomass Industry for the </w:t>
      </w:r>
      <w:r>
        <w:t xml:space="preserve">North </w:t>
      </w:r>
      <w:r>
        <w:tab/>
        <w:t xml:space="preserve">American Great Plains.  </w:t>
      </w:r>
      <w:r>
        <w:rPr>
          <w:i/>
        </w:rPr>
        <w:t xml:space="preserve">Current Opinion in Environmental Sustainability </w:t>
      </w:r>
      <w:r w:rsidRPr="001E3E2A">
        <w:t>1(2):</w:t>
      </w:r>
      <w:r>
        <w:rPr>
          <w:i/>
        </w:rPr>
        <w:t xml:space="preserve"> </w:t>
      </w:r>
      <w:r>
        <w:rPr>
          <w:i/>
        </w:rPr>
        <w:tab/>
      </w:r>
      <w:r>
        <w:t>121-132.</w:t>
      </w:r>
    </w:p>
    <w:p w:rsidR="001E3E2A" w:rsidRDefault="001E3E2A" w:rsidP="001E3E2A">
      <w:proofErr w:type="gramStart"/>
      <w:r>
        <w:t>Schubert, S. D., M. J. Suarez, P. J. Pegion, R. D. Koster, and J. T. Bacmeister.</w:t>
      </w:r>
      <w:proofErr w:type="gramEnd"/>
      <w:r>
        <w:t xml:space="preserve">  2004.  </w:t>
      </w:r>
      <w:r>
        <w:tab/>
        <w:t xml:space="preserve">Causes of Long-Term Drought in the US Great Plains.   </w:t>
      </w:r>
      <w:r>
        <w:rPr>
          <w:i/>
        </w:rPr>
        <w:t xml:space="preserve">Journal of </w:t>
      </w:r>
      <w:r>
        <w:rPr>
          <w:i/>
        </w:rPr>
        <w:tab/>
        <w:t>Climate</w:t>
      </w:r>
      <w:r>
        <w:t xml:space="preserve"> </w:t>
      </w:r>
      <w:r>
        <w:tab/>
        <w:t>17(3): 485-503.</w:t>
      </w:r>
    </w:p>
    <w:p w:rsidR="001E3E2A" w:rsidRDefault="001E3E2A" w:rsidP="001E3E2A">
      <w:proofErr w:type="gramStart"/>
      <w:r>
        <w:t>Schubert, S. D., M. J. Suarez, P. J. Pegion, R. D. Koster, and J. T. Bacmeister.</w:t>
      </w:r>
      <w:proofErr w:type="gramEnd"/>
      <w:r>
        <w:t xml:space="preserve">  2004.  </w:t>
      </w:r>
      <w:r>
        <w:tab/>
      </w:r>
      <w:proofErr w:type="gramStart"/>
      <w:r>
        <w:t>On</w:t>
      </w:r>
      <w:proofErr w:type="gramEnd"/>
      <w:r>
        <w:t xml:space="preserve"> the Cause of the 1930s Dust Bowl.  </w:t>
      </w:r>
      <w:r>
        <w:rPr>
          <w:i/>
        </w:rPr>
        <w:t>Science</w:t>
      </w:r>
      <w:r w:rsidR="00CA4077">
        <w:t xml:space="preserve"> 303(5665): 1855-</w:t>
      </w:r>
      <w:r>
        <w:t>1859.</w:t>
      </w:r>
    </w:p>
    <w:p w:rsidR="001E3E2A" w:rsidRDefault="001E3E2A" w:rsidP="001E3E2A">
      <w:r>
        <w:t>Scott, R.  1992.  The Big Open: A Plan for the Biggest Restoration Project</w:t>
      </w:r>
      <w:r w:rsidR="00CA4077">
        <w:t xml:space="preserve"> Anywhere. </w:t>
      </w:r>
      <w:r w:rsidR="00CA4077">
        <w:tab/>
      </w:r>
      <w:r>
        <w:rPr>
          <w:i/>
        </w:rPr>
        <w:t xml:space="preserve">Restoration and Management Notes </w:t>
      </w:r>
      <w:r>
        <w:t>10(1): 51-52.</w:t>
      </w:r>
    </w:p>
    <w:p w:rsidR="001E3E2A" w:rsidRDefault="001E3E2A" w:rsidP="001E3E2A">
      <w:proofErr w:type="gramStart"/>
      <w:r>
        <w:t>Seager, R., Y. Kushnir, C. Herweijer, N. Naik, and J. Velez.</w:t>
      </w:r>
      <w:proofErr w:type="gramEnd"/>
      <w:r>
        <w:t xml:space="preserve">  2005.  Modeling of </w:t>
      </w:r>
      <w:r>
        <w:tab/>
        <w:t xml:space="preserve">Tropical Forcing of Persistent Droughts and Pluvials over Western North </w:t>
      </w:r>
      <w:r>
        <w:tab/>
        <w:t>America: 1856-2000</w:t>
      </w:r>
      <w:r>
        <w:rPr>
          <w:i/>
        </w:rPr>
        <w:t>.  Journal of Climate</w:t>
      </w:r>
      <w:r>
        <w:t xml:space="preserve"> 18(19): 4065-88.</w:t>
      </w:r>
    </w:p>
    <w:p w:rsidR="001E3E2A" w:rsidRDefault="001E3E2A" w:rsidP="001E3E2A">
      <w:r>
        <w:t>Shortridge, J. R.  1988.  The Heart of the Prairie:</w:t>
      </w:r>
      <w:r w:rsidR="00CA4077">
        <w:t xml:space="preserve"> Culture Areas in the Southern </w:t>
      </w:r>
      <w:r>
        <w:t xml:space="preserve">and </w:t>
      </w:r>
      <w:r w:rsidR="005C0A3A">
        <w:tab/>
      </w:r>
      <w:r>
        <w:t xml:space="preserve">Northern Great Plains.  </w:t>
      </w:r>
      <w:r>
        <w:rPr>
          <w:i/>
        </w:rPr>
        <w:t>Great Plains Quarterly</w:t>
      </w:r>
      <w:r>
        <w:t xml:space="preserve"> 8(1): 206-221.</w:t>
      </w:r>
    </w:p>
    <w:p w:rsidR="005C0A3A" w:rsidRDefault="001E3E2A" w:rsidP="001E3E2A">
      <w:r>
        <w:lastRenderedPageBreak/>
        <w:t xml:space="preserve">Shortridge, J. R.  2004.  A Cry </w:t>
      </w:r>
      <w:proofErr w:type="gramStart"/>
      <w:r>
        <w:t>For</w:t>
      </w:r>
      <w:proofErr w:type="gramEnd"/>
      <w:r>
        <w:t xml:space="preserve"> Help: Kansasfreeland.com.  </w:t>
      </w:r>
      <w:r w:rsidR="005C0A3A">
        <w:rPr>
          <w:i/>
        </w:rPr>
        <w:t xml:space="preserve">Geographical </w:t>
      </w:r>
      <w:r>
        <w:rPr>
          <w:i/>
        </w:rPr>
        <w:t>Review</w:t>
      </w:r>
      <w:r>
        <w:t xml:space="preserve"> </w:t>
      </w:r>
      <w:r w:rsidR="005C0A3A">
        <w:tab/>
      </w:r>
      <w:r>
        <w:t>94(4): 530-540.</w:t>
      </w:r>
    </w:p>
    <w:p w:rsidR="002C4EC4" w:rsidRPr="002C4EC4" w:rsidRDefault="002C4EC4" w:rsidP="001E3E2A">
      <w:proofErr w:type="gramStart"/>
      <w:r>
        <w:t>Slattery, M. C., E. Lantz, and B. L. Johnson.</w:t>
      </w:r>
      <w:proofErr w:type="gramEnd"/>
      <w:r>
        <w:t xml:space="preserve">  2011.  State and Local Economic Impacts </w:t>
      </w:r>
      <w:r>
        <w:tab/>
        <w:t xml:space="preserve">from Wind Energy Projects: Texas Case Study.  </w:t>
      </w:r>
      <w:r w:rsidRPr="002C4EC4">
        <w:rPr>
          <w:i/>
        </w:rPr>
        <w:t>Energy Policy</w:t>
      </w:r>
      <w:r>
        <w:t xml:space="preserve"> 39(12): 7930-</w:t>
      </w:r>
      <w:r>
        <w:tab/>
        <w:t>7940.</w:t>
      </w:r>
    </w:p>
    <w:p w:rsidR="001E3E2A" w:rsidRDefault="001E3E2A" w:rsidP="001E3E2A">
      <w:r>
        <w:t>Sohl, T. L., B. M. Sleeter, K. L. Sayler, M. A. Bouchard, R. R. Reker, S. L.</w:t>
      </w:r>
      <w:r w:rsidR="00CA4077">
        <w:t xml:space="preserve"> Bennett,</w:t>
      </w:r>
      <w:r>
        <w:t xml:space="preserve"> </w:t>
      </w:r>
      <w:r>
        <w:tab/>
      </w:r>
      <w:r w:rsidR="00CA4077">
        <w:t xml:space="preserve">R. R. </w:t>
      </w:r>
      <w:r>
        <w:t>Sleeter, R. L. Kanengieter, a</w:t>
      </w:r>
      <w:r w:rsidR="00CA4077">
        <w:t xml:space="preserve">nd Z. L. Zhu. 2012.  Spatially </w:t>
      </w:r>
      <w:r>
        <w:t>Explicit Land-</w:t>
      </w:r>
      <w:r w:rsidR="00CA4077">
        <w:tab/>
      </w:r>
      <w:r>
        <w:t>Use and Land-</w:t>
      </w:r>
      <w:r>
        <w:tab/>
        <w:t>Cover Scenari</w:t>
      </w:r>
      <w:r w:rsidR="00291DC4">
        <w:t xml:space="preserve">os for the Great Plains of the </w:t>
      </w:r>
      <w:r>
        <w:t xml:space="preserve">United States.  </w:t>
      </w:r>
      <w:r w:rsidR="00CA4077">
        <w:tab/>
      </w:r>
      <w:r>
        <w:rPr>
          <w:i/>
        </w:rPr>
        <w:t>Agriculture Ecosystems &amp; Environment</w:t>
      </w:r>
      <w:r w:rsidR="005C0A3A">
        <w:t xml:space="preserve"> 153(1): 1-15.</w:t>
      </w:r>
    </w:p>
    <w:p w:rsidR="001E3E2A" w:rsidRDefault="001E3E2A" w:rsidP="001E3E2A">
      <w:r>
        <w:t xml:space="preserve">Stegner, W.  1954.  </w:t>
      </w:r>
      <w:proofErr w:type="gramStart"/>
      <w:r>
        <w:rPr>
          <w:i/>
        </w:rPr>
        <w:t>Beyond</w:t>
      </w:r>
      <w:proofErr w:type="gramEnd"/>
      <w:r>
        <w:rPr>
          <w:i/>
        </w:rPr>
        <w:t xml:space="preserve"> the Hundredth Meridian: John Wesley Powell and the </w:t>
      </w:r>
      <w:r>
        <w:rPr>
          <w:i/>
        </w:rPr>
        <w:tab/>
        <w:t>Second Opening of the West</w:t>
      </w:r>
      <w:r w:rsidR="005C0A3A">
        <w:t>. Boston: Houghton Mifflin.</w:t>
      </w:r>
    </w:p>
    <w:p w:rsidR="001E3E2A" w:rsidRDefault="001E3E2A" w:rsidP="001E3E2A">
      <w:proofErr w:type="gramStart"/>
      <w:r>
        <w:t>Stout, J. E., and J. A. Lee.</w:t>
      </w:r>
      <w:proofErr w:type="gramEnd"/>
      <w:r>
        <w:t xml:space="preserve">  2003.  Indirect Evid</w:t>
      </w:r>
      <w:r w:rsidR="0020302C">
        <w:t xml:space="preserve">ence of Wind Erosion Trends on </w:t>
      </w:r>
      <w:r>
        <w:t xml:space="preserve">the </w:t>
      </w:r>
      <w:r w:rsidR="005C0A3A">
        <w:tab/>
      </w:r>
      <w:r>
        <w:t xml:space="preserve">Southern High Plains of North America.  </w:t>
      </w:r>
      <w:r w:rsidR="005C0A3A">
        <w:rPr>
          <w:i/>
        </w:rPr>
        <w:t xml:space="preserve">Journal of Arid </w:t>
      </w:r>
      <w:r>
        <w:rPr>
          <w:i/>
        </w:rPr>
        <w:t>Environments</w:t>
      </w:r>
      <w:r>
        <w:t xml:space="preserve"> 55(1): </w:t>
      </w:r>
      <w:r w:rsidR="005C0A3A">
        <w:tab/>
        <w:t>43-61.</w:t>
      </w:r>
    </w:p>
    <w:p w:rsidR="001E3E2A" w:rsidRDefault="001E3E2A" w:rsidP="001E3E2A">
      <w:r>
        <w:t xml:space="preserve">Thomas, C. 1873.  </w:t>
      </w:r>
      <w:proofErr w:type="gramStart"/>
      <w:r>
        <w:t>Agriculture of Colorado.</w:t>
      </w:r>
      <w:proofErr w:type="gramEnd"/>
      <w:r>
        <w:t xml:space="preserve">  In </w:t>
      </w:r>
      <w:r>
        <w:rPr>
          <w:i/>
        </w:rPr>
        <w:t xml:space="preserve">Geological and Geographical </w:t>
      </w:r>
      <w:r w:rsidR="00CA4077">
        <w:rPr>
          <w:i/>
        </w:rPr>
        <w:t>Survey</w:t>
      </w:r>
      <w:r w:rsidR="00CA4077">
        <w:rPr>
          <w:i/>
        </w:rPr>
        <w:tab/>
      </w:r>
      <w:r>
        <w:rPr>
          <w:i/>
        </w:rPr>
        <w:t>of the Territories 6th Annual Report</w:t>
      </w:r>
      <w:r w:rsidR="005C0A3A">
        <w:t xml:space="preserve">, edited by F. V. </w:t>
      </w:r>
      <w:r w:rsidR="00CA4077">
        <w:t xml:space="preserve">Hayden, 229-251.  </w:t>
      </w:r>
      <w:r w:rsidR="00CA4077">
        <w:tab/>
      </w:r>
      <w:r>
        <w:t>Washingt</w:t>
      </w:r>
      <w:r w:rsidR="005C0A3A">
        <w:t>on: Government Printing Office.</w:t>
      </w:r>
    </w:p>
    <w:p w:rsidR="001E3E2A" w:rsidRDefault="001E3E2A" w:rsidP="001E3E2A">
      <w:proofErr w:type="gramStart"/>
      <w:r>
        <w:t>U.S. Global Change Research Program.</w:t>
      </w:r>
      <w:proofErr w:type="gramEnd"/>
      <w:r>
        <w:t xml:space="preserve">  2009.  </w:t>
      </w:r>
      <w:r w:rsidRPr="00FE739C">
        <w:rPr>
          <w:i/>
        </w:rPr>
        <w:t xml:space="preserve">Global Change Impacts in the </w:t>
      </w:r>
      <w:r w:rsidR="00CA4077">
        <w:rPr>
          <w:i/>
        </w:rPr>
        <w:t>United</w:t>
      </w:r>
      <w:r w:rsidRPr="00FE739C">
        <w:rPr>
          <w:i/>
        </w:rPr>
        <w:tab/>
        <w:t>States</w:t>
      </w:r>
      <w:r>
        <w:t>.  New York: Cambrid</w:t>
      </w:r>
      <w:r w:rsidR="005C0A3A">
        <w:t>ge University Press.</w:t>
      </w:r>
    </w:p>
    <w:p w:rsidR="001E3E2A" w:rsidRDefault="001E3E2A" w:rsidP="001E3E2A">
      <w:r>
        <w:t xml:space="preserve">Wahl, K. L., R. L. Tortorelli.  1997.  </w:t>
      </w:r>
      <w:r>
        <w:rPr>
          <w:i/>
        </w:rPr>
        <w:t xml:space="preserve">Changes in Flow in the Beaver-North </w:t>
      </w:r>
      <w:r w:rsidR="003E57C2">
        <w:rPr>
          <w:i/>
        </w:rPr>
        <w:t xml:space="preserve">Canadian </w:t>
      </w:r>
      <w:r>
        <w:rPr>
          <w:i/>
        </w:rPr>
        <w:tab/>
        <w:t xml:space="preserve">River Basin Upstream from </w:t>
      </w:r>
      <w:r w:rsidR="003E57C2">
        <w:rPr>
          <w:i/>
        </w:rPr>
        <w:t xml:space="preserve">Canton Lake, Western Oklahoma, </w:t>
      </w:r>
      <w:r>
        <w:rPr>
          <w:i/>
        </w:rPr>
        <w:t xml:space="preserve">Water-Resources </w:t>
      </w:r>
      <w:r w:rsidR="003E57C2">
        <w:rPr>
          <w:i/>
        </w:rPr>
        <w:tab/>
      </w:r>
      <w:r>
        <w:rPr>
          <w:i/>
        </w:rPr>
        <w:t>Investigations Report 96-4304</w:t>
      </w:r>
      <w:r w:rsidR="005C0A3A">
        <w:t xml:space="preserve">. Oklahoma City: </w:t>
      </w:r>
      <w:r>
        <w:t xml:space="preserve">U.S. </w:t>
      </w:r>
      <w:r w:rsidR="005C0A3A">
        <w:t>Geological Survey.</w:t>
      </w:r>
    </w:p>
    <w:p w:rsidR="001E3E2A" w:rsidRDefault="001E3E2A" w:rsidP="001E3E2A">
      <w:proofErr w:type="gramStart"/>
      <w:r>
        <w:t>Wallach, B. 1985.</w:t>
      </w:r>
      <w:proofErr w:type="gramEnd"/>
      <w:r>
        <w:t xml:space="preserve">  </w:t>
      </w:r>
      <w:proofErr w:type="gramStart"/>
      <w:r>
        <w:t>The Return of the Prairie.</w:t>
      </w:r>
      <w:proofErr w:type="gramEnd"/>
      <w:r>
        <w:t xml:space="preserve">  </w:t>
      </w:r>
      <w:r>
        <w:rPr>
          <w:i/>
        </w:rPr>
        <w:t>Landscape</w:t>
      </w:r>
      <w:r w:rsidR="005C0A3A">
        <w:t xml:space="preserve"> 28(3): 1-5.</w:t>
      </w:r>
    </w:p>
    <w:p w:rsidR="001E3E2A" w:rsidRDefault="001E3E2A" w:rsidP="001E3E2A">
      <w:r>
        <w:t xml:space="preserve">Webb, W. P. 1931.  </w:t>
      </w:r>
      <w:proofErr w:type="gramStart"/>
      <w:r>
        <w:rPr>
          <w:i/>
        </w:rPr>
        <w:t>The Great Plains</w:t>
      </w:r>
      <w:r>
        <w:t>.</w:t>
      </w:r>
      <w:proofErr w:type="gramEnd"/>
      <w:r>
        <w:t xml:space="preserve"> </w:t>
      </w:r>
      <w:r w:rsidR="005C0A3A">
        <w:t xml:space="preserve"> Boston: Ginn and Company 1931.</w:t>
      </w:r>
    </w:p>
    <w:p w:rsidR="001E3E2A" w:rsidRDefault="001E3E2A" w:rsidP="001E3E2A">
      <w:r>
        <w:t xml:space="preserve">White, R. 2011.  </w:t>
      </w:r>
      <w:proofErr w:type="gramStart"/>
      <w:r>
        <w:rPr>
          <w:i/>
        </w:rPr>
        <w:t xml:space="preserve">Railroaded: the Transcontinentals and the Making of Modern </w:t>
      </w:r>
      <w:r>
        <w:rPr>
          <w:i/>
        </w:rPr>
        <w:tab/>
        <w:t>America</w:t>
      </w:r>
      <w:r>
        <w:t>.</w:t>
      </w:r>
      <w:proofErr w:type="gramEnd"/>
      <w:r>
        <w:t xml:space="preserve">  New York: W. W. Norton &amp; Company.</w:t>
      </w:r>
    </w:p>
    <w:p w:rsidR="001E3E2A" w:rsidRDefault="001E3E2A" w:rsidP="001E3E2A">
      <w:r>
        <w:t xml:space="preserve">White, S. E.  1994.  Ogallala Oases - Water-Use, Population Redistribution, and </w:t>
      </w:r>
      <w:r w:rsidR="00CA4077">
        <w:t>Policy</w:t>
      </w:r>
      <w:r>
        <w:tab/>
        <w:t xml:space="preserve">Implications in the High-Plains of Western Kansas, </w:t>
      </w:r>
      <w:r w:rsidR="00CA4077">
        <w:t xml:space="preserve">1980-1990.  </w:t>
      </w:r>
      <w:r>
        <w:rPr>
          <w:i/>
        </w:rPr>
        <w:t xml:space="preserve">Annals of the </w:t>
      </w:r>
      <w:r w:rsidR="00CA4077">
        <w:rPr>
          <w:i/>
        </w:rPr>
        <w:tab/>
      </w:r>
      <w:r>
        <w:rPr>
          <w:i/>
        </w:rPr>
        <w:t>Association of American Geographers</w:t>
      </w:r>
      <w:r w:rsidR="005C0A3A">
        <w:t xml:space="preserve"> 84(1): 29-45.</w:t>
      </w:r>
    </w:p>
    <w:p w:rsidR="001E3E2A" w:rsidRDefault="001E3E2A" w:rsidP="001E3E2A">
      <w:r>
        <w:t xml:space="preserve">Wilber, C. D. 1881.  </w:t>
      </w:r>
      <w:proofErr w:type="gramStart"/>
      <w:r>
        <w:rPr>
          <w:i/>
        </w:rPr>
        <w:t>The Great Valleys and Prairies of Nebraska and the Northwest</w:t>
      </w:r>
      <w:r>
        <w:t>.</w:t>
      </w:r>
      <w:proofErr w:type="gramEnd"/>
      <w:r>
        <w:t xml:space="preserve"> </w:t>
      </w:r>
      <w:r w:rsidR="005C0A3A">
        <w:tab/>
        <w:t>Omaha: Daily Republican Print.</w:t>
      </w:r>
    </w:p>
    <w:p w:rsidR="001E3E2A" w:rsidRDefault="001E3E2A" w:rsidP="001E3E2A">
      <w:r>
        <w:t xml:space="preserve">Wilson, S. G. 2009.  </w:t>
      </w:r>
      <w:r>
        <w:rPr>
          <w:i/>
        </w:rPr>
        <w:t>Population Dynamics of the Great Plains: 1950 to 2007</w:t>
      </w:r>
      <w:r w:rsidR="00CA4077">
        <w:t>.  Suitland,</w:t>
      </w:r>
      <w:r>
        <w:t xml:space="preserve"> </w:t>
      </w:r>
      <w:r w:rsidR="00CA4077">
        <w:tab/>
      </w:r>
      <w:r>
        <w:t>MD: U.S. Census Bureau.</w:t>
      </w:r>
    </w:p>
    <w:p w:rsidR="001E3E2A" w:rsidRDefault="001E3E2A" w:rsidP="001E3E2A">
      <w:r>
        <w:t xml:space="preserve">Wood, R. E. 2008.  </w:t>
      </w:r>
      <w:r>
        <w:rPr>
          <w:i/>
        </w:rPr>
        <w:t>Survival of Rural Ameri</w:t>
      </w:r>
      <w:r w:rsidR="00291DC4">
        <w:rPr>
          <w:i/>
        </w:rPr>
        <w:t xml:space="preserve">ca: Small Victories and Bitter </w:t>
      </w:r>
      <w:r>
        <w:rPr>
          <w:i/>
        </w:rPr>
        <w:t>Harvests</w:t>
      </w:r>
      <w:r>
        <w:t xml:space="preserve">.  </w:t>
      </w:r>
      <w:r w:rsidR="005C0A3A">
        <w:tab/>
      </w:r>
      <w:r>
        <w:t xml:space="preserve">Lawrence, </w:t>
      </w:r>
      <w:r w:rsidR="005C0A3A">
        <w:t>KS: University Press of Kansas.</w:t>
      </w:r>
    </w:p>
    <w:p w:rsidR="001E3E2A" w:rsidRDefault="001E3E2A" w:rsidP="001E3E2A">
      <w:r>
        <w:lastRenderedPageBreak/>
        <w:t xml:space="preserve">Woodhouse, C.  2003.  Droughts of the Past, Implications for the Future?  In: </w:t>
      </w:r>
      <w:r>
        <w:rPr>
          <w:i/>
        </w:rPr>
        <w:t xml:space="preserve">The </w:t>
      </w:r>
      <w:r>
        <w:rPr>
          <w:i/>
        </w:rPr>
        <w:tab/>
        <w:t>Future of the Southern Plains</w:t>
      </w:r>
      <w:r>
        <w:t>, edited by</w:t>
      </w:r>
      <w:r w:rsidR="005C0A3A">
        <w:t xml:space="preserve"> S. J. Smith, 95-113.  Norman, </w:t>
      </w:r>
      <w:r>
        <w:t xml:space="preserve">OK: </w:t>
      </w:r>
      <w:r w:rsidR="005C0A3A">
        <w:tab/>
      </w:r>
      <w:r>
        <w:t>University of Oklahoma Press.</w:t>
      </w:r>
    </w:p>
    <w:p w:rsidR="005C0A3A" w:rsidRDefault="001E3E2A" w:rsidP="003E57C2">
      <w:proofErr w:type="gramStart"/>
      <w:r>
        <w:t>Worster, D.</w:t>
      </w:r>
      <w:proofErr w:type="gramEnd"/>
      <w:r>
        <w:t xml:space="preserve">  1979.  </w:t>
      </w:r>
      <w:r w:rsidRPr="005F4D0C">
        <w:rPr>
          <w:i/>
        </w:rPr>
        <w:t>Dust Bowl: The Southern Plains in the 1930s</w:t>
      </w:r>
      <w:r>
        <w:t xml:space="preserve">.  New York: </w:t>
      </w:r>
      <w:r w:rsidR="00291DC4">
        <w:t>Oxford.</w:t>
      </w:r>
    </w:p>
    <w:p w:rsidR="005C0A3A" w:rsidRDefault="005C0A3A" w:rsidP="005C0A3A">
      <w:pPr>
        <w:spacing w:line="480" w:lineRule="auto"/>
        <w:jc w:val="both"/>
      </w:pPr>
    </w:p>
    <w:p w:rsidR="005C0A3A" w:rsidRDefault="005C0A3A">
      <w:pPr>
        <w:rPr>
          <w:b/>
        </w:rPr>
      </w:pPr>
      <w:r>
        <w:rPr>
          <w:b/>
        </w:rPr>
        <w:br w:type="page"/>
      </w:r>
    </w:p>
    <w:p w:rsidR="00CD20B4" w:rsidRPr="00B84325" w:rsidRDefault="00CD20B4" w:rsidP="000D5404">
      <w:pPr>
        <w:pStyle w:val="Heading1"/>
        <w:jc w:val="center"/>
        <w:rPr>
          <w:szCs w:val="28"/>
        </w:rPr>
      </w:pPr>
      <w:bookmarkStart w:id="81" w:name="_Toc364501640"/>
      <w:bookmarkStart w:id="82" w:name="_Toc368046171"/>
      <w:r w:rsidRPr="00CE05DE">
        <w:rPr>
          <w:sz w:val="28"/>
          <w:szCs w:val="28"/>
        </w:rPr>
        <w:lastRenderedPageBreak/>
        <w:t xml:space="preserve">Chapter </w:t>
      </w:r>
      <w:r>
        <w:rPr>
          <w:sz w:val="28"/>
          <w:szCs w:val="28"/>
        </w:rPr>
        <w:t>3</w:t>
      </w:r>
      <w:r w:rsidRPr="00CE05DE">
        <w:rPr>
          <w:sz w:val="28"/>
          <w:szCs w:val="28"/>
        </w:rPr>
        <w:t>: Simulating the hydrologic response of a semiarid watershed to switchgrass cultivation</w:t>
      </w:r>
      <w:bookmarkEnd w:id="81"/>
      <w:bookmarkEnd w:id="82"/>
    </w:p>
    <w:p w:rsidR="00CD20B4" w:rsidRPr="00885CDF" w:rsidRDefault="00885CDF" w:rsidP="00885CDF">
      <w:pPr>
        <w:spacing w:line="480" w:lineRule="auto"/>
        <w:jc w:val="center"/>
        <w:rPr>
          <w:rFonts w:asciiTheme="majorHAnsi" w:hAnsiTheme="majorHAnsi" w:cstheme="majorHAnsi"/>
          <w:lang w:val="en-GB" w:eastAsia="en-GB"/>
        </w:rPr>
      </w:pPr>
      <w:r>
        <w:rPr>
          <w:lang w:val="en-GB" w:eastAsia="en-GB"/>
        </w:rPr>
        <w:t>(</w:t>
      </w:r>
      <w:r w:rsidRPr="00885CDF">
        <w:rPr>
          <w:lang w:val="en-GB" w:eastAsia="en-GB"/>
        </w:rPr>
        <w:t xml:space="preserve">Reprinted from </w:t>
      </w:r>
      <w:r w:rsidRPr="007D2732">
        <w:rPr>
          <w:i/>
          <w:lang w:val="en-GB" w:eastAsia="en-GB"/>
        </w:rPr>
        <w:t>Hydrology Research</w:t>
      </w:r>
      <w:r w:rsidRPr="00885CDF">
        <w:rPr>
          <w:lang w:val="en-GB" w:eastAsia="en-GB"/>
        </w:rPr>
        <w:t xml:space="preserve">, </w:t>
      </w:r>
      <w:r>
        <w:rPr>
          <w:lang w:val="en-GB" w:eastAsia="en-GB"/>
        </w:rPr>
        <w:t>V</w:t>
      </w:r>
      <w:r w:rsidRPr="00885CDF">
        <w:rPr>
          <w:lang w:val="en-GB" w:eastAsia="en-GB"/>
        </w:rPr>
        <w:t xml:space="preserve">olume </w:t>
      </w:r>
      <w:r>
        <w:rPr>
          <w:lang w:val="en-GB" w:eastAsia="en-GB"/>
        </w:rPr>
        <w:t>44</w:t>
      </w:r>
      <w:r w:rsidRPr="00885CDF">
        <w:rPr>
          <w:lang w:val="en-GB" w:eastAsia="en-GB"/>
        </w:rPr>
        <w:t xml:space="preserve">, </w:t>
      </w:r>
      <w:r>
        <w:rPr>
          <w:lang w:val="en-GB" w:eastAsia="en-GB"/>
        </w:rPr>
        <w:t>I</w:t>
      </w:r>
      <w:r w:rsidRPr="00885CDF">
        <w:rPr>
          <w:lang w:val="en-GB" w:eastAsia="en-GB"/>
        </w:rPr>
        <w:t xml:space="preserve">ssue </w:t>
      </w:r>
      <w:r>
        <w:rPr>
          <w:lang w:val="en-GB" w:eastAsia="en-GB"/>
        </w:rPr>
        <w:t>6</w:t>
      </w:r>
      <w:r w:rsidRPr="00885CDF">
        <w:rPr>
          <w:lang w:val="en-GB" w:eastAsia="en-GB"/>
        </w:rPr>
        <w:t xml:space="preserve">, </w:t>
      </w:r>
      <w:r>
        <w:rPr>
          <w:lang w:val="en-GB" w:eastAsia="en-GB"/>
        </w:rPr>
        <w:t xml:space="preserve">doi </w:t>
      </w:r>
      <w:r w:rsidRPr="00885CDF">
        <w:rPr>
          <w:rFonts w:asciiTheme="majorHAnsi" w:hAnsiTheme="majorHAnsi" w:cstheme="majorHAnsi"/>
          <w:color w:val="000000"/>
          <w:shd w:val="clear" w:color="auto" w:fill="FFFFFF"/>
        </w:rPr>
        <w:t>10.2166/nh.2013.163</w:t>
      </w:r>
      <w:r w:rsidRPr="00885CDF">
        <w:rPr>
          <w:rFonts w:asciiTheme="majorHAnsi" w:hAnsiTheme="majorHAnsi" w:cstheme="majorHAnsi"/>
          <w:lang w:val="en-GB" w:eastAsia="en-GB"/>
        </w:rPr>
        <w:t xml:space="preserve">, with </w:t>
      </w:r>
      <w:r w:rsidR="007D2732">
        <w:rPr>
          <w:rFonts w:asciiTheme="majorHAnsi" w:hAnsiTheme="majorHAnsi" w:cstheme="majorHAnsi"/>
          <w:lang w:val="en-GB" w:eastAsia="en-GB"/>
        </w:rPr>
        <w:t xml:space="preserve">permission </w:t>
      </w:r>
      <w:r w:rsidRPr="00885CDF">
        <w:rPr>
          <w:rFonts w:asciiTheme="majorHAnsi" w:hAnsiTheme="majorHAnsi" w:cstheme="majorHAnsi"/>
          <w:lang w:val="en-GB" w:eastAsia="en-GB"/>
        </w:rPr>
        <w:t>from the cop</w:t>
      </w:r>
      <w:r w:rsidR="00940D00">
        <w:rPr>
          <w:rFonts w:asciiTheme="majorHAnsi" w:hAnsiTheme="majorHAnsi" w:cstheme="majorHAnsi"/>
          <w:lang w:val="en-GB" w:eastAsia="en-GB"/>
        </w:rPr>
        <w:t>yright holders, IWA Publishing</w:t>
      </w:r>
      <w:r w:rsidRPr="00885CDF">
        <w:rPr>
          <w:rFonts w:asciiTheme="majorHAnsi" w:hAnsiTheme="majorHAnsi" w:cstheme="majorHAnsi"/>
          <w:lang w:val="en-GB" w:eastAsia="en-GB"/>
        </w:rPr>
        <w:t>)</w:t>
      </w:r>
    </w:p>
    <w:p w:rsidR="00DB453C" w:rsidRPr="00DB453C" w:rsidRDefault="00CD20B4" w:rsidP="00DB453C">
      <w:pPr>
        <w:pStyle w:val="Authornames"/>
        <w:jc w:val="center"/>
        <w:rPr>
          <w:sz w:val="24"/>
          <w:vertAlign w:val="superscript"/>
        </w:rPr>
      </w:pPr>
      <w:r w:rsidRPr="004F0EDA">
        <w:rPr>
          <w:sz w:val="24"/>
        </w:rPr>
        <w:t>Justin C. Goldstein</w:t>
      </w:r>
      <w:r w:rsidR="00DB453C">
        <w:rPr>
          <w:sz w:val="24"/>
          <w:vertAlign w:val="superscript"/>
        </w:rPr>
        <w:t>*</w:t>
      </w:r>
      <w:r>
        <w:rPr>
          <w:rStyle w:val="FootnoteReference"/>
          <w:rFonts w:eastAsiaTheme="minorEastAsia"/>
          <w:sz w:val="24"/>
        </w:rPr>
        <w:footnoteReference w:id="1"/>
      </w:r>
      <w:r w:rsidRPr="004F0EDA">
        <w:rPr>
          <w:sz w:val="24"/>
        </w:rPr>
        <w:t>, Aondover</w:t>
      </w:r>
      <w:r>
        <w:rPr>
          <w:sz w:val="24"/>
        </w:rPr>
        <w:t xml:space="preserve"> </w:t>
      </w:r>
      <w:r w:rsidRPr="004F0EDA">
        <w:rPr>
          <w:sz w:val="24"/>
        </w:rPr>
        <w:t>Tarhule</w:t>
      </w:r>
      <w:r>
        <w:rPr>
          <w:sz w:val="24"/>
          <w:vertAlign w:val="superscript"/>
        </w:rPr>
        <w:t>1</w:t>
      </w:r>
      <w:r w:rsidRPr="004F0EDA">
        <w:rPr>
          <w:sz w:val="24"/>
        </w:rPr>
        <w:t xml:space="preserve">, </w:t>
      </w:r>
      <w:r>
        <w:rPr>
          <w:sz w:val="24"/>
        </w:rPr>
        <w:t xml:space="preserve">and </w:t>
      </w:r>
      <w:r w:rsidRPr="004F0EDA">
        <w:rPr>
          <w:sz w:val="24"/>
        </w:rPr>
        <w:t>David Brauer</w:t>
      </w:r>
      <w:r>
        <w:rPr>
          <w:sz w:val="24"/>
          <w:vertAlign w:val="superscript"/>
        </w:rPr>
        <w:t>2</w:t>
      </w:r>
    </w:p>
    <w:p w:rsidR="00DB453C" w:rsidRPr="00051202" w:rsidRDefault="00DB453C" w:rsidP="00DB453C">
      <w:pPr>
        <w:rPr>
          <w:bCs/>
        </w:rPr>
      </w:pPr>
    </w:p>
    <w:p w:rsidR="00DB453C" w:rsidRPr="00051202" w:rsidRDefault="00DB453C" w:rsidP="00DB453C">
      <w:pPr>
        <w:rPr>
          <w:bCs/>
        </w:rPr>
      </w:pPr>
      <w:r w:rsidRPr="00051202">
        <w:rPr>
          <w:bCs/>
          <w:vertAlign w:val="superscript"/>
        </w:rPr>
        <w:t>1</w:t>
      </w:r>
      <w:r w:rsidRPr="00051202">
        <w:rPr>
          <w:bCs/>
        </w:rPr>
        <w:t>Department of Geography and Environmental Sustainability</w:t>
      </w:r>
    </w:p>
    <w:p w:rsidR="00DB453C" w:rsidRPr="00051202" w:rsidRDefault="00DB453C" w:rsidP="00DB453C">
      <w:pPr>
        <w:rPr>
          <w:bCs/>
        </w:rPr>
      </w:pPr>
      <w:r w:rsidRPr="00051202">
        <w:rPr>
          <w:bCs/>
        </w:rPr>
        <w:t>University of Oklahoma</w:t>
      </w:r>
    </w:p>
    <w:p w:rsidR="00DB453C" w:rsidRPr="00051202" w:rsidRDefault="00DB453C" w:rsidP="00DB453C">
      <w:pPr>
        <w:rPr>
          <w:bCs/>
        </w:rPr>
      </w:pPr>
      <w:r w:rsidRPr="00051202">
        <w:rPr>
          <w:bCs/>
        </w:rPr>
        <w:t>100 E. Boyd Street SEC Suite 510</w:t>
      </w:r>
    </w:p>
    <w:p w:rsidR="00DB453C" w:rsidRPr="00051202" w:rsidRDefault="00DB453C" w:rsidP="00DB453C">
      <w:pPr>
        <w:rPr>
          <w:bCs/>
        </w:rPr>
      </w:pPr>
      <w:r w:rsidRPr="00051202">
        <w:rPr>
          <w:bCs/>
        </w:rPr>
        <w:t>Norman, OK 73019 USA</w:t>
      </w:r>
    </w:p>
    <w:p w:rsidR="00DB453C" w:rsidRPr="00051202" w:rsidRDefault="00DB453C" w:rsidP="00DB453C">
      <w:pPr>
        <w:rPr>
          <w:bCs/>
        </w:rPr>
      </w:pPr>
      <w:r>
        <w:rPr>
          <w:bCs/>
        </w:rPr>
        <w:t>+1</w:t>
      </w:r>
      <w:r w:rsidRPr="00051202">
        <w:rPr>
          <w:bCs/>
        </w:rPr>
        <w:t>(405) 325-5325 phone</w:t>
      </w:r>
    </w:p>
    <w:p w:rsidR="00DB453C" w:rsidRDefault="00DB453C" w:rsidP="00DB453C">
      <w:pPr>
        <w:rPr>
          <w:bCs/>
        </w:rPr>
      </w:pPr>
      <w:r>
        <w:rPr>
          <w:bCs/>
        </w:rPr>
        <w:t>+1</w:t>
      </w:r>
      <w:r w:rsidRPr="00051202">
        <w:rPr>
          <w:bCs/>
        </w:rPr>
        <w:t>(405) 325-6090 FAX</w:t>
      </w:r>
    </w:p>
    <w:p w:rsidR="00DB453C" w:rsidRPr="00051202" w:rsidRDefault="00DB453C" w:rsidP="00DB453C">
      <w:pPr>
        <w:rPr>
          <w:bCs/>
        </w:rPr>
      </w:pPr>
    </w:p>
    <w:p w:rsidR="00CD20B4" w:rsidRDefault="00CD20B4" w:rsidP="000D5404">
      <w:pPr>
        <w:pStyle w:val="NormalWeb"/>
      </w:pPr>
      <w:proofErr w:type="gramStart"/>
      <w:r w:rsidRPr="00347207">
        <w:rPr>
          <w:vertAlign w:val="superscript"/>
          <w:lang w:val="en-GB"/>
        </w:rPr>
        <w:t>2</w:t>
      </w:r>
      <w:r>
        <w:rPr>
          <w:lang w:val="en-GB"/>
        </w:rPr>
        <w:t>Ogallala Aquifer Program.</w:t>
      </w:r>
      <w:proofErr w:type="gramEnd"/>
    </w:p>
    <w:p w:rsidR="00CD20B4" w:rsidRDefault="00CD20B4" w:rsidP="00DB453C">
      <w:pPr>
        <w:pStyle w:val="NormalWeb"/>
      </w:pPr>
      <w:r>
        <w:rPr>
          <w:lang w:val="en-GB"/>
        </w:rPr>
        <w:t>Conservation and Production Research Laboratory,</w:t>
      </w:r>
    </w:p>
    <w:p w:rsidR="00CD20B4" w:rsidRDefault="00CD20B4" w:rsidP="00DB453C">
      <w:pPr>
        <w:pStyle w:val="NormalWeb"/>
      </w:pPr>
      <w:r>
        <w:rPr>
          <w:lang w:val="en-GB"/>
        </w:rPr>
        <w:t>2300 Experiment Station Drive</w:t>
      </w:r>
    </w:p>
    <w:p w:rsidR="00CD20B4" w:rsidRDefault="00CD20B4" w:rsidP="00DB453C">
      <w:pPr>
        <w:pStyle w:val="NormalWeb"/>
      </w:pPr>
      <w:r>
        <w:rPr>
          <w:lang w:val="en-GB"/>
        </w:rPr>
        <w:t>P.O. Drawer 10</w:t>
      </w:r>
    </w:p>
    <w:p w:rsidR="00CD20B4" w:rsidRDefault="00CD20B4" w:rsidP="00DB453C">
      <w:pPr>
        <w:pStyle w:val="NormalWeb"/>
      </w:pPr>
      <w:proofErr w:type="gramStart"/>
      <w:r>
        <w:rPr>
          <w:lang w:val="en-GB"/>
        </w:rPr>
        <w:t>USDA Agricultural Research Service.</w:t>
      </w:r>
      <w:proofErr w:type="gramEnd"/>
    </w:p>
    <w:p w:rsidR="00CD20B4" w:rsidRDefault="00CD20B4" w:rsidP="00DB453C">
      <w:pPr>
        <w:pStyle w:val="NormalWeb"/>
        <w:rPr>
          <w:lang w:val="en-GB"/>
        </w:rPr>
      </w:pPr>
      <w:r>
        <w:rPr>
          <w:lang w:val="en-GB"/>
        </w:rPr>
        <w:t>Bushland, TX 79012,</w:t>
      </w:r>
      <w:r w:rsidR="00DB453C">
        <w:rPr>
          <w:lang w:val="en-GB"/>
        </w:rPr>
        <w:t xml:space="preserve"> USA</w:t>
      </w:r>
    </w:p>
    <w:p w:rsidR="00DB453C" w:rsidRDefault="00DB453C" w:rsidP="00DB453C">
      <w:pPr>
        <w:pStyle w:val="NormalWeb"/>
        <w:rPr>
          <w:lang w:val="en-GB"/>
        </w:rPr>
      </w:pPr>
      <w:r>
        <w:rPr>
          <w:lang w:val="en-GB"/>
        </w:rPr>
        <w:t>+1(806) 356-5769 phone</w:t>
      </w:r>
    </w:p>
    <w:p w:rsidR="00DB453C" w:rsidRDefault="00DB453C" w:rsidP="00DB453C">
      <w:pPr>
        <w:pStyle w:val="NormalWeb"/>
      </w:pPr>
      <w:r>
        <w:rPr>
          <w:lang w:val="en-GB"/>
        </w:rPr>
        <w:t>+1(806) 356-5750 FAX</w:t>
      </w:r>
    </w:p>
    <w:p w:rsidR="00CD20B4" w:rsidRDefault="00CD20B4" w:rsidP="00CD20B4">
      <w:pPr>
        <w:spacing w:line="276" w:lineRule="auto"/>
        <w:rPr>
          <w:b/>
        </w:rPr>
      </w:pPr>
      <w:r>
        <w:rPr>
          <w:b/>
        </w:rPr>
        <w:br w:type="page"/>
      </w:r>
    </w:p>
    <w:p w:rsidR="00CD20B4" w:rsidRPr="00CE05DE" w:rsidRDefault="00EF5F07" w:rsidP="000D5404">
      <w:pPr>
        <w:pStyle w:val="Heading2"/>
        <w:rPr>
          <w:b w:val="0"/>
        </w:rPr>
      </w:pPr>
      <w:bookmarkStart w:id="83" w:name="_Toc364501641"/>
      <w:bookmarkStart w:id="84" w:name="_Toc368046172"/>
      <w:r>
        <w:lastRenderedPageBreak/>
        <w:t>Abstract</w:t>
      </w:r>
      <w:bookmarkEnd w:id="83"/>
      <w:bookmarkEnd w:id="84"/>
    </w:p>
    <w:p w:rsidR="00CD20B4" w:rsidRDefault="00CD20B4" w:rsidP="00CD20B4">
      <w:pPr>
        <w:spacing w:line="480" w:lineRule="auto"/>
      </w:pPr>
      <w:r w:rsidRPr="004F0EDA">
        <w:t xml:space="preserve">The conversion of land </w:t>
      </w:r>
      <w:r>
        <w:t xml:space="preserve">from existing uses to </w:t>
      </w:r>
      <w:r w:rsidRPr="004F0EDA">
        <w:t>biofuel cultivation is expected to increase given concerns about the sustainability of fossil-fuel supplies.  Nonetheless, research into the environmental impacts of biofuel crops, primarily the hydrological impacts of their cultivation, is in its infancy.  To investigate such issues, the response of a 1649 km</w:t>
      </w:r>
      <w:r w:rsidRPr="004F0EDA">
        <w:rPr>
          <w:vertAlign w:val="superscript"/>
        </w:rPr>
        <w:t>2</w:t>
      </w:r>
      <w:r w:rsidRPr="004F0EDA">
        <w:t xml:space="preserve"> </w:t>
      </w:r>
      <w:r>
        <w:t>semiarid</w:t>
      </w:r>
      <w:r w:rsidRPr="004F0EDA">
        <w:t xml:space="preserve"> basin to the incremental substitution of the widely-discussed biofuel candidate switchgrass (</w:t>
      </w:r>
      <w:r w:rsidRPr="004F0EDA">
        <w:rPr>
          <w:i/>
        </w:rPr>
        <w:t>Panicum virgatum</w:t>
      </w:r>
      <w:r w:rsidRPr="004F0EDA">
        <w:t xml:space="preserve"> L.) for native land uses was modelled using the Soil and Water Assessment Tool (SWAT).  Median discharges decreased 5.6% - 20.6% during the spring and 6.4</w:t>
      </w:r>
      <w:r>
        <w:t xml:space="preserve"> </w:t>
      </w:r>
      <w:r w:rsidRPr="004F0EDA">
        <w:t>-</w:t>
      </w:r>
      <w:r>
        <w:t xml:space="preserve"> </w:t>
      </w:r>
      <w:r w:rsidRPr="004F0EDA">
        <w:t xml:space="preserve">31.2% during the summer depending on the quantity of acreage converted.  These were </w:t>
      </w:r>
      <w:r>
        <w:t>driven</w:t>
      </w:r>
      <w:r w:rsidRPr="004F0EDA">
        <w:t xml:space="preserve"> </w:t>
      </w:r>
      <w:r>
        <w:t>by</w:t>
      </w:r>
      <w:r w:rsidRPr="004F0EDA">
        <w:t xml:space="preserve"> </w:t>
      </w:r>
      <w:r>
        <w:t>an</w:t>
      </w:r>
      <w:r w:rsidRPr="004F0EDA">
        <w:t xml:space="preserve"> increased spring and summer evapotranspiration of 4.3%</w:t>
      </w:r>
      <w:r>
        <w:t xml:space="preserve"> </w:t>
      </w:r>
      <w:r w:rsidRPr="004F0EDA">
        <w:t>-</w:t>
      </w:r>
      <w:r>
        <w:t xml:space="preserve"> </w:t>
      </w:r>
      <w:r w:rsidRPr="004F0EDA">
        <w:t>46% and 2.2%</w:t>
      </w:r>
      <w:r>
        <w:t xml:space="preserve"> </w:t>
      </w:r>
      <w:r w:rsidRPr="004F0EDA">
        <w:t>-</w:t>
      </w:r>
      <w:r>
        <w:t xml:space="preserve"> </w:t>
      </w:r>
      <w:r w:rsidRPr="004F0EDA">
        <w:t>24%, respectively, depending on the quantity of switchgrass biomass produced.  The substitution of switchgrass also resulted in larger quantities of water stress days</w:t>
      </w:r>
      <w:r>
        <w:t xml:space="preserve"> than in baseline scenarios</w:t>
      </w:r>
      <w:r w:rsidRPr="004F0EDA">
        <w:t xml:space="preserve">.  </w:t>
      </w:r>
      <w:r w:rsidR="008A7834">
        <w:t>I</w:t>
      </w:r>
      <w:r w:rsidRPr="004F0EDA">
        <w:t xml:space="preserve"> encourage the exploration of alternative biofuel crops in </w:t>
      </w:r>
      <w:r>
        <w:t>semiarid</w:t>
      </w:r>
      <w:r w:rsidRPr="004F0EDA">
        <w:t xml:space="preserve"> areas to mitigate such negative impacts.</w:t>
      </w:r>
    </w:p>
    <w:p w:rsidR="00CD20B4" w:rsidRPr="004F0EDA" w:rsidRDefault="00CD20B4" w:rsidP="00CD20B4"/>
    <w:p w:rsidR="00CD20B4" w:rsidRDefault="007550E3" w:rsidP="007550E3">
      <w:pPr>
        <w:spacing w:line="480" w:lineRule="auto"/>
      </w:pPr>
      <w:r>
        <w:rPr>
          <w:b/>
        </w:rPr>
        <w:t>Key</w:t>
      </w:r>
      <w:r w:rsidR="00CD20B4" w:rsidRPr="005E1E21">
        <w:rPr>
          <w:b/>
        </w:rPr>
        <w:t>words</w:t>
      </w:r>
      <w:r w:rsidR="00CD20B4" w:rsidRPr="004F0EDA">
        <w:t xml:space="preserve">: </w:t>
      </w:r>
      <w:r>
        <w:t>Biofuels, Great Plains, Land U</w:t>
      </w:r>
      <w:r w:rsidR="00CD20B4">
        <w:t xml:space="preserve">se change, Soil and Water Assessment Tool, </w:t>
      </w:r>
      <w:r>
        <w:t>S</w:t>
      </w:r>
      <w:r w:rsidR="00CD20B4">
        <w:t>emiarid regions,</w:t>
      </w:r>
      <w:r w:rsidR="00CD20B4" w:rsidRPr="00EF0B7F">
        <w:t xml:space="preserve"> </w:t>
      </w:r>
      <w:r>
        <w:t>S</w:t>
      </w:r>
      <w:r w:rsidR="00CD20B4">
        <w:t>witchgrass</w:t>
      </w:r>
    </w:p>
    <w:p w:rsidR="00CD20B4" w:rsidRDefault="00CD20B4" w:rsidP="00CD20B4">
      <w:pPr>
        <w:spacing w:line="276" w:lineRule="auto"/>
      </w:pPr>
      <w:r>
        <w:br w:type="page"/>
      </w:r>
    </w:p>
    <w:p w:rsidR="00CD20B4" w:rsidRPr="00C34BB3" w:rsidRDefault="005D2319" w:rsidP="000D5404">
      <w:pPr>
        <w:pStyle w:val="Heading2"/>
      </w:pPr>
      <w:bookmarkStart w:id="85" w:name="_Toc364501642"/>
      <w:bookmarkStart w:id="86" w:name="_Toc368046173"/>
      <w:r>
        <w:lastRenderedPageBreak/>
        <w:t xml:space="preserve">3.1: </w:t>
      </w:r>
      <w:r w:rsidR="004F3E6F">
        <w:t>Introduction</w:t>
      </w:r>
      <w:bookmarkEnd w:id="85"/>
      <w:bookmarkEnd w:id="86"/>
    </w:p>
    <w:p w:rsidR="00CD20B4" w:rsidRPr="00C34BB3" w:rsidRDefault="00CD20B4" w:rsidP="00CD20B4">
      <w:pPr>
        <w:spacing w:line="480" w:lineRule="auto"/>
        <w:rPr>
          <w:b/>
        </w:rPr>
      </w:pPr>
      <w:r>
        <w:t xml:space="preserve">     </w:t>
      </w:r>
      <w:r w:rsidRPr="00C34BB3">
        <w:t>Land conversion from existing uses to biofuel crops cultivation is an important form of land use change in the 21</w:t>
      </w:r>
      <w:r w:rsidRPr="00C34BB3">
        <w:rPr>
          <w:vertAlign w:val="superscript"/>
        </w:rPr>
        <w:t>st</w:t>
      </w:r>
      <w:r w:rsidRPr="00C34BB3">
        <w:t xml:space="preserve"> century.  According to the Renewable Fuels Association (2012), between 2000 and 2010, annual U.S. corn ethanol production increased nearly nine-fold from 6 billion to 52 billion liters, while the number of ethanol plants quadrupled from 54 to 204.  Driving this increase are a number of factors including increased oil prices, U.S. demand for greater energy independence, increased awareness and interest in renewable energy sources, as well as the policies and mandates of the United States </w:t>
      </w:r>
      <w:proofErr w:type="gramStart"/>
      <w:r w:rsidRPr="00C34BB3">
        <w:t>Government.</w:t>
      </w:r>
      <w:proofErr w:type="gramEnd"/>
      <w:r w:rsidRPr="00C34BB3">
        <w:t xml:space="preserve">  In his 2006 State of the Union address, U.S. President George W. Bush proposed the Advanced Energy Initiative, which called for energy from biofuels to replace greater than 75% of imported oil from the Middle East by 2025 (Bush 2006).  It also called for increased Federal investment in the production of ethanol from sources other than corn, including wood chips and switchgrass, with the goal of making these alternative forms of ethanol (called cellulosic ethanol) competitive with corn-based ethanol by 2012.  That call resulted ultimately in the Energy Independence and Security Act (EISA) of 2007.  The goals of the EISA are to increase energy security in the U.S. and to increase the production of clean fossil fuels, among others</w:t>
      </w:r>
      <w:r w:rsidRPr="00C34BB3">
        <w:rPr>
          <w:b/>
        </w:rPr>
        <w:t xml:space="preserve">, </w:t>
      </w:r>
      <w:r w:rsidRPr="00C34BB3">
        <w:t>including the mandated production of 61 billion liters of cellulosic-based gasoline additives by 2022 (One-hundred Tenth Congress of the United States of America 2007).</w:t>
      </w:r>
      <w:r w:rsidRPr="00C34BB3">
        <w:rPr>
          <w:b/>
        </w:rPr>
        <w:t xml:space="preserve">  </w:t>
      </w:r>
    </w:p>
    <w:p w:rsidR="00CD20B4" w:rsidRPr="00C34BB3" w:rsidRDefault="00CD20B4" w:rsidP="00CD20B4">
      <w:pPr>
        <w:spacing w:line="480" w:lineRule="auto"/>
      </w:pPr>
      <w:r w:rsidRPr="00C34BB3">
        <w:t xml:space="preserve">     The Ecological Society of America defines biofuels as “liquid fuels derived from biological materials” (e.g. Mitchell </w:t>
      </w:r>
      <w:r w:rsidRPr="00C34BB3">
        <w:rPr>
          <w:i/>
        </w:rPr>
        <w:t>et al.</w:t>
      </w:r>
      <w:r w:rsidRPr="00C34BB3">
        <w:t xml:space="preserve"> 2010; Robertson </w:t>
      </w:r>
      <w:r w:rsidRPr="00C34BB3">
        <w:rPr>
          <w:i/>
        </w:rPr>
        <w:t>et al.</w:t>
      </w:r>
      <w:r w:rsidRPr="00C34BB3">
        <w:t xml:space="preserve"> 2010).  Common sources of biofuel crops include corn (</w:t>
      </w:r>
      <w:r w:rsidRPr="00C34BB3">
        <w:rPr>
          <w:i/>
        </w:rPr>
        <w:t>Zea mays</w:t>
      </w:r>
      <w:r w:rsidRPr="00C34BB3">
        <w:t xml:space="preserve"> L.), switchgrass (</w:t>
      </w:r>
      <w:r w:rsidRPr="00C34BB3">
        <w:rPr>
          <w:i/>
        </w:rPr>
        <w:t>Panicum</w:t>
      </w:r>
      <w:r w:rsidRPr="00C34BB3">
        <w:t xml:space="preserve"> </w:t>
      </w:r>
      <w:r w:rsidRPr="00C34BB3">
        <w:rPr>
          <w:i/>
        </w:rPr>
        <w:t>virgatum</w:t>
      </w:r>
      <w:r w:rsidRPr="00C34BB3">
        <w:t xml:space="preserve"> </w:t>
      </w:r>
      <w:r w:rsidRPr="00C34BB3">
        <w:lastRenderedPageBreak/>
        <w:t>L.), soybeans (</w:t>
      </w:r>
      <w:r w:rsidRPr="00C34BB3">
        <w:rPr>
          <w:i/>
        </w:rPr>
        <w:t>Glycine max</w:t>
      </w:r>
      <w:r w:rsidRPr="00C34BB3">
        <w:t xml:space="preserve"> L.), sweetgum (</w:t>
      </w:r>
      <w:r w:rsidRPr="00C34BB3">
        <w:rPr>
          <w:i/>
        </w:rPr>
        <w:t>Liquidamber styraciflua</w:t>
      </w:r>
      <w:r w:rsidRPr="00C34BB3">
        <w:t xml:space="preserve"> L.), rapeseed (</w:t>
      </w:r>
      <w:r w:rsidRPr="00C34BB3">
        <w:rPr>
          <w:i/>
        </w:rPr>
        <w:t>Brassica napus L. rape</w:t>
      </w:r>
      <w:r w:rsidRPr="00C34BB3">
        <w:t>), sugarcane (</w:t>
      </w:r>
      <w:r w:rsidRPr="00C34BB3">
        <w:rPr>
          <w:i/>
        </w:rPr>
        <w:t>Saccharum</w:t>
      </w:r>
      <w:r w:rsidRPr="00C34BB3">
        <w:t xml:space="preserve"> </w:t>
      </w:r>
      <w:r w:rsidRPr="00C34BB3">
        <w:rPr>
          <w:i/>
        </w:rPr>
        <w:t>officinarum</w:t>
      </w:r>
      <w:r w:rsidRPr="00C34BB3">
        <w:t xml:space="preserve"> L.), palm oil (</w:t>
      </w:r>
      <w:r w:rsidRPr="00C34BB3">
        <w:rPr>
          <w:i/>
        </w:rPr>
        <w:t>Elaeis guineensis)</w:t>
      </w:r>
      <w:r w:rsidRPr="00C34BB3">
        <w:t>, and jatropha (</w:t>
      </w:r>
      <w:r w:rsidRPr="00C34BB3">
        <w:rPr>
          <w:i/>
        </w:rPr>
        <w:t>Jatropha curcus</w:t>
      </w:r>
      <w:r w:rsidRPr="00C34BB3">
        <w:t xml:space="preserve">).  Resultant fuels include ethanol [the most common], methanol, propanol, butanol, methane, and biodiesel.           </w:t>
      </w:r>
    </w:p>
    <w:p w:rsidR="00CD20B4" w:rsidRPr="00C34BB3" w:rsidRDefault="00CD20B4" w:rsidP="00CD20B4">
      <w:pPr>
        <w:spacing w:line="480" w:lineRule="auto"/>
      </w:pPr>
      <w:r w:rsidRPr="00C34BB3">
        <w:t xml:space="preserve">     Native to the tallgrass prairies and a wide-range of mesic environments in the eastern two thirds of the United States, the warm season perennial switchgrass (Parrish &amp; Fike 2005) has received much attention as a possible cellulosic biofuel source because of its perceived advantages over other biofuel crops.  In their review paper, Simpson </w:t>
      </w:r>
      <w:r w:rsidRPr="00C34BB3">
        <w:rPr>
          <w:i/>
        </w:rPr>
        <w:t>et al.</w:t>
      </w:r>
      <w:r w:rsidRPr="00C34BB3">
        <w:t xml:space="preserve"> (2008) concluded that compared to corn, switchgrass facilitates improved nutrient retention and carbon sequestration in soils, it has the ability to grow on marginal soils, and it needs replacement only once every twenty years.  Also, it has been projected that switchgrass-based ethanol reduces the emission of greenhouse gases by 94% relative to those emitted by traditional gasoline (Schmer </w:t>
      </w:r>
      <w:r w:rsidRPr="00C34BB3">
        <w:rPr>
          <w:i/>
        </w:rPr>
        <w:t>et al.</w:t>
      </w:r>
      <w:r w:rsidRPr="00C34BB3">
        <w:t xml:space="preserve"> 2008).</w:t>
      </w:r>
    </w:p>
    <w:p w:rsidR="00CD20B4" w:rsidRPr="00C34BB3" w:rsidRDefault="00CD20B4" w:rsidP="00CD20B4">
      <w:pPr>
        <w:spacing w:line="480" w:lineRule="auto"/>
      </w:pPr>
      <w:r w:rsidRPr="00C34BB3">
        <w:t xml:space="preserve">     As with any other major land use modification, biofuel production is expected to have major, but not yet fully understood, impacts on regional hydrology.  Acknowledging this point, the National Research Council (2008, p. vii) refers to the hydrology of biofuel production as an “emerging field” of scientific inquiry.  Similarly, Georgescu and Lobell (2010, p. 33) noted, “</w:t>
      </w:r>
      <w:proofErr w:type="gramStart"/>
      <w:r w:rsidRPr="00C34BB3">
        <w:t>changes</w:t>
      </w:r>
      <w:proofErr w:type="gramEnd"/>
      <w:r w:rsidRPr="00C34BB3">
        <w:t xml:space="preserve"> to local hydrology caused by large-scale perennial systems may be complex, and thus require careful evaluation.” Two other factors related to climate change and sustainability also make such evaluation imperative. A number of authors (e.g. Sala </w:t>
      </w:r>
      <w:r w:rsidRPr="00C34BB3">
        <w:rPr>
          <w:i/>
        </w:rPr>
        <w:t>et al.</w:t>
      </w:r>
      <w:r w:rsidRPr="00C34BB3">
        <w:t xml:space="preserve"> 2000; Vorosmarty </w:t>
      </w:r>
      <w:r w:rsidRPr="00C34BB3">
        <w:rPr>
          <w:i/>
        </w:rPr>
        <w:t>et al.</w:t>
      </w:r>
      <w:r w:rsidRPr="00C34BB3">
        <w:t xml:space="preserve"> 2000; Foley </w:t>
      </w:r>
      <w:r w:rsidRPr="00C34BB3">
        <w:rPr>
          <w:i/>
        </w:rPr>
        <w:t>et al.</w:t>
      </w:r>
      <w:r w:rsidRPr="00C34BB3">
        <w:t xml:space="preserve"> 2005; Turner II </w:t>
      </w:r>
      <w:r w:rsidRPr="00C34BB3">
        <w:rPr>
          <w:i/>
        </w:rPr>
        <w:t>et al.</w:t>
      </w:r>
      <w:r w:rsidRPr="00C34BB3">
        <w:t xml:space="preserve"> 2007; Wagener </w:t>
      </w:r>
      <w:r w:rsidRPr="00C34BB3">
        <w:rPr>
          <w:i/>
        </w:rPr>
        <w:t>et al.</w:t>
      </w:r>
      <w:r w:rsidRPr="00C34BB3">
        <w:t xml:space="preserve"> 2010) have noted that land use change </w:t>
      </w:r>
      <w:r w:rsidRPr="00C34BB3">
        <w:lastRenderedPageBreak/>
        <w:t xml:space="preserve">dwarfs or is at least of comparable magnitude to the much more widely publicized topic of climate change, both as a driver and as an impact of future global environmental change. With specific respect to water resources, Ren </w:t>
      </w:r>
      <w:r w:rsidRPr="00C34BB3">
        <w:rPr>
          <w:i/>
        </w:rPr>
        <w:t>et al.</w:t>
      </w:r>
      <w:r w:rsidRPr="00C34BB3">
        <w:t xml:space="preserve"> (2012) and Jiang </w:t>
      </w:r>
      <w:r w:rsidRPr="00C34BB3">
        <w:rPr>
          <w:i/>
        </w:rPr>
        <w:t>et al.</w:t>
      </w:r>
      <w:r w:rsidRPr="00C34BB3">
        <w:t xml:space="preserve"> (2012) found that both climate change and anthropogenic activities including reservoir construction and irrigation are responsible for changes in streamflow in China’s Laohahae Basin during the late twentieth and early twenty-first century, although the relative contribution of each varies by decade.  In their study of the Shaumalun Basin in China, Yang </w:t>
      </w:r>
      <w:r w:rsidRPr="00C34BB3">
        <w:rPr>
          <w:i/>
        </w:rPr>
        <w:t>et al.</w:t>
      </w:r>
      <w:r w:rsidRPr="00C34BB3">
        <w:t xml:space="preserve"> (2012) found a decline in annual runoff post 1998 far in excess of what could be attributed to </w:t>
      </w:r>
      <w:r w:rsidR="008A7834">
        <w:t xml:space="preserve">changes in basin precipitation.  </w:t>
      </w:r>
      <w:r w:rsidRPr="00C34BB3">
        <w:t xml:space="preserve">The authors concluded that the unexplained difference was likely due to land use changes including deforestation and urbanization. Ma </w:t>
      </w:r>
      <w:r w:rsidRPr="00C34BB3">
        <w:rPr>
          <w:i/>
        </w:rPr>
        <w:t>et al.</w:t>
      </w:r>
      <w:r w:rsidRPr="00C34BB3">
        <w:t xml:space="preserve"> (2009) investigated the impacts of climate and land use change in the Kejie watershed in China from 1965-2005.  They found that the hydrologic effects of climate change were offset by land use changes, and that while seasonal changes in streamflow were mostly a function of precipitation, mean annual changes in streamflow were largely influenced by land use change.  Overall, they found that surface hydrology was more impacted by land use change than climate.  Franczyk and Chang (2009) assessed the impacts of climate change and future urbanization on the hydrology of the Rock Creek Basin, Oregon USA, through the 2040s.  They found that climate change and urbanization combine to amplify the magnitudes of the volumes of mean annual runoff and evapotranspiration relative to those in the absence of one of those factors.  Du </w:t>
      </w:r>
      <w:r w:rsidRPr="00C34BB3">
        <w:rPr>
          <w:i/>
        </w:rPr>
        <w:t>et al.</w:t>
      </w:r>
      <w:r w:rsidRPr="00C34BB3">
        <w:t xml:space="preserve"> (2012) found that the impacts of urbanization on mean annual runoff are a function of the magnitude of precipitation; in their investigation of the Qinhuai River Watershed in China, they found that annual runoff in dry </w:t>
      </w:r>
      <w:proofErr w:type="gramStart"/>
      <w:r w:rsidRPr="00C34BB3">
        <w:t>years</w:t>
      </w:r>
      <w:proofErr w:type="gramEnd"/>
      <w:r w:rsidRPr="00C34BB3">
        <w:t xml:space="preserve"> increases </w:t>
      </w:r>
      <w:r w:rsidRPr="00C34BB3">
        <w:lastRenderedPageBreak/>
        <w:t xml:space="preserve">more than in wet years given a 10-fold increase in the area of impervious surfaces.  Additionally, Raymond </w:t>
      </w:r>
      <w:r w:rsidRPr="00C34BB3">
        <w:rPr>
          <w:i/>
        </w:rPr>
        <w:t>et al.</w:t>
      </w:r>
      <w:r w:rsidRPr="00C34BB3">
        <w:t xml:space="preserve"> (2008) and Schilling </w:t>
      </w:r>
      <w:r w:rsidRPr="00C34BB3">
        <w:rPr>
          <w:i/>
        </w:rPr>
        <w:t>et al.</w:t>
      </w:r>
      <w:r w:rsidRPr="00C34BB3">
        <w:t xml:space="preserve"> (2010) attributed the increased in discharges in the Mississippi River Basin to agricultural production, and explicitly discounted the role of climate.  With specific respect to regional hydrology, a number of studies have reported significant stream depletion due to groundwater mining associated with agricultural expansion (e.g. Reisner 1993; Glennon 2009; Kustu </w:t>
      </w:r>
      <w:r w:rsidRPr="00C34BB3">
        <w:rPr>
          <w:i/>
        </w:rPr>
        <w:t>et al.</w:t>
      </w:r>
      <w:r w:rsidRPr="00C34BB3">
        <w:t xml:space="preserve"> 2010; McGuire 2011; Scanlon </w:t>
      </w:r>
      <w:r w:rsidRPr="00C34BB3">
        <w:rPr>
          <w:i/>
        </w:rPr>
        <w:t>et al.</w:t>
      </w:r>
      <w:r w:rsidRPr="00C34BB3">
        <w:t xml:space="preserve"> 2012). These findings underscore a critical need to unbundle and quantify the relative contributions of specific land use changes, especially in semiarid areas such as the U.S. Great Plains where the issue of the sustainability of scarce water supplies is of paramount importance (see below). This study is a contribution toward that goal. </w:t>
      </w:r>
    </w:p>
    <w:p w:rsidR="00CD20B4" w:rsidRPr="00C34BB3" w:rsidRDefault="00CD20B4" w:rsidP="00CD20B4">
      <w:pPr>
        <w:spacing w:line="480" w:lineRule="auto"/>
      </w:pPr>
      <w:r w:rsidRPr="00C34BB3">
        <w:t xml:space="preserve">     With regard to the sustainability of biofuel hydrology, the myriad of factors comprising the hydrologic impacts of biofuel production may be grouped into three broad categories namely, the water footprint (WF) defined as </w:t>
      </w:r>
      <w:r w:rsidRPr="00C34BB3">
        <w:rPr>
          <w:bCs/>
        </w:rPr>
        <w:t xml:space="preserve">“the total annual volume of fresh water used to produce goods and services for consumption” (see e.g. Gerbens-Leenes </w:t>
      </w:r>
      <w:r w:rsidRPr="00C34BB3">
        <w:rPr>
          <w:bCs/>
          <w:i/>
        </w:rPr>
        <w:t>et al.</w:t>
      </w:r>
      <w:r w:rsidRPr="00C34BB3">
        <w:rPr>
          <w:bCs/>
        </w:rPr>
        <w:t xml:space="preserve"> 2009 pp. 10219), water quality (e.g. </w:t>
      </w:r>
      <w:r w:rsidRPr="00C34BB3">
        <w:t>Nyakatawa</w:t>
      </w:r>
      <w:r w:rsidRPr="00C34BB3">
        <w:rPr>
          <w:bCs/>
          <w:i/>
        </w:rPr>
        <w:t xml:space="preserve"> et al.</w:t>
      </w:r>
      <w:r w:rsidRPr="00C34BB3">
        <w:rPr>
          <w:bCs/>
        </w:rPr>
        <w:t xml:space="preserve"> 2006; Simpson </w:t>
      </w:r>
      <w:r w:rsidRPr="00C34BB3">
        <w:rPr>
          <w:bCs/>
          <w:i/>
        </w:rPr>
        <w:t>et al.</w:t>
      </w:r>
      <w:r w:rsidRPr="00C34BB3">
        <w:rPr>
          <w:bCs/>
        </w:rPr>
        <w:t xml:space="preserve"> 2008; Chamberlain </w:t>
      </w:r>
      <w:r w:rsidRPr="00C34BB3">
        <w:rPr>
          <w:bCs/>
          <w:i/>
        </w:rPr>
        <w:t>et al.</w:t>
      </w:r>
      <w:r w:rsidRPr="00C34BB3">
        <w:rPr>
          <w:bCs/>
        </w:rPr>
        <w:t xml:space="preserve"> 2011; Sarkar </w:t>
      </w:r>
      <w:r w:rsidRPr="00C34BB3">
        <w:rPr>
          <w:bCs/>
          <w:i/>
        </w:rPr>
        <w:t>et al.</w:t>
      </w:r>
      <w:r w:rsidRPr="00C34BB3">
        <w:rPr>
          <w:bCs/>
        </w:rPr>
        <w:t xml:space="preserve"> 2011), and impacts on the local or regional water balance.  This paper focuses on the third category. Specifically, the impact of switchgrass production on local scale changes in constituent components of the water balance, including runoff and evapotranspiration (</w:t>
      </w:r>
      <w:proofErr w:type="gramStart"/>
      <w:r w:rsidRPr="00C34BB3">
        <w:rPr>
          <w:bCs/>
        </w:rPr>
        <w:t>eT</w:t>
      </w:r>
      <w:proofErr w:type="gramEnd"/>
      <w:r w:rsidRPr="00C34BB3">
        <w:rPr>
          <w:bCs/>
        </w:rPr>
        <w:t>)</w:t>
      </w:r>
      <w:r w:rsidR="00772BF2">
        <w:rPr>
          <w:bCs/>
        </w:rPr>
        <w:t>, is investigated</w:t>
      </w:r>
      <w:r w:rsidRPr="00C34BB3">
        <w:rPr>
          <w:bCs/>
        </w:rPr>
        <w:t>.</w:t>
      </w:r>
    </w:p>
    <w:p w:rsidR="00CD20B4" w:rsidRPr="00C34BB3" w:rsidRDefault="00CD20B4" w:rsidP="00CD20B4">
      <w:pPr>
        <w:spacing w:line="480" w:lineRule="auto"/>
      </w:pPr>
      <w:r w:rsidRPr="00C34BB3">
        <w:t xml:space="preserve">     A number of studies have investigated the impact of the planting of different biofuel crops on local water </w:t>
      </w:r>
      <w:r w:rsidRPr="00BB441E">
        <w:t>balances</w:t>
      </w:r>
      <w:r w:rsidRPr="00C34BB3">
        <w:t xml:space="preserve"> (e.g. Schilling </w:t>
      </w:r>
      <w:r w:rsidRPr="00C34BB3">
        <w:rPr>
          <w:i/>
        </w:rPr>
        <w:t>et al.</w:t>
      </w:r>
      <w:r w:rsidRPr="00C34BB3">
        <w:t xml:space="preserve"> 2008; Thomas </w:t>
      </w:r>
      <w:r w:rsidRPr="00C34BB3">
        <w:rPr>
          <w:i/>
        </w:rPr>
        <w:t>et al.</w:t>
      </w:r>
      <w:r w:rsidR="00D27CB0">
        <w:t xml:space="preserve"> 2009).  These </w:t>
      </w:r>
      <w:r w:rsidR="00D27CB0">
        <w:lastRenderedPageBreak/>
        <w:t xml:space="preserve">studies </w:t>
      </w:r>
      <w:r>
        <w:t>suggest</w:t>
      </w:r>
      <w:r w:rsidRPr="00C34BB3">
        <w:t xml:space="preserve"> that increased biofuel crop cultivation can significantly alter local water balances through altering local evapotranspiration and discharge rates, although the results are mixed due to variations in crop management [i.e. till, no till, etc], climate, and topography.</w:t>
      </w:r>
      <w:r w:rsidRPr="00C34BB3">
        <w:rPr>
          <w:bCs/>
        </w:rPr>
        <w:t xml:space="preserve">  Generally, switchgrass and the biofuel-grass miscanthus (</w:t>
      </w:r>
      <w:r w:rsidRPr="00BB441E">
        <w:rPr>
          <w:bCs/>
          <w:i/>
        </w:rPr>
        <w:t>Miscanthus</w:t>
      </w:r>
      <w:r w:rsidRPr="00C34BB3">
        <w:t xml:space="preserve"> x </w:t>
      </w:r>
      <w:r w:rsidRPr="00BB441E">
        <w:rPr>
          <w:i/>
        </w:rPr>
        <w:t>giganteus</w:t>
      </w:r>
      <w:r w:rsidRPr="00C34BB3">
        <w:t xml:space="preserve">) </w:t>
      </w:r>
      <w:r w:rsidRPr="00C34BB3">
        <w:rPr>
          <w:bCs/>
        </w:rPr>
        <w:t xml:space="preserve">have been shown to increase soil moisture retention and to reduce the volumes of river discharge relative to other crops.  For example, </w:t>
      </w:r>
      <w:r w:rsidRPr="00C34BB3">
        <w:t xml:space="preserve">Schilling </w:t>
      </w:r>
      <w:r w:rsidRPr="00C34BB3">
        <w:rPr>
          <w:i/>
        </w:rPr>
        <w:t>et al.</w:t>
      </w:r>
      <w:r w:rsidRPr="00C34BB3">
        <w:t xml:space="preserve"> (2008) simulated the impact of various land use scenarios involving combinations of biofuel crops in the Raccoon watershed in Iowa, USA, on the water balance using the Soil Water and Assessment Tool (SWAT).  They devised nine scenarios, ranging from an expansion of corn acreage to cover solely United States Department of Agriculture (USDA) lands to those in which switchgrass became the dominant biofuel crop and, finally, those in which cool season biofuel crops (i.e. fescue) dominated.  They found that the conversion of grassland to corn decreases mean annual evapotranspiration by 1% and increases mean annual runoff by nearly 8%, but the conversion of cropland to warm season biofuel crops (switchgrass) increases mean annual evapotranspiration by 2.6% and decreases mean annual runoff by 17%.  On the other hand, Thomas </w:t>
      </w:r>
      <w:r w:rsidRPr="00C34BB3">
        <w:rPr>
          <w:i/>
        </w:rPr>
        <w:t>et al.</w:t>
      </w:r>
      <w:r w:rsidRPr="00C34BB3">
        <w:t xml:space="preserve"> (2009) suggested that planting corn on an annual basis increases evapotranspiration.  In an investigation using SWAT in a watershed in Eastern Kansas, United States, Nelson </w:t>
      </w:r>
      <w:r w:rsidRPr="00C34BB3">
        <w:rPr>
          <w:i/>
        </w:rPr>
        <w:t>et al.</w:t>
      </w:r>
      <w:r>
        <w:t xml:space="preserve"> (2006) mode</w:t>
      </w:r>
      <w:r w:rsidRPr="00C34BB3">
        <w:t xml:space="preserve">led the percent reduction in surface runoff when the planting of switchgrass replaced the planting of traditional crop rotations, including corn-soybean, corn-soybean-wheat, grain sorghum-soybean, and grain sorghum-soybean-wheat.  They found that the planting of switchgrass reduced surface runoff by 55% over a 24-year period relative to baseline.  Graham </w:t>
      </w:r>
      <w:r w:rsidRPr="00C34BB3">
        <w:rPr>
          <w:i/>
        </w:rPr>
        <w:t xml:space="preserve">et al. </w:t>
      </w:r>
      <w:r>
        <w:t>(1996) mode</w:t>
      </w:r>
      <w:r w:rsidRPr="00C34BB3">
        <w:t xml:space="preserve">led the hydrologic impact of </w:t>
      </w:r>
      <w:r w:rsidRPr="00C34BB3">
        <w:lastRenderedPageBreak/>
        <w:t xml:space="preserve">replacing plots of soybeans, wheat, and cotton with switchgrass in the vicinities of the cities of Nashville and Memphis (Tennessee, USA) using the Environmental Policy Integrated Climate (EPIC) model.  They found that replacing such crops with switchgrass would result in lower runoff, erosion, evapotranspiration, and phosphorus loss.  Specifically, replacing soybeans with switchgrass reduced evapotranspiration by 20% - 60% and phosphorus by 80% - 95%.  Additionally, replacing corn with switchgrass reduced evapotranspiration by up to 10% - 50% and phosphorus loss by 80-95%.   Finally, replacing wheat with switchgrass reduced evapotranspiration by 15% - 40% and phosphorus loss by approximately 90%.  In another study, Vanlocke </w:t>
      </w:r>
      <w:r w:rsidRPr="00C34BB3">
        <w:rPr>
          <w:i/>
        </w:rPr>
        <w:t>et al.</w:t>
      </w:r>
      <w:r w:rsidRPr="00C34BB3">
        <w:t xml:space="preserve"> (2010) investigated the hypothetical impact on regional water balance of planting increasing proportions (i.e. 10% of area, 25%, 50%, 75%, and 100%) of miscanthus in the Upper Midwest of the United States.  By simulating the different land cover configurations using the Integrated Biosphere Simulator – Agricultural Version, the authors found that the planting of miscanthus significantly increased evapotranspiration and decreased discharge relative to its predecessor land cover type.  In yet another experimental study, McIsaac </w:t>
      </w:r>
      <w:r w:rsidRPr="00C34BB3">
        <w:rPr>
          <w:i/>
        </w:rPr>
        <w:t>et al.</w:t>
      </w:r>
      <w:r w:rsidRPr="00C34BB3">
        <w:t xml:space="preserve"> (2010), found that late-season soil moisture under switchgrass plots exceeded that of miscanthus and maize-soybean because of the higher transpiration levels of miscanthus and maize-soybean relative to switchgrass (due to higher leaf-area indices and biomass) throughout much of the growing season.  Estimated evapotranspiration from miscanthus exceeded that of switchgrass by 140 mm and that of maize-soybean by 104 mm.</w:t>
      </w:r>
    </w:p>
    <w:p w:rsidR="00CD20B4" w:rsidRPr="00C34BB3" w:rsidRDefault="00CD20B4" w:rsidP="00CD20B4">
      <w:pPr>
        <w:spacing w:line="480" w:lineRule="auto"/>
      </w:pPr>
      <w:r w:rsidRPr="00C34BB3">
        <w:t xml:space="preserve">     In addition to differences in management practices, impacts of biofuel cultivation have been shown to be region-specific as a result of differences in climatic conditions </w:t>
      </w:r>
      <w:r w:rsidRPr="00C34BB3">
        <w:lastRenderedPageBreak/>
        <w:t xml:space="preserve">(e.g. Garoma </w:t>
      </w:r>
      <w:r w:rsidRPr="00C34BB3">
        <w:rPr>
          <w:i/>
        </w:rPr>
        <w:t>et al.</w:t>
      </w:r>
      <w:r w:rsidRPr="00C34BB3">
        <w:t xml:space="preserve"> 2012).  For example, soybeans and cotton require more water than corn when planted in the Pacific and Mountain regions of the U.S., but the opposite is true in the semiarid Great Plains (National Research Council 2008).  These differences, and sometimes contradictory results, point to a need for more studies investigating the impacts of biofuel production generally in different regions and bioclimatic environments.  This study contributes to that goal. </w:t>
      </w:r>
    </w:p>
    <w:p w:rsidR="00CD20B4" w:rsidRPr="00C34BB3" w:rsidRDefault="005D2319" w:rsidP="000D5404">
      <w:pPr>
        <w:pStyle w:val="Heading2"/>
      </w:pPr>
      <w:bookmarkStart w:id="87" w:name="_Toc364501643"/>
      <w:bookmarkStart w:id="88" w:name="_Toc368046174"/>
      <w:r>
        <w:t xml:space="preserve">3.2: </w:t>
      </w:r>
      <w:r w:rsidR="004F3E6F">
        <w:t>Study Area</w:t>
      </w:r>
      <w:bookmarkEnd w:id="87"/>
      <w:bookmarkEnd w:id="88"/>
    </w:p>
    <w:p w:rsidR="00CD20B4" w:rsidRPr="00C34BB3" w:rsidRDefault="00CD20B4" w:rsidP="00CD20B4">
      <w:pPr>
        <w:spacing w:line="480" w:lineRule="auto"/>
        <w:rPr>
          <w:color w:val="000000"/>
        </w:rPr>
      </w:pPr>
      <w:r>
        <w:t xml:space="preserve">     </w:t>
      </w:r>
      <w:r w:rsidRPr="00C34BB3">
        <w:t>The study area is part of the Middle North Canadian River (hereinafter, MNCR) Watershed located in Western Oklahoma, USA.  It covers approximately 1649 km</w:t>
      </w:r>
      <w:r w:rsidRPr="00C34BB3">
        <w:rPr>
          <w:vertAlign w:val="superscript"/>
        </w:rPr>
        <w:t>2</w:t>
      </w:r>
      <w:r w:rsidRPr="00C34BB3">
        <w:t xml:space="preserve"> within the U.S. Geological Survey (USGS) Hydrologic Unit Code 11100301 (</w:t>
      </w:r>
      <w:r w:rsidR="00A4338D">
        <w:t>Figure</w:t>
      </w:r>
      <w:r>
        <w:t xml:space="preserve"> 3.1</w:t>
      </w:r>
      <w:r w:rsidRPr="00C34BB3">
        <w:t>).  The headwaters of the basin are located at (</w:t>
      </w:r>
      <w:r w:rsidRPr="00C34BB3">
        <w:rPr>
          <w:color w:val="000000"/>
        </w:rPr>
        <w:t xml:space="preserve">36°26'12" N, 99°16'41" W) </w:t>
      </w:r>
      <w:r w:rsidRPr="00C34BB3">
        <w:t>and the watershed outlet is situated at (36°11'00" N</w:t>
      </w:r>
      <w:r>
        <w:t xml:space="preserve">, </w:t>
      </w:r>
      <w:r w:rsidRPr="00C34BB3">
        <w:t xml:space="preserve">98°55'15" W).  Because of its predominantly agricultural character, the MNCR could be considered representative of other basins in the semiarid U.S. </w:t>
      </w:r>
      <w:proofErr w:type="gramStart"/>
      <w:r w:rsidRPr="00C34BB3">
        <w:t>Great Plains</w:t>
      </w:r>
      <w:r w:rsidR="00BB441E">
        <w:t>.</w:t>
      </w:r>
      <w:proofErr w:type="gramEnd"/>
      <w:r w:rsidR="00BB441E">
        <w:t xml:space="preserve">  </w:t>
      </w:r>
      <w:r w:rsidRPr="00C34BB3">
        <w:t>Largely rural, the largest settlements in the MNCR are Mooreland (population 1,190), Seiling (population 860), and Vici (population 699).  Elevation varies from 762 meters at the headwaters to 512 meters at its outlet, a distance of approximately 53 km.  For the period 1980-2010, average annual precipitation was 666 mm with precipitation peaking during May and June (PRISM Climate Group 2012).  Average daily temperatures range from 1</w:t>
      </w:r>
      <w:r w:rsidRPr="00C34BB3">
        <w:rPr>
          <w:vertAlign w:val="superscript"/>
        </w:rPr>
        <w:t xml:space="preserve"> O</w:t>
      </w:r>
      <w:r w:rsidRPr="00C34BB3">
        <w:t>C during January to 27</w:t>
      </w:r>
      <w:r w:rsidRPr="00C34BB3">
        <w:rPr>
          <w:vertAlign w:val="superscript"/>
        </w:rPr>
        <w:t>O</w:t>
      </w:r>
      <w:r w:rsidRPr="00C34BB3">
        <w:t xml:space="preserve">C during July and August.  Like other portions of the Great Plains, the study area is drought prone and suffers from water shortages associated with evaporative losses (Zume &amp; Tarhule 2006, 2011).  </w:t>
      </w:r>
    </w:p>
    <w:p w:rsidR="009B5D37" w:rsidRDefault="00EE6080" w:rsidP="00F86E62">
      <w:r>
        <w:rPr>
          <w:noProof/>
        </w:rPr>
        <w:lastRenderedPageBreak/>
        <w:drawing>
          <wp:inline distT="0" distB="0" distL="0" distR="0" wp14:anchorId="48C944A5" wp14:editId="6C5B5677">
            <wp:extent cx="5394960" cy="4168775"/>
            <wp:effectExtent l="19050" t="1905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_Fig3.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4960" cy="4168775"/>
                    </a:xfrm>
                    <a:prstGeom prst="rect">
                      <a:avLst/>
                    </a:prstGeom>
                    <a:ln>
                      <a:solidFill>
                        <a:schemeClr val="tx1"/>
                      </a:solidFill>
                    </a:ln>
                  </pic:spPr>
                </pic:pic>
              </a:graphicData>
            </a:graphic>
          </wp:inline>
        </w:drawing>
      </w:r>
    </w:p>
    <w:p w:rsidR="009B5D37" w:rsidRPr="00CE05DE" w:rsidRDefault="009B5D37" w:rsidP="00796484">
      <w:pPr>
        <w:pStyle w:val="Figurecaption"/>
      </w:pPr>
      <w:bookmarkStart w:id="89" w:name="_Toc362784352"/>
      <w:bookmarkStart w:id="90" w:name="_Toc364442684"/>
      <w:bookmarkStart w:id="91" w:name="_Toc364505727"/>
      <w:bookmarkStart w:id="92" w:name="_Toc367004739"/>
      <w:r w:rsidRPr="00CE05DE">
        <w:t>Figure 3.1:  Location of the Middle North Canadian River Basin (MNCR), located within the U.S. State of Oklahoma.</w:t>
      </w:r>
      <w:bookmarkEnd w:id="89"/>
      <w:bookmarkEnd w:id="90"/>
      <w:bookmarkEnd w:id="91"/>
      <w:bookmarkEnd w:id="92"/>
    </w:p>
    <w:p w:rsidR="009B5D37" w:rsidRDefault="009B5D37" w:rsidP="009B5D37">
      <w:pPr>
        <w:rPr>
          <w:color w:val="000000"/>
        </w:rPr>
      </w:pPr>
      <w:r>
        <w:rPr>
          <w:color w:val="000000"/>
        </w:rPr>
        <w:t xml:space="preserve">   </w:t>
      </w:r>
    </w:p>
    <w:p w:rsidR="00CD20B4" w:rsidRPr="00C34BB3" w:rsidRDefault="009B5D37" w:rsidP="00CD20B4">
      <w:pPr>
        <w:spacing w:line="480" w:lineRule="auto"/>
        <w:rPr>
          <w:color w:val="000000"/>
        </w:rPr>
      </w:pPr>
      <w:r>
        <w:rPr>
          <w:color w:val="000000"/>
        </w:rPr>
        <w:t xml:space="preserve">     </w:t>
      </w:r>
      <w:r w:rsidR="00CD20B4" w:rsidRPr="00C34BB3">
        <w:t xml:space="preserve">The MNCR overlies two geological provinces: the Western Sand-Dune Belts and the Western Sandstone Hills (Goins &amp; Anderson 2006).  The sand dune belts, which were blown from Quaternary alluvium and terrace deposits, are found on the north side of the North Canadian River and are oriented southeast.   These deposits create the Alluvium and Terrace aquifer (BNCR A&amp;T) of the Beaver/North Canadian River, which originates upstream of the MNCR and ends at Lake Eufaula, 290 km downstream from the MNCR.  This aquifer serves as an important water source for irrigation and public water supplies in this region.  The Quaternary deposits vary in thickness; the alluvium </w:t>
      </w:r>
      <w:r w:rsidR="00CD20B4" w:rsidRPr="00C34BB3">
        <w:lastRenderedPageBreak/>
        <w:t xml:space="preserve">deposits average 10 meters in thickness while the high terrace deposits average 21 meters in thickness.  The terrace and alluvium deposits are the main water-bearing portions of the aquifer, and it is believed that these deposits are hydraulically continuous and comprise a single aquifer system.  These deposits contain poorly-sorted sand and minor portions of gravel, silt, and clay (Davis &amp; Christenson 1981).  It is believed that the base of the aquifer coincides with the relatively impermeable Permian Red Beds Formation (Zume &amp; Tarhule 2008).  </w:t>
      </w:r>
    </w:p>
    <w:p w:rsidR="00CD20B4" w:rsidRPr="00C34BB3" w:rsidRDefault="00CD20B4" w:rsidP="00CD20B4">
      <w:pPr>
        <w:spacing w:line="480" w:lineRule="auto"/>
      </w:pPr>
      <w:r w:rsidRPr="00C34BB3">
        <w:t xml:space="preserve">     The depth to bedrock at the BNCR </w:t>
      </w:r>
      <w:proofErr w:type="gramStart"/>
      <w:r w:rsidRPr="00C34BB3">
        <w:t>A&amp;T</w:t>
      </w:r>
      <w:proofErr w:type="gramEnd"/>
      <w:r w:rsidRPr="00C34BB3">
        <w:t xml:space="preserve"> varies spatially up to a maximum of 100 meters, although it does outcrop at a few locations outside of the MNCR.  Hydraulic conductivity values vary from 18-24 m/d per day (Davis &amp; Christenson 1981; Adams </w:t>
      </w:r>
      <w:r w:rsidRPr="00C34BB3">
        <w:rPr>
          <w:i/>
        </w:rPr>
        <w:t>et al.</w:t>
      </w:r>
      <w:r w:rsidRPr="00C34BB3">
        <w:t xml:space="preserve"> 1997), with specific yield around 0.28 (Zume &amp; Tarhule 2008) and transmissivity values from 0 – 749 m</w:t>
      </w:r>
      <w:r w:rsidRPr="00C34BB3">
        <w:rPr>
          <w:vertAlign w:val="superscript"/>
        </w:rPr>
        <w:t>2</w:t>
      </w:r>
      <w:r w:rsidRPr="00C34BB3">
        <w:t>/d (Davis &amp; Christenson 1981).  Recharge is 1.39 * 10</w:t>
      </w:r>
      <w:r w:rsidRPr="00C34BB3">
        <w:rPr>
          <w:vertAlign w:val="superscript"/>
        </w:rPr>
        <w:t>-4</w:t>
      </w:r>
      <w:r w:rsidRPr="00C34BB3">
        <w:t xml:space="preserve"> m/d (Zume &amp; Tarhule 2008), or approximately 7% of mean annual precipitation.  </w:t>
      </w:r>
    </w:p>
    <w:p w:rsidR="00CD20B4" w:rsidRPr="00C34BB3" w:rsidRDefault="00CD20B4" w:rsidP="00CD20B4">
      <w:pPr>
        <w:spacing w:line="480" w:lineRule="auto"/>
      </w:pPr>
      <w:r w:rsidRPr="00C34BB3">
        <w:t xml:space="preserve">     The vegetation of the watershed is dominated by non-irrigated native range grasses, and winter wheat, which is fertilized and irrigated.  Grasses include </w:t>
      </w:r>
      <w:r w:rsidRPr="00C34BB3">
        <w:rPr>
          <w:color w:val="000000"/>
        </w:rPr>
        <w:t xml:space="preserve">buffalo grass, big and little bluestem, sideoats grama, and blue grama.  Winter wheat is planted during the middle of September and is harvested in the middle of June of the following summer.  Most of the </w:t>
      </w:r>
      <w:r w:rsidRPr="00C34BB3">
        <w:t xml:space="preserve">irrigation originates from the BNCR </w:t>
      </w:r>
      <w:proofErr w:type="gramStart"/>
      <w:r w:rsidRPr="00C34BB3">
        <w:t>A&amp;T</w:t>
      </w:r>
      <w:proofErr w:type="gramEnd"/>
      <w:r w:rsidRPr="00C34BB3">
        <w:t xml:space="preserve">.  </w:t>
      </w:r>
    </w:p>
    <w:p w:rsidR="00CD20B4" w:rsidRPr="00C34BB3" w:rsidRDefault="00CD20B4" w:rsidP="00CD20B4">
      <w:pPr>
        <w:spacing w:line="480" w:lineRule="auto"/>
      </w:pPr>
      <w:r w:rsidRPr="00C34BB3">
        <w:t xml:space="preserve">     Heavy groundwater pumping for irrigation since 1970 in portions of the North Canadian River watershed upstream of the MNCR has contributed to decreases in the medians of the peak annual streamflow values of about 40% in the MNCR (see Wahl &amp; Tortorelli 1997).  The two largest uses of BNCR </w:t>
      </w:r>
      <w:proofErr w:type="gramStart"/>
      <w:r w:rsidRPr="00C34BB3">
        <w:t>A&amp;T</w:t>
      </w:r>
      <w:proofErr w:type="gramEnd"/>
      <w:r w:rsidRPr="00C34BB3">
        <w:t xml:space="preserve"> water are irrigation and </w:t>
      </w:r>
      <w:r w:rsidRPr="00C34BB3">
        <w:lastRenderedPageBreak/>
        <w:t xml:space="preserve">municipal use (Tortorelli 2009).  More groundwater is used from BNCR </w:t>
      </w:r>
      <w:proofErr w:type="gramStart"/>
      <w:r w:rsidRPr="00C34BB3">
        <w:t>A&amp;T</w:t>
      </w:r>
      <w:proofErr w:type="gramEnd"/>
      <w:r w:rsidRPr="00C34BB3">
        <w:t xml:space="preserve"> for municipal use than in any other aquifer in Oklahoma, and 50-89% of the total withdrawals in the study area counties are BNCR A&amp;T water.  The MNCR lacks large impoundments although several small reservoirs exist.    </w:t>
      </w:r>
    </w:p>
    <w:p w:rsidR="00CD20B4" w:rsidRPr="00C34BB3" w:rsidRDefault="005D2319" w:rsidP="00CD20B4">
      <w:pPr>
        <w:pStyle w:val="Heading2"/>
      </w:pPr>
      <w:bookmarkStart w:id="93" w:name="_Toc364501644"/>
      <w:bookmarkStart w:id="94" w:name="_Toc368046175"/>
      <w:r>
        <w:t xml:space="preserve">3.3: </w:t>
      </w:r>
      <w:r w:rsidR="004F3E6F">
        <w:t>Model Description and Methods</w:t>
      </w:r>
      <w:bookmarkEnd w:id="93"/>
      <w:bookmarkEnd w:id="94"/>
    </w:p>
    <w:p w:rsidR="00CD20B4" w:rsidRPr="00C34BB3" w:rsidRDefault="00CD20B4" w:rsidP="00CD20B4">
      <w:pPr>
        <w:spacing w:line="480" w:lineRule="auto"/>
      </w:pPr>
      <w:r>
        <w:t xml:space="preserve">     </w:t>
      </w:r>
      <w:r w:rsidRPr="00C34BB3">
        <w:t xml:space="preserve">The response of the MNCR to the substitution of native land uses with switchgrass was investigated using SWAT, a physics-based semi-distributed hydrologic model (Arnold </w:t>
      </w:r>
      <w:r w:rsidRPr="00C34BB3">
        <w:rPr>
          <w:i/>
        </w:rPr>
        <w:t>et al.</w:t>
      </w:r>
      <w:r w:rsidRPr="00C34BB3">
        <w:t xml:space="preserve"> 1998).  Developed by the U.S. Department of Agriculture in Temple, Texas, SWAT has been employed in over six-hundred published studies (Gassman </w:t>
      </w:r>
      <w:r w:rsidRPr="00C34BB3">
        <w:rPr>
          <w:i/>
        </w:rPr>
        <w:t>et al.</w:t>
      </w:r>
      <w:r w:rsidRPr="00C34BB3">
        <w:t xml:space="preserve"> 2007; Douglas-Mankin </w:t>
      </w:r>
      <w:r w:rsidRPr="00C34BB3">
        <w:rPr>
          <w:i/>
        </w:rPr>
        <w:t>et al.</w:t>
      </w:r>
      <w:r w:rsidRPr="00C34BB3">
        <w:t xml:space="preserve"> 2010), including many investigations of the impacts of crop substitution (e.g. Schilling </w:t>
      </w:r>
      <w:r w:rsidRPr="00C34BB3">
        <w:rPr>
          <w:i/>
        </w:rPr>
        <w:t>et al.</w:t>
      </w:r>
      <w:r w:rsidRPr="00C34BB3">
        <w:t xml:space="preserve"> 2008; Baskaran </w:t>
      </w:r>
      <w:r w:rsidRPr="00C34BB3">
        <w:rPr>
          <w:i/>
        </w:rPr>
        <w:t>et al.</w:t>
      </w:r>
      <w:r w:rsidRPr="00C34BB3">
        <w:t xml:space="preserve"> 2010; Ng </w:t>
      </w:r>
      <w:r w:rsidRPr="00C34BB3">
        <w:rPr>
          <w:i/>
        </w:rPr>
        <w:t>et al.</w:t>
      </w:r>
      <w:r w:rsidRPr="00C34BB3">
        <w:t xml:space="preserve"> 2010).  The model, along with associated documentation and related software, is available free of charge from the Texas A&amp;M AgriLife Research Center (</w:t>
      </w:r>
      <w:r w:rsidRPr="00C34BB3">
        <w:rPr>
          <w:i/>
        </w:rPr>
        <w:t>http://swatmodel.tamu.edu</w:t>
      </w:r>
      <w:r w:rsidRPr="00C34BB3">
        <w:t>).  It has been applied to a variety of water resource issues in a large range of locations and spatial scales – from 0.004 km</w:t>
      </w:r>
      <w:r w:rsidRPr="00C34BB3">
        <w:rPr>
          <w:vertAlign w:val="superscript"/>
        </w:rPr>
        <w:t>2</w:t>
      </w:r>
      <w:r w:rsidRPr="00C34BB3">
        <w:t xml:space="preserve"> to 491,665 km</w:t>
      </w:r>
      <w:r w:rsidRPr="00C34BB3">
        <w:rPr>
          <w:vertAlign w:val="superscript"/>
        </w:rPr>
        <w:t>2</w:t>
      </w:r>
      <w:r w:rsidRPr="00C34BB3">
        <w:t xml:space="preserve"> (Gassman </w:t>
      </w:r>
      <w:r w:rsidRPr="00C34BB3">
        <w:rPr>
          <w:i/>
        </w:rPr>
        <w:t>et al.</w:t>
      </w:r>
      <w:r w:rsidRPr="00C34BB3">
        <w:t xml:space="preserve"> 2007; Douglas-Mankin </w:t>
      </w:r>
      <w:r w:rsidRPr="00C34BB3">
        <w:rPr>
          <w:i/>
        </w:rPr>
        <w:t>et al.</w:t>
      </w:r>
      <w:r w:rsidRPr="00C34BB3">
        <w:t xml:space="preserve"> 2010).   SWAT divides a watershed into smaller user-defined subbasins, and then into still smaller hydrologic research units (HRUs) which are areas of homogeneous land use, soil, and slope based on user-provided information.  The model operates on a water-balance principle on a daily time step.  </w:t>
      </w:r>
    </w:p>
    <w:p w:rsidR="002D6D53" w:rsidRDefault="00CD20B4" w:rsidP="00CD20B4">
      <w:pPr>
        <w:spacing w:line="480" w:lineRule="auto"/>
      </w:pPr>
      <w:r w:rsidRPr="00C34BB3">
        <w:t xml:space="preserve">     A key convenience of SWAT is that it is linked to various databases containing the data and information required for simulation, greatly simplifying model setup and operation.  The crop database contains alterable biophysical information (e.g. extinction </w:t>
      </w:r>
      <w:r w:rsidRPr="00C34BB3">
        <w:lastRenderedPageBreak/>
        <w:t xml:space="preserve">coefficient, leaf area index) for 108 crops, including many biofuels such as Alamo Switchgrass, corn, oil palm, sugarcane, grain sorghum, and soybeans.  The sources for the input data used in this investigation are listed in </w:t>
      </w:r>
      <w:r>
        <w:t>Table 3.</w:t>
      </w:r>
      <w:r w:rsidRPr="00C34BB3">
        <w:t>1.</w:t>
      </w:r>
    </w:p>
    <w:p w:rsidR="009B5D37" w:rsidRDefault="009B5D37" w:rsidP="009B5D37">
      <w:pPr>
        <w:spacing w:line="480" w:lineRule="auto"/>
      </w:pPr>
      <w:r w:rsidRPr="00C34BB3">
        <w:t xml:space="preserve">     The MNCR was delineated in SWAT using a 30-meter DEM, and by the subsequent “burning in” of the National Hydrography Dataset Plus dataset.  Thirteen (13) subbasins were delineated.  To reduce the quantity of HRUs to a manageable number without sacrificing model accuracy, a threshold of 3% land use, 10% soil, and 0% slope for each subbasin was used.  In other words, land use types were retained if they covered greater than 3% of the </w:t>
      </w:r>
      <w:proofErr w:type="gramStart"/>
      <w:r w:rsidRPr="00C34BB3">
        <w:t>subbasin,</w:t>
      </w:r>
      <w:proofErr w:type="gramEnd"/>
      <w:r w:rsidRPr="00C34BB3">
        <w:t xml:space="preserve"> otherwise they were incorporated into other HRUs.  This led to the retention of 529 HRUs.  The land use composition of the watershed post-threshold delineation is displayed as </w:t>
      </w:r>
      <w:r>
        <w:t>Table 3.</w:t>
      </w:r>
      <w:r w:rsidRPr="00C34BB3">
        <w:t xml:space="preserve">2.  </w:t>
      </w:r>
    </w:p>
    <w:p w:rsidR="009B5D37" w:rsidRDefault="009B5D37" w:rsidP="009B5D37">
      <w:pPr>
        <w:spacing w:line="480" w:lineRule="auto"/>
      </w:pPr>
    </w:p>
    <w:p w:rsidR="009B5D37" w:rsidRDefault="009B5D37" w:rsidP="009B5D37">
      <w:pPr>
        <w:spacing w:line="480" w:lineRule="auto"/>
      </w:pPr>
    </w:p>
    <w:p w:rsidR="009B5D37" w:rsidRDefault="009B5D37" w:rsidP="009B5D37">
      <w:pPr>
        <w:spacing w:line="480" w:lineRule="auto"/>
      </w:pPr>
    </w:p>
    <w:p w:rsidR="009B5D37" w:rsidRDefault="009B5D37" w:rsidP="009B5D37">
      <w:pPr>
        <w:spacing w:line="480" w:lineRule="auto"/>
      </w:pPr>
    </w:p>
    <w:p w:rsidR="009B5D37" w:rsidRDefault="009B5D37" w:rsidP="009B5D37">
      <w:pPr>
        <w:spacing w:line="480" w:lineRule="auto"/>
      </w:pPr>
    </w:p>
    <w:p w:rsidR="009B5D37" w:rsidRDefault="009B5D37" w:rsidP="009B5D37">
      <w:pPr>
        <w:spacing w:line="480" w:lineRule="auto"/>
      </w:pPr>
    </w:p>
    <w:p w:rsidR="001A10A0" w:rsidRDefault="001A10A0" w:rsidP="009B5D37">
      <w:pPr>
        <w:spacing w:line="480" w:lineRule="auto"/>
      </w:pPr>
    </w:p>
    <w:p w:rsidR="001A10A0" w:rsidRDefault="001A10A0" w:rsidP="009B5D37">
      <w:pPr>
        <w:spacing w:line="480" w:lineRule="auto"/>
      </w:pPr>
    </w:p>
    <w:p w:rsidR="009B5D37" w:rsidRPr="00D8003C" w:rsidRDefault="009B5D37" w:rsidP="009B5D37">
      <w:pPr>
        <w:pStyle w:val="Tabletitle"/>
        <w:jc w:val="center"/>
      </w:pPr>
      <w:bookmarkStart w:id="95" w:name="_Toc364503705"/>
      <w:bookmarkStart w:id="96" w:name="_Toc367550599"/>
      <w:r>
        <w:lastRenderedPageBreak/>
        <w:t>T</w:t>
      </w:r>
      <w:r w:rsidRPr="00D8003C">
        <w:t>able 3.1: Data sources for items used in investigation</w:t>
      </w:r>
      <w:bookmarkEnd w:id="95"/>
      <w:bookmarkEnd w:id="96"/>
    </w:p>
    <w:tbl>
      <w:tblPr>
        <w:tblW w:w="5000" w:type="pct"/>
        <w:tblLook w:val="0660" w:firstRow="1" w:lastRow="1" w:firstColumn="0" w:lastColumn="0" w:noHBand="1" w:noVBand="1"/>
      </w:tblPr>
      <w:tblGrid>
        <w:gridCol w:w="6480"/>
        <w:gridCol w:w="2232"/>
      </w:tblGrid>
      <w:tr w:rsidR="009B5D37" w:rsidRPr="000D63CC" w:rsidTr="00E01EA9">
        <w:tc>
          <w:tcPr>
            <w:tcW w:w="3719" w:type="pct"/>
            <w:tcBorders>
              <w:left w:val="nil"/>
              <w:bottom w:val="nil"/>
              <w:right w:val="nil"/>
            </w:tcBorders>
            <w:noWrap/>
            <w:hideMark/>
          </w:tcPr>
          <w:p w:rsidR="009B5D37" w:rsidRPr="000D63CC" w:rsidRDefault="009B5D37" w:rsidP="00E01EA9">
            <w:pPr>
              <w:rPr>
                <w:rFonts w:asciiTheme="minorHAnsi" w:eastAsiaTheme="minorEastAsia" w:hAnsiTheme="minorHAnsi" w:cstheme="minorBidi"/>
                <w:sz w:val="22"/>
                <w:szCs w:val="22"/>
              </w:rPr>
            </w:pPr>
          </w:p>
        </w:tc>
        <w:tc>
          <w:tcPr>
            <w:tcW w:w="1281" w:type="pct"/>
            <w:tcBorders>
              <w:left w:val="nil"/>
              <w:bottom w:val="nil"/>
              <w:right w:val="nil"/>
            </w:tcBorders>
            <w:hideMark/>
          </w:tcPr>
          <w:p w:rsidR="009B5D37" w:rsidRPr="000D63CC" w:rsidRDefault="009B5D37" w:rsidP="00E01EA9">
            <w:pPr>
              <w:rPr>
                <w:rFonts w:asciiTheme="minorHAnsi" w:eastAsiaTheme="minorEastAsia" w:hAnsiTheme="minorHAnsi" w:cstheme="minorBidi"/>
                <w:sz w:val="22"/>
                <w:szCs w:val="22"/>
              </w:rPr>
            </w:pPr>
          </w:p>
        </w:tc>
      </w:tr>
      <w:tr w:rsidR="009B5D37" w:rsidRPr="000D63CC" w:rsidTr="00E01EA9">
        <w:tc>
          <w:tcPr>
            <w:tcW w:w="3719" w:type="pct"/>
            <w:tcBorders>
              <w:top w:val="nil"/>
              <w:left w:val="nil"/>
              <w:bottom w:val="nil"/>
              <w:right w:val="nil"/>
            </w:tcBorders>
            <w:noWrap/>
            <w:hideMark/>
          </w:tcPr>
          <w:p w:rsidR="009B5D37" w:rsidRPr="000D63CC" w:rsidRDefault="009B5D37" w:rsidP="00E01EA9">
            <w:pPr>
              <w:rPr>
                <w:rFonts w:asciiTheme="minorHAnsi" w:eastAsiaTheme="minorEastAsia" w:hAnsiTheme="minorHAnsi" w:cstheme="minorBidi"/>
                <w:sz w:val="22"/>
                <w:szCs w:val="22"/>
              </w:rPr>
            </w:pPr>
          </w:p>
        </w:tc>
        <w:tc>
          <w:tcPr>
            <w:tcW w:w="1281" w:type="pct"/>
            <w:tcBorders>
              <w:top w:val="nil"/>
              <w:left w:val="nil"/>
              <w:bottom w:val="nil"/>
              <w:right w:val="nil"/>
            </w:tcBorders>
            <w:hideMark/>
          </w:tcPr>
          <w:p w:rsidR="009B5D37" w:rsidRPr="000D63CC" w:rsidRDefault="009B5D37" w:rsidP="00E01EA9">
            <w:pPr>
              <w:rPr>
                <w:rFonts w:asciiTheme="minorHAnsi" w:eastAsiaTheme="minorEastAsia" w:hAnsiTheme="minorHAnsi" w:cstheme="minorBidi"/>
                <w:sz w:val="22"/>
                <w:szCs w:val="22"/>
              </w:rPr>
            </w:pPr>
          </w:p>
        </w:tc>
      </w:tr>
      <w:tr w:rsidR="009B5D37" w:rsidRPr="000D63CC" w:rsidTr="00E01EA9">
        <w:tc>
          <w:tcPr>
            <w:tcW w:w="3719" w:type="pct"/>
            <w:tcBorders>
              <w:top w:val="nil"/>
              <w:left w:val="nil"/>
              <w:bottom w:val="nil"/>
              <w:right w:val="nil"/>
            </w:tcBorders>
            <w:noWrap/>
            <w:hideMark/>
          </w:tcPr>
          <w:p w:rsidR="009B5D37" w:rsidRPr="000D63CC" w:rsidRDefault="009B5D37" w:rsidP="00E01EA9">
            <w:pPr>
              <w:rPr>
                <w:rFonts w:asciiTheme="minorHAnsi" w:eastAsiaTheme="minorEastAsia" w:hAnsiTheme="minorHAnsi" w:cstheme="minorBidi"/>
                <w:sz w:val="22"/>
                <w:szCs w:val="22"/>
              </w:rPr>
            </w:pPr>
          </w:p>
        </w:tc>
        <w:tc>
          <w:tcPr>
            <w:tcW w:w="1281" w:type="pct"/>
            <w:tcBorders>
              <w:top w:val="nil"/>
              <w:left w:val="nil"/>
              <w:bottom w:val="nil"/>
              <w:right w:val="nil"/>
            </w:tcBorders>
            <w:hideMark/>
          </w:tcPr>
          <w:p w:rsidR="009B5D37" w:rsidRPr="000D63CC" w:rsidRDefault="009B5D37" w:rsidP="00E01EA9">
            <w:pPr>
              <w:rPr>
                <w:rFonts w:asciiTheme="minorHAnsi" w:eastAsiaTheme="minorEastAsia" w:hAnsiTheme="minorHAnsi" w:cstheme="minorBidi"/>
                <w:sz w:val="22"/>
                <w:szCs w:val="22"/>
              </w:rPr>
            </w:pPr>
          </w:p>
        </w:tc>
      </w:tr>
      <w:tr w:rsidR="009B5D37" w:rsidRPr="000D63CC" w:rsidTr="00E01EA9">
        <w:tc>
          <w:tcPr>
            <w:tcW w:w="3719" w:type="pct"/>
            <w:tcBorders>
              <w:top w:val="nil"/>
            </w:tcBorders>
            <w:noWrap/>
          </w:tcPr>
          <w:p w:rsidR="009B5D37" w:rsidRPr="000D63CC" w:rsidRDefault="009B5D37" w:rsidP="00E01EA9"/>
        </w:tc>
        <w:tc>
          <w:tcPr>
            <w:tcW w:w="1281" w:type="pct"/>
            <w:tcBorders>
              <w:top w:val="nil"/>
            </w:tcBorders>
          </w:tcPr>
          <w:p w:rsidR="009B5D37" w:rsidRPr="000D63CC" w:rsidRDefault="009B5D37" w:rsidP="00E01EA9">
            <w:pPr>
              <w:pStyle w:val="DecimalAligned"/>
              <w:spacing w:line="240" w:lineRule="auto"/>
            </w:pPr>
          </w:p>
        </w:tc>
      </w:tr>
      <w:tr w:rsidR="009B5D37" w:rsidRPr="00D6111B" w:rsidTr="00E01EA9">
        <w:tc>
          <w:tcPr>
            <w:tcW w:w="3719" w:type="pct"/>
            <w:tcBorders>
              <w:top w:val="nil"/>
            </w:tcBorders>
            <w:shd w:val="clear" w:color="auto" w:fill="000000" w:themeFill="text1"/>
            <w:noWrap/>
          </w:tcPr>
          <w:p w:rsidR="009B5D37" w:rsidRPr="00D6111B" w:rsidRDefault="009B5D37" w:rsidP="00E01EA9">
            <w:r w:rsidRPr="00D6111B">
              <w:t>Data for Simulation</w:t>
            </w:r>
          </w:p>
        </w:tc>
        <w:tc>
          <w:tcPr>
            <w:tcW w:w="1281" w:type="pct"/>
            <w:tcBorders>
              <w:top w:val="nil"/>
            </w:tcBorders>
            <w:shd w:val="clear" w:color="auto" w:fill="000000" w:themeFill="text1"/>
          </w:tcPr>
          <w:p w:rsidR="009B5D37" w:rsidRPr="00D6111B" w:rsidRDefault="009B5D37" w:rsidP="00E01EA9">
            <w:pPr>
              <w:pStyle w:val="DecimalAligned"/>
              <w:spacing w:line="240" w:lineRule="auto"/>
            </w:pPr>
            <w:r w:rsidRPr="00D6111B">
              <w:t>Source</w:t>
            </w:r>
          </w:p>
        </w:tc>
      </w:tr>
      <w:tr w:rsidR="009B5D37" w:rsidRPr="00CE05DE" w:rsidTr="00E01EA9">
        <w:tc>
          <w:tcPr>
            <w:tcW w:w="3719" w:type="pct"/>
            <w:tcBorders>
              <w:top w:val="nil"/>
            </w:tcBorders>
            <w:noWrap/>
          </w:tcPr>
          <w:p w:rsidR="009B5D37" w:rsidRPr="00146657" w:rsidRDefault="009B5D37" w:rsidP="00E01EA9">
            <w:pPr>
              <w:rPr>
                <w:sz w:val="22"/>
                <w:szCs w:val="22"/>
              </w:rPr>
            </w:pPr>
            <w:r w:rsidRPr="00146657">
              <w:rPr>
                <w:b/>
                <w:sz w:val="22"/>
                <w:szCs w:val="22"/>
              </w:rPr>
              <w:t>Elevation</w:t>
            </w:r>
            <w:r w:rsidRPr="00146657">
              <w:rPr>
                <w:sz w:val="22"/>
                <w:szCs w:val="22"/>
              </w:rPr>
              <w:t xml:space="preserve">: 30-meter DEM </w:t>
            </w:r>
          </w:p>
        </w:tc>
        <w:tc>
          <w:tcPr>
            <w:tcW w:w="1281" w:type="pct"/>
            <w:tcBorders>
              <w:top w:val="nil"/>
            </w:tcBorders>
          </w:tcPr>
          <w:p w:rsidR="009B5D37" w:rsidRPr="00146657" w:rsidRDefault="009B5D37" w:rsidP="00E01EA9">
            <w:pPr>
              <w:pStyle w:val="DecimalAligned"/>
              <w:spacing w:line="240" w:lineRule="auto"/>
            </w:pPr>
            <w:r w:rsidRPr="00146657">
              <w:t>USGS</w:t>
            </w:r>
            <w:r w:rsidR="008E18B1" w:rsidRPr="00146657">
              <w:rPr>
                <w:vertAlign w:val="superscript"/>
              </w:rPr>
              <w:t>1</w:t>
            </w:r>
          </w:p>
        </w:tc>
      </w:tr>
      <w:tr w:rsidR="009B5D37" w:rsidRPr="00CE05DE" w:rsidTr="00E01EA9">
        <w:tc>
          <w:tcPr>
            <w:tcW w:w="3719" w:type="pct"/>
            <w:tcBorders>
              <w:top w:val="nil"/>
            </w:tcBorders>
            <w:noWrap/>
          </w:tcPr>
          <w:p w:rsidR="009B5D37" w:rsidRPr="00146657" w:rsidRDefault="009B5D37" w:rsidP="004F4669">
            <w:pPr>
              <w:rPr>
                <w:sz w:val="22"/>
                <w:szCs w:val="22"/>
              </w:rPr>
            </w:pPr>
            <w:r w:rsidRPr="00146657">
              <w:rPr>
                <w:b/>
                <w:sz w:val="22"/>
                <w:szCs w:val="22"/>
              </w:rPr>
              <w:t>Groundwater</w:t>
            </w:r>
            <w:r w:rsidRPr="00146657">
              <w:rPr>
                <w:sz w:val="22"/>
                <w:szCs w:val="22"/>
              </w:rPr>
              <w:t xml:space="preserve">: </w:t>
            </w:r>
          </w:p>
          <w:p w:rsidR="009B5D37" w:rsidRPr="00146657" w:rsidRDefault="009B5D37" w:rsidP="004F4669">
            <w:pPr>
              <w:rPr>
                <w:sz w:val="22"/>
                <w:szCs w:val="22"/>
              </w:rPr>
            </w:pPr>
            <w:r w:rsidRPr="00146657">
              <w:rPr>
                <w:sz w:val="22"/>
                <w:szCs w:val="22"/>
              </w:rPr>
              <w:t>values for effective hydraulic conductivity</w:t>
            </w:r>
          </w:p>
        </w:tc>
        <w:tc>
          <w:tcPr>
            <w:tcW w:w="1281" w:type="pct"/>
            <w:tcBorders>
              <w:top w:val="nil"/>
            </w:tcBorders>
          </w:tcPr>
          <w:p w:rsidR="009B5D37" w:rsidRPr="00146657" w:rsidRDefault="009B5D37" w:rsidP="004F4669">
            <w:pPr>
              <w:pStyle w:val="DecimalAligned"/>
              <w:spacing w:line="240" w:lineRule="auto"/>
            </w:pPr>
            <w:r w:rsidRPr="00146657">
              <w:t>Zume &amp; Tarhule (2008)</w:t>
            </w:r>
          </w:p>
        </w:tc>
      </w:tr>
      <w:tr w:rsidR="009B5D37" w:rsidRPr="00CE05DE" w:rsidTr="00E01EA9">
        <w:tc>
          <w:tcPr>
            <w:tcW w:w="3719" w:type="pct"/>
            <w:tcBorders>
              <w:top w:val="nil"/>
            </w:tcBorders>
            <w:noWrap/>
          </w:tcPr>
          <w:p w:rsidR="009B5D37" w:rsidRPr="00146657" w:rsidRDefault="009B5D37" w:rsidP="004F4669">
            <w:pPr>
              <w:rPr>
                <w:sz w:val="22"/>
                <w:szCs w:val="22"/>
              </w:rPr>
            </w:pPr>
            <w:r w:rsidRPr="00146657">
              <w:rPr>
                <w:b/>
                <w:sz w:val="22"/>
                <w:szCs w:val="22"/>
              </w:rPr>
              <w:t>Land Use</w:t>
            </w:r>
            <w:r w:rsidRPr="00146657">
              <w:rPr>
                <w:sz w:val="22"/>
                <w:szCs w:val="22"/>
              </w:rPr>
              <w:t xml:space="preserve">: </w:t>
            </w:r>
          </w:p>
          <w:p w:rsidR="009B5D37" w:rsidRPr="00146657" w:rsidRDefault="009B5D37" w:rsidP="004F4669">
            <w:pPr>
              <w:rPr>
                <w:sz w:val="22"/>
                <w:szCs w:val="22"/>
              </w:rPr>
            </w:pPr>
            <w:r w:rsidRPr="00146657">
              <w:rPr>
                <w:sz w:val="22"/>
                <w:szCs w:val="22"/>
              </w:rPr>
              <w:t xml:space="preserve">56-meter Crop Dataset Layer (CDL): 2006-2009                                                            </w:t>
            </w:r>
          </w:p>
        </w:tc>
        <w:tc>
          <w:tcPr>
            <w:tcW w:w="1281" w:type="pct"/>
            <w:tcBorders>
              <w:top w:val="nil"/>
            </w:tcBorders>
          </w:tcPr>
          <w:p w:rsidR="009B5D37" w:rsidRPr="00146657" w:rsidRDefault="009B5D37" w:rsidP="004F4669">
            <w:pPr>
              <w:pStyle w:val="DecimalAligned"/>
              <w:spacing w:line="240" w:lineRule="auto"/>
            </w:pPr>
            <w:r w:rsidRPr="00146657">
              <w:t>National Agriculture Statistics Service</w:t>
            </w:r>
            <w:r w:rsidR="008E18B1" w:rsidRPr="00146657">
              <w:rPr>
                <w:vertAlign w:val="superscript"/>
              </w:rPr>
              <w:t>1</w:t>
            </w:r>
          </w:p>
        </w:tc>
      </w:tr>
      <w:tr w:rsidR="009B5D37" w:rsidRPr="00CE05DE" w:rsidTr="00E01EA9">
        <w:tc>
          <w:tcPr>
            <w:tcW w:w="3719" w:type="pct"/>
            <w:tcBorders>
              <w:top w:val="nil"/>
            </w:tcBorders>
            <w:noWrap/>
          </w:tcPr>
          <w:p w:rsidR="009B5D37" w:rsidRPr="00146657" w:rsidRDefault="009B5D37" w:rsidP="004F4669">
            <w:pPr>
              <w:rPr>
                <w:sz w:val="22"/>
                <w:szCs w:val="22"/>
              </w:rPr>
            </w:pPr>
            <w:r w:rsidRPr="00146657">
              <w:rPr>
                <w:b/>
                <w:sz w:val="22"/>
                <w:szCs w:val="22"/>
              </w:rPr>
              <w:t>Management</w:t>
            </w:r>
            <w:r w:rsidRPr="00146657">
              <w:rPr>
                <w:sz w:val="22"/>
                <w:szCs w:val="22"/>
              </w:rPr>
              <w:t xml:space="preserve">: </w:t>
            </w:r>
          </w:p>
          <w:p w:rsidR="009B5D37" w:rsidRPr="00146657" w:rsidRDefault="009B5D37" w:rsidP="004F4669">
            <w:pPr>
              <w:rPr>
                <w:sz w:val="22"/>
                <w:szCs w:val="22"/>
              </w:rPr>
            </w:pPr>
            <w:r w:rsidRPr="00146657">
              <w:rPr>
                <w:sz w:val="22"/>
                <w:szCs w:val="22"/>
              </w:rPr>
              <w:t>Planting, irrigation, and fertilization schedules</w:t>
            </w:r>
          </w:p>
        </w:tc>
        <w:tc>
          <w:tcPr>
            <w:tcW w:w="1281" w:type="pct"/>
            <w:tcBorders>
              <w:top w:val="nil"/>
            </w:tcBorders>
          </w:tcPr>
          <w:p w:rsidR="009B5D37" w:rsidRPr="00146657" w:rsidRDefault="009B5D37" w:rsidP="004F4669">
            <w:pPr>
              <w:pStyle w:val="DecimalAligned"/>
              <w:spacing w:line="240" w:lineRule="auto"/>
            </w:pPr>
            <w:r w:rsidRPr="00146657">
              <w:t>Agriculture extension agents</w:t>
            </w:r>
          </w:p>
        </w:tc>
      </w:tr>
      <w:tr w:rsidR="009B5D37" w:rsidRPr="00CE05DE" w:rsidTr="00E01EA9">
        <w:tc>
          <w:tcPr>
            <w:tcW w:w="3719" w:type="pct"/>
            <w:tcBorders>
              <w:top w:val="nil"/>
            </w:tcBorders>
            <w:noWrap/>
          </w:tcPr>
          <w:p w:rsidR="009B5D37" w:rsidRPr="00146657" w:rsidRDefault="009B5D37" w:rsidP="004F4669">
            <w:pPr>
              <w:rPr>
                <w:sz w:val="22"/>
                <w:szCs w:val="22"/>
              </w:rPr>
            </w:pPr>
            <w:r w:rsidRPr="00146657">
              <w:rPr>
                <w:b/>
                <w:sz w:val="22"/>
                <w:szCs w:val="22"/>
              </w:rPr>
              <w:t>Soil</w:t>
            </w:r>
            <w:r w:rsidRPr="00146657">
              <w:rPr>
                <w:sz w:val="22"/>
                <w:szCs w:val="22"/>
              </w:rPr>
              <w:t xml:space="preserve">: 1:15,000 scale Soil Survey Geographic </w:t>
            </w:r>
          </w:p>
          <w:p w:rsidR="009B5D37" w:rsidRPr="00146657" w:rsidRDefault="009B5D37" w:rsidP="004F4669">
            <w:pPr>
              <w:rPr>
                <w:sz w:val="22"/>
                <w:szCs w:val="22"/>
              </w:rPr>
            </w:pPr>
            <w:r w:rsidRPr="00146657">
              <w:rPr>
                <w:sz w:val="22"/>
                <w:szCs w:val="22"/>
              </w:rPr>
              <w:t xml:space="preserve">         (SSURGO) dataset</w:t>
            </w:r>
          </w:p>
        </w:tc>
        <w:tc>
          <w:tcPr>
            <w:tcW w:w="1281" w:type="pct"/>
            <w:tcBorders>
              <w:top w:val="nil"/>
            </w:tcBorders>
          </w:tcPr>
          <w:p w:rsidR="009B5D37" w:rsidRPr="00146657" w:rsidRDefault="009B5D37" w:rsidP="004F4669">
            <w:pPr>
              <w:pStyle w:val="DecimalAligned"/>
              <w:spacing w:line="240" w:lineRule="auto"/>
            </w:pPr>
            <w:r w:rsidRPr="00146657">
              <w:t>Natural Resources Conservation Service (NRCS)</w:t>
            </w:r>
            <w:r w:rsidRPr="00146657">
              <w:rPr>
                <w:rStyle w:val="FootnoteReference"/>
                <w:vertAlign w:val="baseline"/>
              </w:rPr>
              <w:t xml:space="preserve"> </w:t>
            </w:r>
            <w:r w:rsidR="008E18B1" w:rsidRPr="00146657">
              <w:rPr>
                <w:vertAlign w:val="superscript"/>
              </w:rPr>
              <w:t>2</w:t>
            </w:r>
          </w:p>
        </w:tc>
      </w:tr>
      <w:tr w:rsidR="009B5D37" w:rsidRPr="00CE05DE" w:rsidTr="00E01EA9">
        <w:tc>
          <w:tcPr>
            <w:tcW w:w="3719" w:type="pct"/>
            <w:tcBorders>
              <w:top w:val="nil"/>
              <w:bottom w:val="single" w:sz="4" w:space="0" w:color="auto"/>
            </w:tcBorders>
            <w:noWrap/>
          </w:tcPr>
          <w:p w:rsidR="009B5D37" w:rsidRPr="00146657" w:rsidRDefault="009B5D37" w:rsidP="004F4669">
            <w:pPr>
              <w:rPr>
                <w:sz w:val="22"/>
                <w:szCs w:val="22"/>
              </w:rPr>
            </w:pPr>
            <w:r w:rsidRPr="00146657">
              <w:rPr>
                <w:b/>
                <w:sz w:val="22"/>
                <w:szCs w:val="22"/>
              </w:rPr>
              <w:t>Weather</w:t>
            </w:r>
            <w:r w:rsidRPr="00146657">
              <w:rPr>
                <w:sz w:val="22"/>
                <w:szCs w:val="22"/>
              </w:rPr>
              <w:t xml:space="preserve">: </w:t>
            </w:r>
          </w:p>
          <w:p w:rsidR="009B5D37" w:rsidRPr="00146657" w:rsidRDefault="009B5D37" w:rsidP="004F4669">
            <w:pPr>
              <w:rPr>
                <w:sz w:val="22"/>
                <w:szCs w:val="22"/>
              </w:rPr>
            </w:pPr>
            <w:r w:rsidRPr="00146657">
              <w:rPr>
                <w:sz w:val="22"/>
                <w:szCs w:val="22"/>
              </w:rPr>
              <w:t xml:space="preserve">Daily temperature and precipitation data </w:t>
            </w:r>
          </w:p>
        </w:tc>
        <w:tc>
          <w:tcPr>
            <w:tcW w:w="1281" w:type="pct"/>
            <w:tcBorders>
              <w:top w:val="nil"/>
              <w:bottom w:val="single" w:sz="4" w:space="0" w:color="auto"/>
            </w:tcBorders>
          </w:tcPr>
          <w:p w:rsidR="009B5D37" w:rsidRPr="00146657" w:rsidRDefault="009B5D37" w:rsidP="004F4669">
            <w:pPr>
              <w:pStyle w:val="DecimalAligned"/>
              <w:spacing w:line="240" w:lineRule="auto"/>
            </w:pPr>
            <w:r w:rsidRPr="00146657">
              <w:t xml:space="preserve">National Climatic Data Center </w:t>
            </w:r>
          </w:p>
        </w:tc>
      </w:tr>
    </w:tbl>
    <w:p w:rsidR="008E18B1" w:rsidRPr="001A10A0" w:rsidRDefault="008E18B1" w:rsidP="004F4669">
      <w:pPr>
        <w:rPr>
          <w:i/>
          <w:color w:val="000000" w:themeColor="text1"/>
          <w:sz w:val="22"/>
          <w:szCs w:val="22"/>
        </w:rPr>
      </w:pPr>
      <w:r w:rsidRPr="001A10A0">
        <w:rPr>
          <w:rStyle w:val="FootnoteReference"/>
          <w:color w:val="000000" w:themeColor="text1"/>
          <w:sz w:val="22"/>
          <w:szCs w:val="22"/>
        </w:rPr>
        <w:t>1</w:t>
      </w:r>
      <w:r w:rsidRPr="001A10A0">
        <w:rPr>
          <w:color w:val="000000" w:themeColor="text1"/>
          <w:sz w:val="22"/>
          <w:szCs w:val="22"/>
        </w:rPr>
        <w:t xml:space="preserve"> Available </w:t>
      </w:r>
      <w:r w:rsidR="00146657">
        <w:rPr>
          <w:color w:val="000000" w:themeColor="text1"/>
          <w:sz w:val="22"/>
          <w:szCs w:val="22"/>
        </w:rPr>
        <w:t>at</w:t>
      </w:r>
      <w:r w:rsidRPr="001A10A0">
        <w:rPr>
          <w:color w:val="000000" w:themeColor="text1"/>
          <w:sz w:val="22"/>
          <w:szCs w:val="22"/>
        </w:rPr>
        <w:t xml:space="preserve"> the USDA NRCS Geospatial Data Gateway</w:t>
      </w:r>
      <w:r w:rsidR="00146657">
        <w:rPr>
          <w:color w:val="000000" w:themeColor="text1"/>
          <w:sz w:val="22"/>
          <w:szCs w:val="22"/>
        </w:rPr>
        <w:t xml:space="preserve"> </w:t>
      </w:r>
      <w:r w:rsidRPr="001A10A0">
        <w:rPr>
          <w:color w:val="000000" w:themeColor="text1"/>
          <w:sz w:val="22"/>
          <w:szCs w:val="22"/>
        </w:rPr>
        <w:t>(</w:t>
      </w:r>
      <w:r w:rsidRPr="001A10A0">
        <w:rPr>
          <w:i/>
          <w:color w:val="000000" w:themeColor="text1"/>
          <w:sz w:val="22"/>
          <w:szCs w:val="22"/>
        </w:rPr>
        <w:t>http://datagateway.nrcs.</w:t>
      </w:r>
      <w:r w:rsidR="001A10A0">
        <w:rPr>
          <w:i/>
          <w:color w:val="000000" w:themeColor="text1"/>
          <w:sz w:val="22"/>
          <w:szCs w:val="22"/>
        </w:rPr>
        <w:t>usda.gov</w:t>
      </w:r>
      <w:r w:rsidR="001A10A0" w:rsidRPr="001A10A0">
        <w:rPr>
          <w:color w:val="000000" w:themeColor="text1"/>
          <w:sz w:val="22"/>
          <w:szCs w:val="22"/>
        </w:rPr>
        <w:t>)</w:t>
      </w:r>
    </w:p>
    <w:p w:rsidR="008E18B1" w:rsidRPr="001A10A0" w:rsidRDefault="008E18B1" w:rsidP="004F4669">
      <w:pPr>
        <w:rPr>
          <w:sz w:val="22"/>
          <w:szCs w:val="22"/>
        </w:rPr>
      </w:pPr>
      <w:r w:rsidRPr="001A10A0">
        <w:rPr>
          <w:sz w:val="22"/>
          <w:szCs w:val="22"/>
          <w:vertAlign w:val="superscript"/>
        </w:rPr>
        <w:t>2</w:t>
      </w:r>
      <w:r w:rsidRPr="001A10A0">
        <w:rPr>
          <w:sz w:val="22"/>
          <w:szCs w:val="22"/>
        </w:rPr>
        <w:t xml:space="preserve"> Data imported into SWAT using the SWATioTools program (Sheshukov </w:t>
      </w:r>
      <w:r w:rsidRPr="001A10A0">
        <w:rPr>
          <w:i/>
          <w:sz w:val="22"/>
          <w:szCs w:val="22"/>
        </w:rPr>
        <w:t>et al.</w:t>
      </w:r>
      <w:r w:rsidR="001A10A0">
        <w:rPr>
          <w:sz w:val="22"/>
          <w:szCs w:val="22"/>
        </w:rPr>
        <w:t xml:space="preserve"> 2009)</w:t>
      </w:r>
    </w:p>
    <w:p w:rsidR="009B5D37" w:rsidRDefault="009B5D37" w:rsidP="00CD20B4">
      <w:pPr>
        <w:spacing w:line="480" w:lineRule="auto"/>
      </w:pPr>
    </w:p>
    <w:p w:rsidR="00146657" w:rsidRDefault="00146657" w:rsidP="00CD20B4">
      <w:pPr>
        <w:spacing w:line="480" w:lineRule="auto"/>
      </w:pPr>
    </w:p>
    <w:p w:rsidR="006217B6" w:rsidRDefault="006217B6" w:rsidP="00CD20B4">
      <w:pPr>
        <w:spacing w:line="480" w:lineRule="auto"/>
      </w:pPr>
    </w:p>
    <w:p w:rsidR="006217B6" w:rsidRDefault="006217B6" w:rsidP="00CD20B4">
      <w:pPr>
        <w:spacing w:line="480" w:lineRule="auto"/>
      </w:pPr>
    </w:p>
    <w:p w:rsidR="006217B6" w:rsidRDefault="006217B6" w:rsidP="00CD20B4">
      <w:pPr>
        <w:spacing w:line="480" w:lineRule="auto"/>
      </w:pPr>
    </w:p>
    <w:p w:rsidR="006217B6" w:rsidRDefault="006217B6" w:rsidP="00CD20B4">
      <w:pPr>
        <w:spacing w:line="480" w:lineRule="auto"/>
      </w:pPr>
    </w:p>
    <w:p w:rsidR="006217B6" w:rsidRDefault="006217B6" w:rsidP="00CD20B4">
      <w:pPr>
        <w:spacing w:line="480" w:lineRule="auto"/>
      </w:pPr>
    </w:p>
    <w:p w:rsidR="009B5D37" w:rsidRDefault="009B5D37" w:rsidP="009B5D37">
      <w:pPr>
        <w:pStyle w:val="Tabletitle"/>
        <w:rPr>
          <w:noProof/>
        </w:rPr>
      </w:pPr>
      <w:bookmarkStart w:id="97" w:name="_Toc364503706"/>
      <w:bookmarkStart w:id="98" w:name="_Toc367550600"/>
      <w:r>
        <w:rPr>
          <w:noProof/>
        </w:rPr>
        <w:lastRenderedPageBreak/>
        <w:t xml:space="preserve">Table 3.2: Land </w:t>
      </w:r>
      <w:r w:rsidR="00916E53">
        <w:rPr>
          <w:noProof/>
        </w:rPr>
        <w:t>u</w:t>
      </w:r>
      <w:r>
        <w:rPr>
          <w:noProof/>
        </w:rPr>
        <w:t>se composition (%) of the MNCR post-land use threshold delineation</w:t>
      </w:r>
      <w:bookmarkEnd w:id="97"/>
      <w:bookmarkEnd w:id="98"/>
    </w:p>
    <w:tbl>
      <w:tblPr>
        <w:tblW w:w="0" w:type="auto"/>
        <w:jc w:val="center"/>
        <w:tblBorders>
          <w:bottom w:val="single" w:sz="8" w:space="0" w:color="9BBB59" w:themeColor="accent3"/>
          <w:insideH w:val="single" w:sz="6" w:space="0" w:color="9BBB59" w:themeColor="accent3"/>
          <w:insideV w:val="single" w:sz="6" w:space="0" w:color="9BBB59" w:themeColor="accent3"/>
        </w:tblBorders>
        <w:tblLook w:val="0620" w:firstRow="1" w:lastRow="0" w:firstColumn="0" w:lastColumn="0" w:noHBand="1" w:noVBand="1"/>
      </w:tblPr>
      <w:tblGrid>
        <w:gridCol w:w="2729"/>
        <w:gridCol w:w="1762"/>
      </w:tblGrid>
      <w:tr w:rsidR="009B5D37" w:rsidRPr="00D6111B" w:rsidTr="00916E53">
        <w:trPr>
          <w:cantSplit/>
          <w:trHeight w:val="648"/>
          <w:jc w:val="center"/>
        </w:trPr>
        <w:tc>
          <w:tcPr>
            <w:tcW w:w="0" w:type="auto"/>
            <w:tcBorders>
              <w:top w:val="single" w:sz="8" w:space="0" w:color="auto"/>
              <w:left w:val="single" w:sz="8" w:space="0" w:color="auto"/>
              <w:bottom w:val="nil"/>
            </w:tcBorders>
            <w:shd w:val="clear" w:color="auto" w:fill="000000" w:themeFill="text1"/>
            <w:hideMark/>
          </w:tcPr>
          <w:p w:rsidR="009B5D37" w:rsidRPr="00D6111B" w:rsidRDefault="009B5D37" w:rsidP="00E01EA9">
            <w:r w:rsidRPr="00D6111B">
              <w:t>Land Use</w:t>
            </w:r>
          </w:p>
        </w:tc>
        <w:tc>
          <w:tcPr>
            <w:tcW w:w="0" w:type="auto"/>
            <w:tcBorders>
              <w:top w:val="single" w:sz="8" w:space="0" w:color="auto"/>
              <w:bottom w:val="nil"/>
              <w:right w:val="single" w:sz="8" w:space="0" w:color="auto"/>
            </w:tcBorders>
            <w:shd w:val="clear" w:color="auto" w:fill="000000" w:themeFill="text1"/>
            <w:hideMark/>
          </w:tcPr>
          <w:p w:rsidR="009B5D37" w:rsidRPr="00D6111B" w:rsidRDefault="009B5D37" w:rsidP="00E01EA9">
            <w:r w:rsidRPr="00D6111B">
              <w:t>% of Watershed</w:t>
            </w:r>
          </w:p>
        </w:tc>
      </w:tr>
      <w:tr w:rsidR="009B5D37" w:rsidRPr="00CE05DE" w:rsidTr="009B5D37">
        <w:trPr>
          <w:cantSplit/>
          <w:trHeight w:val="720"/>
          <w:jc w:val="center"/>
        </w:trPr>
        <w:tc>
          <w:tcPr>
            <w:tcW w:w="0" w:type="auto"/>
            <w:tcBorders>
              <w:top w:val="nil"/>
              <w:left w:val="single" w:sz="8" w:space="0" w:color="auto"/>
              <w:bottom w:val="nil"/>
              <w:right w:val="nil"/>
            </w:tcBorders>
          </w:tcPr>
          <w:p w:rsidR="009B5D37" w:rsidRPr="00CE05DE" w:rsidRDefault="009B5D37" w:rsidP="00E01EA9">
            <w:r w:rsidRPr="00CE05DE">
              <w:t>Native range grasses</w:t>
            </w:r>
          </w:p>
        </w:tc>
        <w:tc>
          <w:tcPr>
            <w:tcW w:w="0" w:type="auto"/>
            <w:tcBorders>
              <w:top w:val="nil"/>
              <w:left w:val="nil"/>
              <w:bottom w:val="nil"/>
              <w:right w:val="single" w:sz="8" w:space="0" w:color="auto"/>
            </w:tcBorders>
          </w:tcPr>
          <w:p w:rsidR="009B5D37" w:rsidRPr="00CE05DE" w:rsidRDefault="009B5D37" w:rsidP="00E01EA9">
            <w:r w:rsidRPr="00CE05DE">
              <w:t>74.59%</w:t>
            </w:r>
          </w:p>
        </w:tc>
      </w:tr>
      <w:tr w:rsidR="009B5D37" w:rsidRPr="00CE05DE" w:rsidTr="009B5D37">
        <w:trPr>
          <w:cantSplit/>
          <w:trHeight w:val="648"/>
          <w:jc w:val="center"/>
        </w:trPr>
        <w:tc>
          <w:tcPr>
            <w:tcW w:w="0" w:type="auto"/>
            <w:tcBorders>
              <w:top w:val="nil"/>
              <w:left w:val="single" w:sz="8" w:space="0" w:color="auto"/>
              <w:bottom w:val="nil"/>
              <w:right w:val="nil"/>
            </w:tcBorders>
          </w:tcPr>
          <w:p w:rsidR="009B5D37" w:rsidRPr="00CE05DE" w:rsidRDefault="009B5D37" w:rsidP="00E01EA9">
            <w:r>
              <w:t>Winter w</w:t>
            </w:r>
            <w:r w:rsidRPr="00CE05DE">
              <w:t>heat</w:t>
            </w:r>
          </w:p>
        </w:tc>
        <w:tc>
          <w:tcPr>
            <w:tcW w:w="0" w:type="auto"/>
            <w:tcBorders>
              <w:top w:val="nil"/>
              <w:left w:val="nil"/>
              <w:bottom w:val="nil"/>
              <w:right w:val="single" w:sz="8" w:space="0" w:color="auto"/>
            </w:tcBorders>
          </w:tcPr>
          <w:p w:rsidR="009B5D37" w:rsidRPr="00CE05DE" w:rsidRDefault="009B5D37" w:rsidP="00E01EA9">
            <w:r w:rsidRPr="00CE05DE">
              <w:t>12.30%</w:t>
            </w:r>
          </w:p>
        </w:tc>
      </w:tr>
      <w:tr w:rsidR="009B5D37" w:rsidRPr="00CE05DE" w:rsidTr="009B5D37">
        <w:trPr>
          <w:cantSplit/>
          <w:trHeight w:val="648"/>
          <w:jc w:val="center"/>
        </w:trPr>
        <w:tc>
          <w:tcPr>
            <w:tcW w:w="0" w:type="auto"/>
            <w:tcBorders>
              <w:top w:val="nil"/>
              <w:left w:val="single" w:sz="8" w:space="0" w:color="auto"/>
              <w:bottom w:val="nil"/>
              <w:right w:val="nil"/>
            </w:tcBorders>
          </w:tcPr>
          <w:p w:rsidR="009B5D37" w:rsidRPr="00CE05DE" w:rsidRDefault="009B5D37" w:rsidP="00E01EA9">
            <w:r w:rsidRPr="00CE05DE">
              <w:t>Low-density development</w:t>
            </w:r>
          </w:p>
        </w:tc>
        <w:tc>
          <w:tcPr>
            <w:tcW w:w="0" w:type="auto"/>
            <w:tcBorders>
              <w:top w:val="nil"/>
              <w:left w:val="nil"/>
              <w:bottom w:val="nil"/>
              <w:right w:val="single" w:sz="8" w:space="0" w:color="auto"/>
            </w:tcBorders>
          </w:tcPr>
          <w:p w:rsidR="009B5D37" w:rsidRPr="00CE05DE" w:rsidRDefault="00BB441E" w:rsidP="00E01EA9">
            <w:r>
              <w:t xml:space="preserve"> </w:t>
            </w:r>
            <w:r w:rsidR="009B5D37" w:rsidRPr="00CE05DE">
              <w:t>5.90%</w:t>
            </w:r>
          </w:p>
        </w:tc>
      </w:tr>
      <w:tr w:rsidR="009B5D37" w:rsidRPr="00CE05DE" w:rsidTr="009B5D37">
        <w:trPr>
          <w:cantSplit/>
          <w:trHeight w:val="648"/>
          <w:jc w:val="center"/>
        </w:trPr>
        <w:tc>
          <w:tcPr>
            <w:tcW w:w="0" w:type="auto"/>
            <w:tcBorders>
              <w:top w:val="nil"/>
              <w:left w:val="single" w:sz="8" w:space="0" w:color="auto"/>
              <w:bottom w:val="nil"/>
              <w:right w:val="nil"/>
            </w:tcBorders>
          </w:tcPr>
          <w:p w:rsidR="009B5D37" w:rsidRPr="00CE05DE" w:rsidRDefault="009B5D37" w:rsidP="00E01EA9">
            <w:r w:rsidRPr="00CE05DE">
              <w:t>Evergreen forest</w:t>
            </w:r>
          </w:p>
        </w:tc>
        <w:tc>
          <w:tcPr>
            <w:tcW w:w="0" w:type="auto"/>
            <w:tcBorders>
              <w:top w:val="nil"/>
              <w:left w:val="nil"/>
              <w:bottom w:val="nil"/>
              <w:right w:val="single" w:sz="8" w:space="0" w:color="auto"/>
            </w:tcBorders>
          </w:tcPr>
          <w:p w:rsidR="009B5D37" w:rsidRPr="00CE05DE" w:rsidRDefault="00BB441E" w:rsidP="009B5D37">
            <w:r>
              <w:t xml:space="preserve"> </w:t>
            </w:r>
            <w:r w:rsidR="009B5D37" w:rsidRPr="00CE05DE">
              <w:t>4.03%</w:t>
            </w:r>
          </w:p>
        </w:tc>
      </w:tr>
      <w:tr w:rsidR="009B5D37" w:rsidRPr="00CE05DE" w:rsidTr="00DA1A32">
        <w:trPr>
          <w:cantSplit/>
          <w:trHeight w:val="360"/>
          <w:jc w:val="center"/>
        </w:trPr>
        <w:tc>
          <w:tcPr>
            <w:tcW w:w="0" w:type="auto"/>
            <w:tcBorders>
              <w:top w:val="nil"/>
              <w:left w:val="single" w:sz="8" w:space="0" w:color="auto"/>
              <w:bottom w:val="single" w:sz="8" w:space="0" w:color="auto"/>
              <w:right w:val="nil"/>
            </w:tcBorders>
          </w:tcPr>
          <w:p w:rsidR="009B5D37" w:rsidRPr="00CE05DE" w:rsidRDefault="009B5D37" w:rsidP="00A25DD0">
            <w:r w:rsidRPr="00CE05DE">
              <w:t>Shrubland</w:t>
            </w:r>
          </w:p>
        </w:tc>
        <w:tc>
          <w:tcPr>
            <w:tcW w:w="0" w:type="auto"/>
            <w:tcBorders>
              <w:top w:val="nil"/>
              <w:left w:val="nil"/>
              <w:bottom w:val="single" w:sz="8" w:space="0" w:color="auto"/>
              <w:right w:val="single" w:sz="8" w:space="0" w:color="auto"/>
            </w:tcBorders>
          </w:tcPr>
          <w:p w:rsidR="009B5D37" w:rsidRPr="00CE05DE" w:rsidRDefault="00BB441E" w:rsidP="00A25DD0">
            <w:r>
              <w:t xml:space="preserve"> </w:t>
            </w:r>
            <w:r w:rsidR="009B5D37" w:rsidRPr="00CE05DE">
              <w:t>3.18%</w:t>
            </w:r>
          </w:p>
        </w:tc>
      </w:tr>
    </w:tbl>
    <w:p w:rsidR="009B5D37" w:rsidRDefault="009B5D37" w:rsidP="00CD20B4">
      <w:pPr>
        <w:spacing w:line="480" w:lineRule="auto"/>
      </w:pPr>
    </w:p>
    <w:p w:rsidR="00CD20B4" w:rsidRPr="00C34BB3" w:rsidRDefault="009B5D37" w:rsidP="00CD20B4">
      <w:pPr>
        <w:spacing w:line="480" w:lineRule="auto"/>
      </w:pPr>
      <w:r>
        <w:t xml:space="preserve">     </w:t>
      </w:r>
      <w:r w:rsidR="00CD20B4" w:rsidRPr="00C34BB3">
        <w:t xml:space="preserve">Driven primarily by the availability of streamflow data for calibration, SWAT was run for 1977-2009, with 1977-1979 as the initialization period, 1980-1994 as the calibration period, and 1995-2009 as the simulation period.  </w:t>
      </w:r>
      <w:r w:rsidR="007F5273">
        <w:t xml:space="preserve">These years coincided with a wet period in Oklahoma’s </w:t>
      </w:r>
      <w:r w:rsidR="00B375CE">
        <w:t>North</w:t>
      </w:r>
      <w:r w:rsidR="007F5273">
        <w:t xml:space="preserve"> Central </w:t>
      </w:r>
      <w:r w:rsidR="00B375CE">
        <w:t xml:space="preserve">Climate </w:t>
      </w:r>
      <w:r w:rsidR="007F5273">
        <w:t>Climate Division (</w:t>
      </w:r>
      <w:r w:rsidR="00B375CE" w:rsidRPr="00890D09">
        <w:rPr>
          <w:i/>
        </w:rPr>
        <w:t>http://climate.ok.gov/index.php/climate/climate_trends/precipitation_history_annual_statewide/CD02/prcp/Annual</w:t>
      </w:r>
      <w:r w:rsidR="007F5273">
        <w:t xml:space="preserve">).  </w:t>
      </w:r>
      <w:r w:rsidR="00CD20B4" w:rsidRPr="00C34BB3">
        <w:t>Following calibration, simulations of switchgrass replacement were conducted to quantify the response of the MNCR, specifically discharge (Q) and evapotranspiration (</w:t>
      </w:r>
      <w:proofErr w:type="gramStart"/>
      <w:r w:rsidR="00CD20B4" w:rsidRPr="00C34BB3">
        <w:t>eT</w:t>
      </w:r>
      <w:proofErr w:type="gramEnd"/>
      <w:r w:rsidR="00CD20B4" w:rsidRPr="00C34BB3">
        <w:t xml:space="preserve">), to the cultivation of switchgrass during the spring and summer seasons which were the seasons with the best calibration results.  The replacement scenarios are the following: </w:t>
      </w:r>
    </w:p>
    <w:p w:rsidR="00CD20B4" w:rsidRPr="00C34BB3" w:rsidRDefault="00CD20B4" w:rsidP="00CD20B4">
      <w:pPr>
        <w:spacing w:line="480" w:lineRule="auto"/>
      </w:pPr>
      <w:r w:rsidRPr="00C34BB3">
        <w:rPr>
          <w:b/>
        </w:rPr>
        <w:t>(1) “nowwht:”</w:t>
      </w:r>
      <w:r w:rsidRPr="00C34BB3">
        <w:t xml:space="preserve"> Replacement of winter wheat with nonfertili</w:t>
      </w:r>
      <w:r w:rsidR="004F3E6F">
        <w:t xml:space="preserve">zed Alamo switchgrass (12.3% </w:t>
      </w:r>
      <w:r w:rsidRPr="00C34BB3">
        <w:t>of the MNCR).</w:t>
      </w:r>
    </w:p>
    <w:p w:rsidR="00CD20B4" w:rsidRPr="00C34BB3" w:rsidRDefault="00CD20B4" w:rsidP="00CD20B4">
      <w:pPr>
        <w:spacing w:line="480" w:lineRule="auto"/>
      </w:pPr>
      <w:r w:rsidRPr="00C34BB3">
        <w:lastRenderedPageBreak/>
        <w:t xml:space="preserve"> (2) </w:t>
      </w:r>
      <w:r w:rsidRPr="00C34BB3">
        <w:rPr>
          <w:b/>
        </w:rPr>
        <w:t>“nornge:”</w:t>
      </w:r>
      <w:r w:rsidRPr="00C34BB3">
        <w:t xml:space="preserve"> Replacement of range grasses with nonfertiliz</w:t>
      </w:r>
      <w:r w:rsidR="004F3E6F">
        <w:t xml:space="preserve">ed alamo switchgrass (74.5% of </w:t>
      </w:r>
      <w:r w:rsidRPr="00C34BB3">
        <w:t>the MNCR).</w:t>
      </w:r>
    </w:p>
    <w:p w:rsidR="00CD20B4" w:rsidRPr="00C34BB3" w:rsidRDefault="00CD20B4" w:rsidP="00CD20B4">
      <w:pPr>
        <w:spacing w:line="480" w:lineRule="auto"/>
      </w:pPr>
      <w:r w:rsidRPr="00C34BB3">
        <w:rPr>
          <w:b/>
        </w:rPr>
        <w:t xml:space="preserve">(3) “noag:” </w:t>
      </w:r>
      <w:r w:rsidRPr="00C34BB3">
        <w:t xml:space="preserve">Replacement of agricultural land uses (range grass and winter wheat), with </w:t>
      </w:r>
    </w:p>
    <w:p w:rsidR="00CD20B4" w:rsidRPr="00C34BB3" w:rsidRDefault="00CD20B4" w:rsidP="00CD20B4">
      <w:pPr>
        <w:spacing w:line="480" w:lineRule="auto"/>
      </w:pPr>
      <w:proofErr w:type="gramStart"/>
      <w:r w:rsidRPr="00C34BB3">
        <w:t>nonfertilized</w:t>
      </w:r>
      <w:proofErr w:type="gramEnd"/>
      <w:r w:rsidRPr="00C34BB3">
        <w:t xml:space="preserve"> alamo switchgrass (86.8% of the MNCR) .</w:t>
      </w:r>
    </w:p>
    <w:p w:rsidR="00CD20B4" w:rsidRPr="00C34BB3" w:rsidRDefault="00CD20B4" w:rsidP="00CD20B4">
      <w:pPr>
        <w:spacing w:line="480" w:lineRule="auto"/>
      </w:pPr>
      <w:r w:rsidRPr="00C34BB3">
        <w:rPr>
          <w:b/>
        </w:rPr>
        <w:t xml:space="preserve">(4) “fert:” </w:t>
      </w:r>
      <w:r w:rsidRPr="00C34BB3">
        <w:t xml:space="preserve">Similar to “noag,” except switchgrass is managed as follows: </w:t>
      </w:r>
    </w:p>
    <w:p w:rsidR="00CD20B4" w:rsidRPr="00C34BB3" w:rsidRDefault="00CD20B4" w:rsidP="00CD20B4">
      <w:pPr>
        <w:spacing w:line="480" w:lineRule="auto"/>
        <w:ind w:firstLine="720"/>
      </w:pPr>
      <w:proofErr w:type="gramStart"/>
      <w:r w:rsidRPr="00C34BB3">
        <w:t>a.       April</w:t>
      </w:r>
      <w:proofErr w:type="gramEnd"/>
      <w:r w:rsidRPr="00C34BB3">
        <w:t xml:space="preserve"> 15 fertilize (56 kg ha</w:t>
      </w:r>
      <w:r w:rsidRPr="00C34BB3">
        <w:rPr>
          <w:vertAlign w:val="superscript"/>
        </w:rPr>
        <w:t>-1</w:t>
      </w:r>
      <w:r w:rsidRPr="00C34BB3">
        <w:t xml:space="preserve"> N)</w:t>
      </w:r>
    </w:p>
    <w:p w:rsidR="00CD20B4" w:rsidRPr="00C34BB3" w:rsidRDefault="00CD20B4" w:rsidP="00CD20B4">
      <w:pPr>
        <w:spacing w:line="480" w:lineRule="auto"/>
        <w:ind w:left="720"/>
      </w:pPr>
      <w:r w:rsidRPr="00C34BB3">
        <w:t>b.      Harvest May 15 (90% efficiency), July 15, November 1</w:t>
      </w:r>
    </w:p>
    <w:p w:rsidR="00CD20B4" w:rsidRPr="00C34BB3" w:rsidRDefault="00CD20B4" w:rsidP="00CD20B4">
      <w:pPr>
        <w:spacing w:line="480" w:lineRule="auto"/>
        <w:ind w:firstLine="720"/>
      </w:pPr>
      <w:r w:rsidRPr="00C34BB3">
        <w:t>c.       Fertilize (56 kg ha</w:t>
      </w:r>
      <w:r w:rsidRPr="00C34BB3">
        <w:rPr>
          <w:vertAlign w:val="superscript"/>
        </w:rPr>
        <w:t xml:space="preserve">-1 </w:t>
      </w:r>
      <w:r w:rsidRPr="00C34BB3">
        <w:t>N) May 17, July 17</w:t>
      </w:r>
    </w:p>
    <w:p w:rsidR="00182C99" w:rsidRPr="004F3E6F" w:rsidRDefault="00CD20B4" w:rsidP="004F3E6F">
      <w:pPr>
        <w:spacing w:line="480" w:lineRule="auto"/>
      </w:pPr>
      <w:r w:rsidRPr="00C34BB3">
        <w:t xml:space="preserve">     Switchgrass production was simulated using the default biophysical settings for alamo switchgrass provided in the SWAT crop database with 1187 heat units for growth and with increased rooting depth from 2 to 3 meters (Baskaran </w:t>
      </w:r>
      <w:r w:rsidRPr="00C34BB3">
        <w:rPr>
          <w:i/>
        </w:rPr>
        <w:t>et al.</w:t>
      </w:r>
      <w:r w:rsidR="004F3E6F">
        <w:t xml:space="preserve"> 2010).  </w:t>
      </w:r>
    </w:p>
    <w:p w:rsidR="00CD20B4" w:rsidRPr="00182C99" w:rsidRDefault="006A0B69" w:rsidP="00CD20B4">
      <w:pPr>
        <w:pStyle w:val="Heading2"/>
      </w:pPr>
      <w:bookmarkStart w:id="99" w:name="_Toc364501645"/>
      <w:bookmarkStart w:id="100" w:name="_Toc368046176"/>
      <w:r>
        <w:t>3.4:</w:t>
      </w:r>
      <w:r w:rsidR="005D2319">
        <w:t xml:space="preserve"> </w:t>
      </w:r>
      <w:r w:rsidR="004F3E6F">
        <w:t>Results</w:t>
      </w:r>
      <w:bookmarkEnd w:id="99"/>
      <w:bookmarkEnd w:id="100"/>
    </w:p>
    <w:p w:rsidR="00CD20B4" w:rsidRPr="00A25DD0" w:rsidRDefault="005D2319" w:rsidP="00A25DD0">
      <w:pPr>
        <w:pStyle w:val="Heading3"/>
        <w:spacing w:line="480" w:lineRule="auto"/>
        <w:rPr>
          <w:b w:val="0"/>
        </w:rPr>
      </w:pPr>
      <w:bookmarkStart w:id="101" w:name="_Toc364501646"/>
      <w:bookmarkStart w:id="102" w:name="_Toc368046177"/>
      <w:r w:rsidRPr="00A25DD0">
        <w:rPr>
          <w:b w:val="0"/>
        </w:rPr>
        <w:t>3.4.1</w:t>
      </w:r>
      <w:r w:rsidR="00E67207">
        <w:rPr>
          <w:b w:val="0"/>
        </w:rPr>
        <w:t>:</w:t>
      </w:r>
      <w:r w:rsidRPr="00A25DD0">
        <w:rPr>
          <w:b w:val="0"/>
        </w:rPr>
        <w:t xml:space="preserve"> </w:t>
      </w:r>
      <w:r w:rsidR="00CD20B4" w:rsidRPr="00A25DD0">
        <w:rPr>
          <w:b w:val="0"/>
        </w:rPr>
        <w:t>Calibration</w:t>
      </w:r>
      <w:bookmarkEnd w:id="101"/>
      <w:bookmarkEnd w:id="102"/>
      <w:r w:rsidR="00CD20B4" w:rsidRPr="00A25DD0">
        <w:rPr>
          <w:b w:val="0"/>
        </w:rPr>
        <w:t xml:space="preserve"> </w:t>
      </w:r>
    </w:p>
    <w:p w:rsidR="009B5D37" w:rsidRDefault="00CD20B4" w:rsidP="00CD20B4">
      <w:pPr>
        <w:spacing w:line="480" w:lineRule="auto"/>
      </w:pPr>
      <w:r>
        <w:t xml:space="preserve">     </w:t>
      </w:r>
      <w:r w:rsidRPr="00C34BB3">
        <w:t xml:space="preserve">The result of the calibration on total monthly discharge (in cubic meters per second or “cms”) at the watershed outlet is presented as </w:t>
      </w:r>
      <w:r w:rsidR="00A4338D">
        <w:t>Figure</w:t>
      </w:r>
      <w:r>
        <w:t xml:space="preserve"> 3.</w:t>
      </w:r>
      <w:r w:rsidRPr="00C34BB3">
        <w:t>2</w:t>
      </w:r>
      <w:r>
        <w:t>(</w:t>
      </w:r>
      <w:r w:rsidRPr="00C34BB3">
        <w:t>a</w:t>
      </w:r>
      <w:r>
        <w:t>)</w:t>
      </w:r>
      <w:r w:rsidRPr="00C34BB3">
        <w:t xml:space="preserve">.  The simulated model reproduces the observed discharges reasonably well without evidence of systematic under or over estimation.  The Nash-Sutcliffe Efficiency (NSE, Nash &amp; Sutcliffe 1970) estimate is 0.86, well above the 0.75 threshold generally regarded as indicative of a “very good” simulation (Moriasi </w:t>
      </w:r>
      <w:r w:rsidRPr="00C34BB3">
        <w:rPr>
          <w:i/>
        </w:rPr>
        <w:t>et al.</w:t>
      </w:r>
      <w:r w:rsidRPr="00C34BB3">
        <w:t xml:space="preserve"> 2007).  The calculated Percent Bias (PBIAS, Gupta </w:t>
      </w:r>
      <w:r w:rsidRPr="00C34BB3">
        <w:rPr>
          <w:i/>
        </w:rPr>
        <w:t>et al.</w:t>
      </w:r>
      <w:r w:rsidRPr="00C34BB3">
        <w:t xml:space="preserve"> 1999) estimate is 3.87% (values less than 10% are considered “very good”).  </w:t>
      </w:r>
      <w:r w:rsidRPr="00C34BB3">
        <w:lastRenderedPageBreak/>
        <w:t xml:space="preserve">Finally, the calibration fit was evaluated using the RMSE-Observations Standard Deviation Ratio (RSR), a measure of the ratio of the normalized sum of squares to the standard deviation of the observed values (Singh </w:t>
      </w:r>
      <w:r w:rsidRPr="00C34BB3">
        <w:rPr>
          <w:i/>
        </w:rPr>
        <w:t>et al.</w:t>
      </w:r>
      <w:r w:rsidRPr="00C34BB3">
        <w:t xml:space="preserve"> 2004).  The RSR estimate is 0.38 (values below 0.5 are considered “very good,” Moriasi </w:t>
      </w:r>
      <w:r w:rsidRPr="00C34BB3">
        <w:rPr>
          <w:i/>
        </w:rPr>
        <w:t>et al.</w:t>
      </w:r>
      <w:r w:rsidRPr="00C34BB3">
        <w:t xml:space="preserve"> 2007).  Thus, the simulation performed satisfactorily on all three commonly used evaluation criteria.</w:t>
      </w:r>
    </w:p>
    <w:p w:rsidR="009B5D37" w:rsidRDefault="001A07C0" w:rsidP="009B5D37">
      <w:pPr>
        <w:jc w:val="center"/>
      </w:pPr>
      <w:r w:rsidRPr="001A07C0">
        <w:rPr>
          <w:noProof/>
        </w:rPr>
        <w:drawing>
          <wp:inline distT="0" distB="0" distL="0" distR="0" wp14:anchorId="0710FBFC" wp14:editId="319FA37A">
            <wp:extent cx="4293235" cy="5057775"/>
            <wp:effectExtent l="0" t="0" r="0" b="9525"/>
            <wp:docPr id="16"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4293235" cy="5057775"/>
                    </a:xfrm>
                    <a:prstGeom prst="rect">
                      <a:avLst/>
                    </a:prstGeom>
                  </pic:spPr>
                </pic:pic>
              </a:graphicData>
            </a:graphic>
          </wp:inline>
        </w:drawing>
      </w:r>
    </w:p>
    <w:p w:rsidR="009B5D37" w:rsidRPr="00796484" w:rsidRDefault="009B5D37" w:rsidP="00796484">
      <w:pPr>
        <w:pStyle w:val="Figurecaption"/>
      </w:pPr>
      <w:bookmarkStart w:id="103" w:name="_Toc362784353"/>
      <w:bookmarkStart w:id="104" w:name="_Toc364442685"/>
      <w:bookmarkStart w:id="105" w:name="_Toc364505728"/>
      <w:bookmarkStart w:id="106" w:name="_Toc367004740"/>
      <w:r w:rsidRPr="00796484">
        <w:t>Figure 3.2: Plot of simulated and observed monthly discharges at the watershed outlet during (a) the calibration period and (b) the simulation period</w:t>
      </w:r>
      <w:bookmarkEnd w:id="103"/>
      <w:bookmarkEnd w:id="104"/>
      <w:bookmarkEnd w:id="105"/>
      <w:bookmarkEnd w:id="106"/>
      <w:r w:rsidRPr="00796484">
        <w:t xml:space="preserve">  </w:t>
      </w:r>
    </w:p>
    <w:p w:rsidR="00490F16" w:rsidRPr="00490F16" w:rsidRDefault="00490F16" w:rsidP="00490F16">
      <w:pPr>
        <w:rPr>
          <w:lang w:val="en-GB" w:eastAsia="en-GB"/>
        </w:rPr>
      </w:pPr>
    </w:p>
    <w:p w:rsidR="00CD20B4" w:rsidRDefault="00CD20B4" w:rsidP="00CD20B4">
      <w:pPr>
        <w:spacing w:line="480" w:lineRule="auto"/>
      </w:pPr>
      <w:r w:rsidRPr="00C34BB3">
        <w:lastRenderedPageBreak/>
        <w:t xml:space="preserve">     Sensitivity analysis (van Griensven</w:t>
      </w:r>
      <w:r w:rsidRPr="00C34BB3">
        <w:rPr>
          <w:i/>
        </w:rPr>
        <w:t xml:space="preserve"> et al.</w:t>
      </w:r>
      <w:r w:rsidRPr="00C34BB3">
        <w:t xml:space="preserve"> 2006) was performed on 26 parameters, using observed data.  The results showed that the curve number for soil moisture condition II (“average” moisture) was the most sensitive parameter, followed by maximum vegetation canopy storage, and Manning’s roughness coefficient (</w:t>
      </w:r>
      <w:r>
        <w:t>Table 3.</w:t>
      </w:r>
      <w:r w:rsidRPr="00C34BB3">
        <w:t xml:space="preserve">3).  A list of the curve numbers for the various land use classes in the calibration simulation is included as </w:t>
      </w:r>
      <w:r>
        <w:t>Table 3.</w:t>
      </w:r>
      <w:r w:rsidRPr="00C34BB3">
        <w:t xml:space="preserve">4.  However, further fine tuning was deemed unnecessary given the low values of the sensitivity indices as well as the excellent calibration agreement already achieved.    </w:t>
      </w:r>
    </w:p>
    <w:p w:rsidR="00D27CB0" w:rsidRPr="00C34BB3" w:rsidRDefault="00D27CB0" w:rsidP="00D27CB0">
      <w:pPr>
        <w:spacing w:line="480" w:lineRule="auto"/>
      </w:pPr>
      <w:r w:rsidRPr="00C34BB3">
        <w:t xml:space="preserve">     Accordingly, the model was used to simulate total monthly discharge for the simulation period of 1995 to 2009 (</w:t>
      </w:r>
      <w:r>
        <w:t>Figure. 2.</w:t>
      </w:r>
      <w:r w:rsidRPr="00C34BB3">
        <w:t xml:space="preserve">2b).  The results are likewise satisfactory with NSE of 0.80, PBIAS </w:t>
      </w:r>
      <w:r w:rsidR="00BB441E">
        <w:t>of</w:t>
      </w:r>
      <w:r w:rsidRPr="00C34BB3">
        <w:t xml:space="preserve"> 0.53, and RSR of 0.45.</w:t>
      </w:r>
    </w:p>
    <w:p w:rsidR="00D27CB0" w:rsidRDefault="00D27CB0" w:rsidP="00CD20B4">
      <w:pPr>
        <w:spacing w:line="480" w:lineRule="auto"/>
      </w:pPr>
      <w:r w:rsidRPr="00C34BB3">
        <w:t xml:space="preserve">     Next, the model performance at seasonal time scale (i.e. winter - December, January, February, spring - March, April, May, summer - June, July, August, and fall - September, October, November) was evaluated for the calibration and simulation periods.  The results appear in Table </w:t>
      </w:r>
      <w:r>
        <w:t>3.</w:t>
      </w:r>
      <w:r w:rsidRPr="00C34BB3">
        <w:t xml:space="preserve">5.  The statistics for winter during the calibration and simulation periods were problematic due to relatively low NSE values and unsatisfactorily high PBIAS values (&gt;25%, which is the threshold for satisfactorily monthly values per Moriasi </w:t>
      </w:r>
      <w:r w:rsidRPr="00C34BB3">
        <w:rPr>
          <w:i/>
        </w:rPr>
        <w:t>et al.</w:t>
      </w:r>
      <w:r w:rsidRPr="00C34BB3">
        <w:t xml:space="preserve"> (2007)).  Therefore, subsequent analysis was confined to the spring and summer seasons.  </w:t>
      </w:r>
      <w:r w:rsidR="003C652D">
        <w:t>Figures</w:t>
      </w:r>
      <w:r>
        <w:t xml:space="preserve"> 3.</w:t>
      </w:r>
      <w:r w:rsidRPr="00C34BB3">
        <w:t>3</w:t>
      </w:r>
      <w:r>
        <w:t>(a-b)</w:t>
      </w:r>
      <w:r w:rsidRPr="00C34BB3">
        <w:t xml:space="preserve"> and </w:t>
      </w:r>
      <w:r>
        <w:t>3.</w:t>
      </w:r>
      <w:r w:rsidRPr="00C34BB3">
        <w:t>4</w:t>
      </w:r>
      <w:r>
        <w:t>(</w:t>
      </w:r>
      <w:r w:rsidRPr="00C34BB3">
        <w:t>a</w:t>
      </w:r>
      <w:r>
        <w:t>-b)</w:t>
      </w:r>
      <w:r w:rsidRPr="00C34BB3">
        <w:t xml:space="preserve"> present plots of the simulated and observed spring and summer discharges during the calibration and simulation periods, respectively. </w:t>
      </w:r>
    </w:p>
    <w:p w:rsidR="004F4669" w:rsidRDefault="004F4669">
      <w:pPr>
        <w:rPr>
          <w:rFonts w:eastAsia="Times New Roman" w:cs="Times New Roman"/>
          <w:lang w:val="en-GB" w:eastAsia="en-GB"/>
        </w:rPr>
      </w:pPr>
      <w:bookmarkStart w:id="107" w:name="_Toc364503707"/>
      <w:r>
        <w:br w:type="page"/>
      </w:r>
    </w:p>
    <w:p w:rsidR="006F45B7" w:rsidRDefault="006F45B7" w:rsidP="00916E53">
      <w:pPr>
        <w:pStyle w:val="Tabletitle"/>
        <w:jc w:val="center"/>
      </w:pPr>
      <w:bookmarkStart w:id="108" w:name="_Toc367550601"/>
      <w:r w:rsidRPr="00023336">
        <w:lastRenderedPageBreak/>
        <w:t>Table 3.3: Sensitivity index rankings for the MNCR</w:t>
      </w:r>
      <w:bookmarkEnd w:id="107"/>
      <w:bookmarkEnd w:id="108"/>
    </w:p>
    <w:tbl>
      <w:tblPr>
        <w:tblStyle w:val="LightList"/>
        <w:tblW w:w="4600" w:type="pct"/>
        <w:jc w:val="center"/>
        <w:tblLook w:val="0620" w:firstRow="1" w:lastRow="0" w:firstColumn="0" w:lastColumn="0" w:noHBand="1" w:noVBand="1"/>
      </w:tblPr>
      <w:tblGrid>
        <w:gridCol w:w="993"/>
        <w:gridCol w:w="125"/>
        <w:gridCol w:w="847"/>
        <w:gridCol w:w="1074"/>
        <w:gridCol w:w="2367"/>
        <w:gridCol w:w="816"/>
        <w:gridCol w:w="774"/>
        <w:gridCol w:w="1105"/>
      </w:tblGrid>
      <w:tr w:rsidR="00D75DC5" w:rsidTr="004C3198">
        <w:trPr>
          <w:cnfStyle w:val="100000000000" w:firstRow="1" w:lastRow="0" w:firstColumn="0" w:lastColumn="0" w:oddVBand="0" w:evenVBand="0" w:oddHBand="0" w:evenHBand="0" w:firstRowFirstColumn="0" w:firstRowLastColumn="0" w:lastRowFirstColumn="0" w:lastRowLastColumn="0"/>
          <w:trHeight w:val="339"/>
          <w:jc w:val="center"/>
        </w:trPr>
        <w:tc>
          <w:tcPr>
            <w:tcW w:w="729" w:type="pct"/>
            <w:gridSpan w:val="2"/>
            <w:tcBorders>
              <w:top w:val="single" w:sz="8" w:space="0" w:color="000000" w:themeColor="text1"/>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Sensitivity</w:t>
            </w:r>
          </w:p>
          <w:p w:rsidR="00D75DC5" w:rsidRDefault="00D75DC5" w:rsidP="004C3198">
            <w:pPr>
              <w:jc w:val="center"/>
              <w:rPr>
                <w:rFonts w:ascii="Times New Roman" w:eastAsia="PMingLiU" w:hAnsi="Times New Roman" w:cs="Times New Roman"/>
                <w:sz w:val="20"/>
                <w:szCs w:val="20"/>
              </w:rPr>
            </w:pPr>
            <w:r>
              <w:rPr>
                <w:sz w:val="20"/>
                <w:szCs w:val="20"/>
              </w:rPr>
              <w:t>Ranking</w:t>
            </w:r>
            <w:r w:rsidRPr="00BE288B">
              <w:rPr>
                <w:sz w:val="20"/>
                <w:szCs w:val="20"/>
                <w:vertAlign w:val="superscript"/>
              </w:rPr>
              <w:t>a</w:t>
            </w:r>
            <w:r w:rsidRPr="00E00A7C">
              <w:rPr>
                <w:sz w:val="20"/>
                <w:szCs w:val="20"/>
                <w:vertAlign w:val="superscript"/>
              </w:rPr>
              <w:t xml:space="preserve">, </w:t>
            </w:r>
            <w:r w:rsidRPr="00D75DC5">
              <w:rPr>
                <w:sz w:val="20"/>
                <w:szCs w:val="20"/>
                <w:vertAlign w:val="superscript"/>
              </w:rPr>
              <w:t>b</w:t>
            </w:r>
          </w:p>
        </w:tc>
        <w:tc>
          <w:tcPr>
            <w:tcW w:w="1180" w:type="pct"/>
            <w:gridSpan w:val="2"/>
            <w:tcBorders>
              <w:top w:val="single" w:sz="8" w:space="0" w:color="000000" w:themeColor="text1"/>
              <w:left w:val="nil"/>
              <w:bottom w:val="nil"/>
              <w:right w:val="nil"/>
            </w:tcBorders>
            <w:hideMark/>
          </w:tcPr>
          <w:p w:rsidR="00D75DC5" w:rsidRDefault="00D75DC5" w:rsidP="004C3198">
            <w:pPr>
              <w:rPr>
                <w:rFonts w:ascii="Times New Roman" w:eastAsia="PMingLiU" w:hAnsi="Times New Roman" w:cs="Times New Roman"/>
                <w:sz w:val="20"/>
                <w:szCs w:val="20"/>
              </w:rPr>
            </w:pPr>
            <w:r>
              <w:rPr>
                <w:sz w:val="20"/>
                <w:szCs w:val="20"/>
              </w:rPr>
              <w:t>Parameter</w:t>
            </w:r>
          </w:p>
        </w:tc>
        <w:tc>
          <w:tcPr>
            <w:tcW w:w="1494" w:type="pct"/>
            <w:tcBorders>
              <w:top w:val="single" w:sz="8" w:space="0" w:color="000000" w:themeColor="text1"/>
              <w:left w:val="nil"/>
              <w:bottom w:val="nil"/>
              <w:right w:val="nil"/>
            </w:tcBorders>
            <w:hideMark/>
          </w:tcPr>
          <w:p w:rsidR="00D75DC5" w:rsidRDefault="00D75DC5" w:rsidP="004C3198">
            <w:pPr>
              <w:rPr>
                <w:rFonts w:ascii="Times New Roman" w:eastAsia="PMingLiU" w:hAnsi="Times New Roman" w:cs="Times New Roman"/>
                <w:sz w:val="20"/>
                <w:szCs w:val="20"/>
              </w:rPr>
            </w:pPr>
            <w:r>
              <w:rPr>
                <w:sz w:val="20"/>
                <w:szCs w:val="20"/>
              </w:rPr>
              <w:t>Description</w:t>
            </w:r>
          </w:p>
        </w:tc>
        <w:tc>
          <w:tcPr>
            <w:tcW w:w="484" w:type="pct"/>
            <w:tcBorders>
              <w:top w:val="single" w:sz="8" w:space="0" w:color="000000" w:themeColor="text1"/>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Initial value</w:t>
            </w:r>
          </w:p>
        </w:tc>
        <w:tc>
          <w:tcPr>
            <w:tcW w:w="459" w:type="pct"/>
            <w:tcBorders>
              <w:top w:val="single" w:sz="8" w:space="0" w:color="000000" w:themeColor="text1"/>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Range</w:t>
            </w:r>
          </w:p>
          <w:p w:rsidR="00D75DC5" w:rsidRDefault="00D75DC5" w:rsidP="004C3198">
            <w:pPr>
              <w:jc w:val="center"/>
              <w:rPr>
                <w:rFonts w:ascii="Times New Roman" w:eastAsia="PMingLiU" w:hAnsi="Times New Roman" w:cs="Times New Roman"/>
                <w:sz w:val="20"/>
                <w:szCs w:val="20"/>
              </w:rPr>
            </w:pPr>
            <w:r>
              <w:rPr>
                <w:sz w:val="20"/>
                <w:szCs w:val="20"/>
              </w:rPr>
              <w:t>tested</w:t>
            </w:r>
            <w:r>
              <w:rPr>
                <w:sz w:val="20"/>
                <w:szCs w:val="20"/>
                <w:vertAlign w:val="superscript"/>
              </w:rPr>
              <w:t>c</w:t>
            </w:r>
          </w:p>
        </w:tc>
        <w:tc>
          <w:tcPr>
            <w:tcW w:w="655" w:type="pct"/>
            <w:tcBorders>
              <w:top w:val="single" w:sz="8" w:space="0" w:color="000000" w:themeColor="text1"/>
              <w:left w:val="nil"/>
              <w:bottom w:val="nil"/>
              <w:right w:val="single" w:sz="8" w:space="0" w:color="000000" w:themeColor="text1"/>
            </w:tcBorders>
            <w:hideMark/>
          </w:tcPr>
          <w:p w:rsidR="00D75DC5" w:rsidRDefault="00D75DC5" w:rsidP="004C3198">
            <w:pPr>
              <w:jc w:val="center"/>
              <w:rPr>
                <w:rFonts w:ascii="Times New Roman" w:eastAsia="PMingLiU" w:hAnsi="Times New Roman" w:cs="Times New Roman"/>
                <w:sz w:val="20"/>
                <w:szCs w:val="20"/>
              </w:rPr>
            </w:pPr>
            <w:r>
              <w:rPr>
                <w:sz w:val="20"/>
                <w:szCs w:val="20"/>
              </w:rPr>
              <w:t>Sensitivity Index</w:t>
            </w:r>
          </w:p>
        </w:tc>
      </w:tr>
      <w:tr w:rsidR="00D75DC5" w:rsidTr="004C3198">
        <w:trPr>
          <w:trHeight w:val="339"/>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1</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CN2</w:t>
            </w:r>
          </w:p>
        </w:tc>
        <w:tc>
          <w:tcPr>
            <w:tcW w:w="2171" w:type="pct"/>
            <w:gridSpan w:val="2"/>
            <w:tcBorders>
              <w:top w:val="nil"/>
              <w:left w:val="nil"/>
              <w:bottom w:val="nil"/>
              <w:right w:val="nil"/>
            </w:tcBorders>
            <w:hideMark/>
          </w:tcPr>
          <w:p w:rsidR="004C3198" w:rsidRPr="004C3198"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Curve number for </m:t>
                </m:r>
              </m:oMath>
            </m:oMathPara>
          </w:p>
          <w:p w:rsidR="00D75DC5" w:rsidRPr="004C3198" w:rsidRDefault="00D75DC5" w:rsidP="004C3198">
            <w:pPr>
              <w:jc w:val="center"/>
              <w:rPr>
                <w:rFonts w:ascii="Times New Roman" w:eastAsia="PMingLiU" w:hAnsi="Times New Roman" w:cs="Times New Roman"/>
                <w:sz w:val="20"/>
                <w:szCs w:val="20"/>
              </w:rPr>
            </w:pPr>
            <m:oMath>
              <m:r>
                <w:rPr>
                  <w:rFonts w:ascii="Cambria Math" w:hAnsi="Cambria Math"/>
                  <w:sz w:val="20"/>
                  <w:szCs w:val="20"/>
                </w:rPr>
                <m:t xml:space="preserve">soil </m:t>
              </m:r>
            </m:oMath>
            <w:r w:rsidR="004C3198">
              <w:rPr>
                <w:rFonts w:ascii="Times New Roman" w:eastAsia="PMingLiU" w:hAnsi="Times New Roman" w:cs="Times New Roman"/>
                <w:sz w:val="20"/>
                <w:szCs w:val="20"/>
              </w:rPr>
              <w:t xml:space="preserve"> </w:t>
            </w:r>
            <m:oMath>
              <m:r>
                <w:rPr>
                  <w:rFonts w:ascii="Cambria Math" w:hAnsi="Cambria Math"/>
                  <w:sz w:val="20"/>
                  <w:szCs w:val="20"/>
                </w:rPr>
                <m:t>condition II</m:t>
              </m:r>
            </m:oMath>
          </w:p>
        </w:tc>
        <w:tc>
          <w:tcPr>
            <w:tcW w:w="484"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Default</w:t>
            </w:r>
          </w:p>
        </w:tc>
        <w:tc>
          <w:tcPr>
            <w:tcW w:w="459" w:type="pct"/>
            <w:tcBorders>
              <w:top w:val="nil"/>
              <w:left w:val="nil"/>
              <w:bottom w:val="nil"/>
              <w:right w:val="nil"/>
            </w:tcBorders>
          </w:tcPr>
          <w:p w:rsidR="00D75DC5" w:rsidRDefault="00D75DC5" w:rsidP="004C3198">
            <w:pPr>
              <w:jc w:val="center"/>
              <w:rPr>
                <w:rFonts w:ascii="Times New Roman" w:eastAsia="PMingLiU" w:hAnsi="Times New Roman" w:cs="Times New Roman"/>
                <w:sz w:val="20"/>
                <w:szCs w:val="20"/>
                <w:vertAlign w:val="superscript"/>
              </w:rPr>
            </w:pPr>
            <w:r>
              <w:rPr>
                <w:sz w:val="20"/>
                <w:szCs w:val="20"/>
              </w:rPr>
              <w:t xml:space="preserve">-10%, 10% </w:t>
            </w:r>
            <w:r>
              <w:rPr>
                <w:sz w:val="20"/>
                <w:szCs w:val="20"/>
                <w:vertAlign w:val="superscript"/>
              </w:rPr>
              <w:t>d</w:t>
            </w:r>
          </w:p>
          <w:p w:rsidR="00D75DC5" w:rsidRDefault="00D75DC5" w:rsidP="004C3198">
            <w:pPr>
              <w:jc w:val="center"/>
              <w:rPr>
                <w:rFonts w:ascii="Times New Roman" w:eastAsia="PMingLiU" w:hAnsi="Times New Roman" w:cs="Times New Roman"/>
                <w:sz w:val="20"/>
                <w:szCs w:val="20"/>
              </w:rPr>
            </w:pPr>
          </w:p>
        </w:tc>
        <w:tc>
          <w:tcPr>
            <w:tcW w:w="655" w:type="pct"/>
            <w:tcBorders>
              <w:top w:val="nil"/>
              <w:left w:val="nil"/>
              <w:bottom w:val="nil"/>
              <w:right w:val="single" w:sz="8" w:space="0" w:color="000000" w:themeColor="text1"/>
            </w:tcBorders>
          </w:tcPr>
          <w:p w:rsidR="00D75DC5" w:rsidRDefault="00D75DC5" w:rsidP="004C3198">
            <w:pPr>
              <w:jc w:val="center"/>
              <w:rPr>
                <w:rFonts w:ascii="Times New Roman" w:eastAsia="PMingLiU" w:hAnsi="Times New Roman" w:cs="Times New Roman"/>
                <w:sz w:val="20"/>
                <w:szCs w:val="20"/>
              </w:rPr>
            </w:pPr>
            <w:r>
              <w:rPr>
                <w:sz w:val="20"/>
                <w:szCs w:val="20"/>
              </w:rPr>
              <w:t>0.199</w:t>
            </w:r>
          </w:p>
          <w:p w:rsidR="00D75DC5" w:rsidRDefault="00D75DC5" w:rsidP="004C3198">
            <w:pPr>
              <w:jc w:val="center"/>
              <w:rPr>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229"/>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2</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Canmx</w:t>
            </w:r>
          </w:p>
        </w:tc>
        <w:tc>
          <w:tcPr>
            <w:tcW w:w="2171" w:type="pct"/>
            <w:gridSpan w:val="2"/>
            <w:tcBorders>
              <w:top w:val="nil"/>
              <w:left w:val="nil"/>
              <w:bottom w:val="nil"/>
              <w:right w:val="nil"/>
            </w:tcBorders>
            <w:hideMark/>
          </w:tcPr>
          <w:p w:rsidR="00D75DC5" w:rsidRP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Maximum canopy storage </m:t>
                </m:r>
              </m:oMath>
            </m:oMathPara>
          </w:p>
          <w:p w:rsid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(mm </m:t>
                </m:r>
                <m:sSub>
                  <m:sSubPr>
                    <m:ctrlPr>
                      <w:rPr>
                        <w:rFonts w:ascii="Cambria Math" w:eastAsia="PMingLiU" w:hAnsi="Cambria Math" w:cs="Times New Roman"/>
                        <w:i/>
                      </w:rPr>
                    </m:ctrlPr>
                  </m:sSubPr>
                  <m:e>
                    <m:r>
                      <w:rPr>
                        <w:rFonts w:ascii="Cambria Math" w:hAnsi="Cambria Math"/>
                        <w:sz w:val="20"/>
                        <w:szCs w:val="20"/>
                      </w:rPr>
                      <m:t>H</m:t>
                    </m:r>
                  </m:e>
                  <m:sub>
                    <m:r>
                      <w:rPr>
                        <w:rFonts w:ascii="Cambria Math" w:hAnsi="Cambria Math"/>
                        <w:sz w:val="20"/>
                        <w:szCs w:val="20"/>
                      </w:rPr>
                      <m:t>2</m:t>
                    </m:r>
                  </m:sub>
                </m:sSub>
                <m:r>
                  <w:rPr>
                    <w:rFonts w:ascii="Cambria Math" w:hAnsi="Cambria Math"/>
                    <w:sz w:val="20"/>
                    <w:szCs w:val="20"/>
                  </w:rPr>
                  <m:t>O)</m:t>
                </m:r>
              </m:oMath>
            </m:oMathPara>
          </w:p>
        </w:tc>
        <w:tc>
          <w:tcPr>
            <w:tcW w:w="484"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0</w:t>
            </w: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0, 10</w:t>
            </w:r>
          </w:p>
        </w:tc>
        <w:tc>
          <w:tcPr>
            <w:tcW w:w="655" w:type="pct"/>
            <w:tcBorders>
              <w:top w:val="nil"/>
              <w:left w:val="nil"/>
              <w:bottom w:val="nil"/>
              <w:right w:val="single" w:sz="8" w:space="0" w:color="000000" w:themeColor="text1"/>
            </w:tcBorders>
          </w:tcPr>
          <w:p w:rsidR="00D75DC5" w:rsidRDefault="00D75DC5" w:rsidP="004C3198">
            <w:pPr>
              <w:jc w:val="center"/>
              <w:rPr>
                <w:sz w:val="20"/>
                <w:szCs w:val="20"/>
              </w:rPr>
            </w:pPr>
            <w:r>
              <w:rPr>
                <w:sz w:val="20"/>
                <w:szCs w:val="20"/>
              </w:rPr>
              <w:t>0.112</w:t>
            </w:r>
          </w:p>
          <w:p w:rsidR="00D75DC5" w:rsidRDefault="00D75DC5" w:rsidP="004C3198">
            <w:pPr>
              <w:jc w:val="center"/>
              <w:rPr>
                <w:rFonts w:ascii="Times New Roman" w:eastAsia="PMingLiU" w:hAnsi="Times New Roman" w:cs="Times New Roman"/>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559"/>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3</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Ch_N2</w:t>
            </w:r>
          </w:p>
        </w:tc>
        <w:tc>
          <w:tcPr>
            <w:tcW w:w="2171" w:type="pct"/>
            <w:gridSpan w:val="2"/>
            <w:tcBorders>
              <w:top w:val="nil"/>
              <w:left w:val="nil"/>
              <w:bottom w:val="nil"/>
              <w:right w:val="nil"/>
            </w:tcBorders>
            <w:hideMark/>
          </w:tcPr>
          <w:p w:rsidR="00D75DC5" w:rsidRP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Mannin</m:t>
                </m:r>
                <m:sSup>
                  <m:sSupPr>
                    <m:ctrlPr>
                      <w:rPr>
                        <w:rFonts w:ascii="Cambria Math" w:eastAsia="PMingLiU" w:hAnsi="Cambria Math" w:cs="Times New Roman"/>
                        <w:i/>
                      </w:rPr>
                    </m:ctrlPr>
                  </m:sSupPr>
                  <m:e>
                    <m:r>
                      <w:rPr>
                        <w:rFonts w:ascii="Cambria Math" w:hAnsi="Cambria Math"/>
                        <w:sz w:val="20"/>
                        <w:szCs w:val="20"/>
                      </w:rPr>
                      <m:t>g</m:t>
                    </m:r>
                  </m:e>
                  <m:sup>
                    <m:r>
                      <w:rPr>
                        <w:rFonts w:ascii="Cambria Math" w:hAnsi="Cambria Math"/>
                        <w:sz w:val="20"/>
                        <w:szCs w:val="20"/>
                      </w:rPr>
                      <m:t>'</m:t>
                    </m:r>
                  </m:sup>
                </m:sSup>
                <m:r>
                  <w:rPr>
                    <w:rFonts w:ascii="Cambria Math" w:hAnsi="Cambria Math"/>
                    <w:sz w:val="20"/>
                    <w:szCs w:val="20"/>
                  </w:rPr>
                  <m:t xml:space="preserve">s </m:t>
                </m:r>
                <m:r>
                  <m:rPr>
                    <m:nor/>
                  </m:rPr>
                  <w:rPr>
                    <w:rFonts w:ascii="Cambria Math" w:hAnsi="Cambria Math"/>
                    <w:sz w:val="20"/>
                    <w:szCs w:val="20"/>
                  </w:rPr>
                  <m:t xml:space="preserve">n </m:t>
                </m:r>
                <m:r>
                  <w:rPr>
                    <w:rFonts w:ascii="Cambria Math" w:hAnsi="Cambria Math"/>
                    <w:sz w:val="20"/>
                    <w:szCs w:val="20"/>
                  </w:rPr>
                  <m:t xml:space="preserve">value for the </m:t>
                </m:r>
              </m:oMath>
            </m:oMathPara>
          </w:p>
          <w:p w:rsid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main channel</m:t>
                </m:r>
              </m:oMath>
            </m:oMathPara>
          </w:p>
        </w:tc>
        <w:tc>
          <w:tcPr>
            <w:tcW w:w="484" w:type="pct"/>
            <w:tcBorders>
              <w:top w:val="nil"/>
              <w:left w:val="nil"/>
              <w:bottom w:val="nil"/>
              <w:right w:val="nil"/>
            </w:tcBorders>
          </w:tcPr>
          <w:p w:rsidR="00D75DC5" w:rsidRDefault="00D75DC5" w:rsidP="004C3198">
            <w:pPr>
              <w:jc w:val="center"/>
              <w:rPr>
                <w:rFonts w:ascii="Times New Roman" w:eastAsia="PMingLiU" w:hAnsi="Times New Roman" w:cs="Times New Roman"/>
                <w:sz w:val="20"/>
                <w:szCs w:val="20"/>
              </w:rPr>
            </w:pPr>
            <w:r>
              <w:rPr>
                <w:sz w:val="20"/>
                <w:szCs w:val="20"/>
              </w:rPr>
              <w:t>Varies within range tested</w:t>
            </w:r>
          </w:p>
          <w:p w:rsidR="00D75DC5" w:rsidRDefault="00D75DC5" w:rsidP="004C3198">
            <w:pPr>
              <w:jc w:val="center"/>
              <w:rPr>
                <w:rFonts w:ascii="Times New Roman" w:eastAsia="PMingLiU" w:hAnsi="Times New Roman" w:cs="Times New Roman"/>
                <w:sz w:val="20"/>
                <w:szCs w:val="20"/>
              </w:rPr>
            </w:pP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0.035, 0.11</w:t>
            </w:r>
          </w:p>
        </w:tc>
        <w:tc>
          <w:tcPr>
            <w:tcW w:w="655" w:type="pct"/>
            <w:tcBorders>
              <w:top w:val="nil"/>
              <w:left w:val="nil"/>
              <w:bottom w:val="nil"/>
              <w:right w:val="single" w:sz="8" w:space="0" w:color="000000" w:themeColor="text1"/>
            </w:tcBorders>
            <w:hideMark/>
          </w:tcPr>
          <w:p w:rsidR="00D75DC5" w:rsidRDefault="00D75DC5" w:rsidP="004C3198">
            <w:pPr>
              <w:jc w:val="center"/>
              <w:rPr>
                <w:rFonts w:ascii="Times New Roman" w:eastAsia="PMingLiU" w:hAnsi="Times New Roman" w:cs="Times New Roman"/>
                <w:sz w:val="20"/>
                <w:szCs w:val="20"/>
              </w:rPr>
            </w:pPr>
            <w:r>
              <w:rPr>
                <w:sz w:val="20"/>
                <w:szCs w:val="20"/>
              </w:rPr>
              <w:t>0.0909</w:t>
            </w:r>
          </w:p>
        </w:tc>
      </w:tr>
      <w:tr w:rsidR="00D75DC5" w:rsidTr="004C3198">
        <w:trPr>
          <w:trHeight w:val="229"/>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4</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Alpha_bf</w:t>
            </w:r>
          </w:p>
        </w:tc>
        <w:tc>
          <w:tcPr>
            <w:tcW w:w="2171" w:type="pct"/>
            <w:gridSpan w:val="2"/>
            <w:tcBorders>
              <w:top w:val="nil"/>
              <w:left w:val="nil"/>
              <w:bottom w:val="nil"/>
              <w:right w:val="nil"/>
            </w:tcBorders>
            <w:hideMark/>
          </w:tcPr>
          <w:p w:rsidR="00D75DC5" w:rsidRP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Baseflow recession factor</m:t>
                </m:r>
              </m:oMath>
            </m:oMathPara>
          </w:p>
          <w:p w:rsid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 (days)</m:t>
                </m:r>
              </m:oMath>
            </m:oMathPara>
          </w:p>
        </w:tc>
        <w:tc>
          <w:tcPr>
            <w:tcW w:w="484" w:type="pct"/>
            <w:tcBorders>
              <w:top w:val="nil"/>
              <w:left w:val="nil"/>
              <w:bottom w:val="nil"/>
              <w:right w:val="nil"/>
            </w:tcBorders>
          </w:tcPr>
          <w:p w:rsidR="00D75DC5" w:rsidRDefault="00D75DC5" w:rsidP="004C3198">
            <w:pPr>
              <w:jc w:val="center"/>
              <w:rPr>
                <w:rFonts w:ascii="Times New Roman" w:eastAsia="PMingLiU" w:hAnsi="Times New Roman" w:cs="Times New Roman"/>
                <w:sz w:val="20"/>
                <w:szCs w:val="20"/>
              </w:rPr>
            </w:pPr>
            <w:r>
              <w:rPr>
                <w:sz w:val="20"/>
                <w:szCs w:val="20"/>
              </w:rPr>
              <w:t>0.75</w:t>
            </w:r>
          </w:p>
          <w:p w:rsidR="00D75DC5" w:rsidRDefault="00D75DC5" w:rsidP="004C3198">
            <w:pPr>
              <w:jc w:val="center"/>
              <w:rPr>
                <w:rFonts w:ascii="Times New Roman" w:eastAsia="PMingLiU" w:hAnsi="Times New Roman" w:cs="Times New Roman"/>
                <w:sz w:val="20"/>
                <w:szCs w:val="20"/>
              </w:rPr>
            </w:pP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0, 1</w:t>
            </w:r>
          </w:p>
        </w:tc>
        <w:tc>
          <w:tcPr>
            <w:tcW w:w="655" w:type="pct"/>
            <w:tcBorders>
              <w:top w:val="nil"/>
              <w:left w:val="nil"/>
              <w:bottom w:val="nil"/>
              <w:right w:val="single" w:sz="8" w:space="0" w:color="000000" w:themeColor="text1"/>
            </w:tcBorders>
            <w:hideMark/>
          </w:tcPr>
          <w:p w:rsidR="00D75DC5" w:rsidRDefault="00D75DC5" w:rsidP="004C3198">
            <w:pPr>
              <w:jc w:val="center"/>
              <w:rPr>
                <w:sz w:val="20"/>
                <w:szCs w:val="20"/>
              </w:rPr>
            </w:pPr>
            <w:r>
              <w:rPr>
                <w:sz w:val="20"/>
                <w:szCs w:val="20"/>
              </w:rPr>
              <w:t>0.0816</w:t>
            </w:r>
          </w:p>
          <w:p w:rsidR="00D75DC5" w:rsidRDefault="00D75DC5" w:rsidP="004C3198">
            <w:pPr>
              <w:jc w:val="center"/>
              <w:rPr>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220"/>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5</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Blai</w:t>
            </w:r>
          </w:p>
        </w:tc>
        <w:tc>
          <w:tcPr>
            <w:tcW w:w="2171" w:type="pct"/>
            <w:gridSpan w:val="2"/>
            <w:tcBorders>
              <w:top w:val="nil"/>
              <w:left w:val="nil"/>
              <w:bottom w:val="nil"/>
              <w:right w:val="nil"/>
            </w:tcBorders>
            <w:hideMark/>
          </w:tcPr>
          <w:p w:rsidR="00D75DC5" w:rsidRP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Maximum potential leaf </m:t>
                </m:r>
              </m:oMath>
            </m:oMathPara>
          </w:p>
          <w:p w:rsid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area index</m:t>
                </m:r>
              </m:oMath>
            </m:oMathPara>
          </w:p>
        </w:tc>
        <w:tc>
          <w:tcPr>
            <w:tcW w:w="484" w:type="pct"/>
            <w:tcBorders>
              <w:top w:val="nil"/>
              <w:left w:val="nil"/>
              <w:bottom w:val="nil"/>
              <w:right w:val="nil"/>
            </w:tcBorders>
          </w:tcPr>
          <w:p w:rsidR="00D75DC5" w:rsidRDefault="00D75DC5" w:rsidP="004C3198">
            <w:pPr>
              <w:jc w:val="center"/>
              <w:rPr>
                <w:rFonts w:ascii="Times New Roman" w:eastAsia="PMingLiU" w:hAnsi="Times New Roman" w:cs="Times New Roman"/>
                <w:sz w:val="20"/>
                <w:szCs w:val="20"/>
              </w:rPr>
            </w:pPr>
            <w:r>
              <w:rPr>
                <w:sz w:val="20"/>
                <w:szCs w:val="20"/>
              </w:rPr>
              <w:t>Default</w:t>
            </w:r>
          </w:p>
          <w:p w:rsidR="00D75DC5" w:rsidRDefault="00D75DC5" w:rsidP="004C3198">
            <w:pPr>
              <w:jc w:val="center"/>
              <w:rPr>
                <w:rFonts w:ascii="Times New Roman" w:eastAsia="PMingLiU" w:hAnsi="Times New Roman" w:cs="Times New Roman"/>
                <w:sz w:val="20"/>
                <w:szCs w:val="20"/>
              </w:rPr>
            </w:pP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0, 1</w:t>
            </w:r>
          </w:p>
        </w:tc>
        <w:tc>
          <w:tcPr>
            <w:tcW w:w="655" w:type="pct"/>
            <w:tcBorders>
              <w:top w:val="nil"/>
              <w:left w:val="nil"/>
              <w:bottom w:val="nil"/>
              <w:right w:val="single" w:sz="8" w:space="0" w:color="000000" w:themeColor="text1"/>
            </w:tcBorders>
            <w:hideMark/>
          </w:tcPr>
          <w:p w:rsidR="00D75DC5" w:rsidRDefault="00D75DC5" w:rsidP="004C3198">
            <w:pPr>
              <w:jc w:val="center"/>
              <w:rPr>
                <w:sz w:val="20"/>
                <w:szCs w:val="20"/>
              </w:rPr>
            </w:pPr>
            <w:r>
              <w:rPr>
                <w:sz w:val="20"/>
                <w:szCs w:val="20"/>
              </w:rPr>
              <w:t>0.0308</w:t>
            </w:r>
          </w:p>
          <w:p w:rsidR="00D75DC5" w:rsidRDefault="00D75DC5" w:rsidP="004C3198">
            <w:pPr>
              <w:jc w:val="center"/>
              <w:rPr>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150"/>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6</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Surlag</w:t>
            </w:r>
          </w:p>
        </w:tc>
        <w:tc>
          <w:tcPr>
            <w:tcW w:w="2171" w:type="pct"/>
            <w:gridSpan w:val="2"/>
            <w:tcBorders>
              <w:top w:val="nil"/>
              <w:left w:val="nil"/>
              <w:bottom w:val="nil"/>
              <w:right w:val="nil"/>
            </w:tcBorders>
            <w:hideMark/>
          </w:tcPr>
          <w:p w:rsidR="004C3198" w:rsidRPr="004C3198"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Surface runoff lag </m:t>
                </m:r>
              </m:oMath>
            </m:oMathPara>
          </w:p>
          <w:p w:rsidR="00D75DC5" w:rsidRPr="004C3198" w:rsidRDefault="00D75DC5" w:rsidP="004C3198">
            <w:pPr>
              <w:jc w:val="center"/>
              <w:rPr>
                <w:rFonts w:ascii="Times New Roman" w:eastAsia="PMingLiU" w:hAnsi="Times New Roman" w:cs="Times New Roman"/>
                <w:sz w:val="20"/>
                <w:szCs w:val="20"/>
              </w:rPr>
            </w:pPr>
            <m:oMathPara>
              <m:oMath>
                <m:r>
                  <w:rPr>
                    <w:rFonts w:ascii="Cambria Math" w:hAnsi="Cambria Math"/>
                    <w:sz w:val="20"/>
                    <w:szCs w:val="20"/>
                  </w:rPr>
                  <m:t>coefficient (days)</m:t>
                </m:r>
              </m:oMath>
            </m:oMathPara>
          </w:p>
        </w:tc>
        <w:tc>
          <w:tcPr>
            <w:tcW w:w="484" w:type="pct"/>
            <w:tcBorders>
              <w:top w:val="nil"/>
              <w:left w:val="nil"/>
              <w:bottom w:val="nil"/>
              <w:right w:val="nil"/>
            </w:tcBorders>
          </w:tcPr>
          <w:p w:rsidR="00D75DC5" w:rsidRDefault="00D75DC5" w:rsidP="004C3198">
            <w:pPr>
              <w:jc w:val="center"/>
              <w:rPr>
                <w:rFonts w:ascii="Times New Roman" w:eastAsia="PMingLiU" w:hAnsi="Times New Roman" w:cs="Times New Roman"/>
                <w:sz w:val="20"/>
                <w:szCs w:val="20"/>
              </w:rPr>
            </w:pPr>
            <w:r>
              <w:rPr>
                <w:sz w:val="20"/>
                <w:szCs w:val="20"/>
              </w:rPr>
              <w:t>Default</w:t>
            </w:r>
          </w:p>
          <w:p w:rsidR="00D75DC5" w:rsidRDefault="00D75DC5" w:rsidP="004C3198">
            <w:pPr>
              <w:jc w:val="center"/>
              <w:rPr>
                <w:rFonts w:ascii="Times New Roman" w:eastAsia="PMingLiU" w:hAnsi="Times New Roman" w:cs="Times New Roman"/>
                <w:sz w:val="20"/>
                <w:szCs w:val="20"/>
              </w:rPr>
            </w:pP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1, 24</w:t>
            </w:r>
          </w:p>
        </w:tc>
        <w:tc>
          <w:tcPr>
            <w:tcW w:w="655" w:type="pct"/>
            <w:tcBorders>
              <w:top w:val="nil"/>
              <w:left w:val="nil"/>
              <w:bottom w:val="nil"/>
              <w:right w:val="single" w:sz="8" w:space="0" w:color="000000" w:themeColor="text1"/>
            </w:tcBorders>
            <w:hideMark/>
          </w:tcPr>
          <w:p w:rsidR="00D75DC5" w:rsidRDefault="00D75DC5" w:rsidP="004C3198">
            <w:pPr>
              <w:jc w:val="center"/>
              <w:rPr>
                <w:sz w:val="20"/>
                <w:szCs w:val="20"/>
              </w:rPr>
            </w:pPr>
            <w:r>
              <w:rPr>
                <w:sz w:val="20"/>
                <w:szCs w:val="20"/>
              </w:rPr>
              <w:t>0.0261</w:t>
            </w:r>
          </w:p>
          <w:p w:rsidR="00D75DC5" w:rsidRDefault="00D75DC5" w:rsidP="004C3198">
            <w:pPr>
              <w:jc w:val="center"/>
              <w:rPr>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229"/>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7</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Sol_Z</w:t>
            </w:r>
          </w:p>
        </w:tc>
        <w:tc>
          <w:tcPr>
            <w:tcW w:w="2171" w:type="pct"/>
            <w:gridSpan w:val="2"/>
            <w:tcBorders>
              <w:top w:val="nil"/>
              <w:left w:val="nil"/>
              <w:bottom w:val="nil"/>
              <w:right w:val="nil"/>
            </w:tcBorders>
            <w:hideMark/>
          </w:tcPr>
          <w:p w:rsidR="00D75DC5" w:rsidRP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Depth from soil surface to bottom  </m:t>
                </m:r>
              </m:oMath>
            </m:oMathPara>
          </w:p>
          <w:p w:rsidR="00D75DC5" w:rsidRPr="00D75DC5" w:rsidRDefault="004C3198" w:rsidP="004C3198">
            <w:pPr>
              <w:jc w:val="center"/>
              <w:rPr>
                <w:rFonts w:ascii="Times New Roman" w:eastAsia="PMingLiU" w:hAnsi="Times New Roman" w:cs="Times New Roman"/>
                <w:sz w:val="20"/>
                <w:szCs w:val="20"/>
              </w:rPr>
            </w:pPr>
            <m:oMath>
              <m:r>
                <w:rPr>
                  <w:rFonts w:ascii="Cambria Math" w:hAnsi="Cambria Math"/>
                  <w:sz w:val="20"/>
                  <w:szCs w:val="20"/>
                </w:rPr>
                <m:t>of soil</m:t>
              </m:r>
            </m:oMath>
            <w:r w:rsidR="00D75DC5">
              <w:rPr>
                <w:rFonts w:ascii="Times New Roman" w:eastAsia="PMingLiU" w:hAnsi="Times New Roman" w:cs="Times New Roman"/>
                <w:sz w:val="20"/>
                <w:szCs w:val="20"/>
              </w:rPr>
              <w:t xml:space="preserve"> </w:t>
            </w:r>
            <m:oMath>
              <m:r>
                <w:rPr>
                  <w:rFonts w:ascii="Cambria Math" w:hAnsi="Cambria Math"/>
                  <w:sz w:val="20"/>
                  <w:szCs w:val="20"/>
                </w:rPr>
                <m:t>layer (mm)</m:t>
              </m:r>
            </m:oMath>
          </w:p>
        </w:tc>
        <w:tc>
          <w:tcPr>
            <w:tcW w:w="484" w:type="pct"/>
            <w:tcBorders>
              <w:top w:val="nil"/>
              <w:left w:val="nil"/>
              <w:bottom w:val="nil"/>
              <w:right w:val="nil"/>
            </w:tcBorders>
          </w:tcPr>
          <w:p w:rsidR="00D75DC5" w:rsidRDefault="00D75DC5" w:rsidP="004C3198">
            <w:pPr>
              <w:jc w:val="center"/>
              <w:rPr>
                <w:rFonts w:ascii="Times New Roman" w:eastAsia="PMingLiU" w:hAnsi="Times New Roman" w:cs="Times New Roman"/>
                <w:sz w:val="20"/>
                <w:szCs w:val="20"/>
              </w:rPr>
            </w:pPr>
            <w:r>
              <w:rPr>
                <w:sz w:val="20"/>
                <w:szCs w:val="20"/>
              </w:rPr>
              <w:t>Default</w:t>
            </w:r>
          </w:p>
          <w:p w:rsidR="00D75DC5" w:rsidRDefault="00D75DC5" w:rsidP="004C3198">
            <w:pPr>
              <w:jc w:val="center"/>
              <w:rPr>
                <w:rFonts w:ascii="Times New Roman" w:eastAsia="PMingLiU" w:hAnsi="Times New Roman" w:cs="Times New Roman"/>
                <w:sz w:val="20"/>
                <w:szCs w:val="20"/>
              </w:rPr>
            </w:pP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 xml:space="preserve">-4%, 4% </w:t>
            </w:r>
            <w:r>
              <w:rPr>
                <w:sz w:val="20"/>
                <w:szCs w:val="20"/>
                <w:vertAlign w:val="superscript"/>
              </w:rPr>
              <w:t>d</w:t>
            </w:r>
          </w:p>
        </w:tc>
        <w:tc>
          <w:tcPr>
            <w:tcW w:w="655" w:type="pct"/>
            <w:tcBorders>
              <w:top w:val="nil"/>
              <w:left w:val="nil"/>
              <w:bottom w:val="nil"/>
              <w:right w:val="single" w:sz="8" w:space="0" w:color="000000" w:themeColor="text1"/>
            </w:tcBorders>
            <w:hideMark/>
          </w:tcPr>
          <w:p w:rsidR="00D75DC5" w:rsidRDefault="00D75DC5" w:rsidP="004C3198">
            <w:pPr>
              <w:jc w:val="center"/>
              <w:rPr>
                <w:sz w:val="20"/>
                <w:szCs w:val="20"/>
              </w:rPr>
            </w:pPr>
            <w:r>
              <w:rPr>
                <w:sz w:val="20"/>
                <w:szCs w:val="20"/>
              </w:rPr>
              <w:t>0.0205</w:t>
            </w:r>
          </w:p>
          <w:p w:rsidR="00D75DC5" w:rsidRDefault="00D75DC5" w:rsidP="004C3198">
            <w:pPr>
              <w:jc w:val="center"/>
              <w:rPr>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220"/>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8</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Esco</w:t>
            </w:r>
          </w:p>
        </w:tc>
        <w:tc>
          <w:tcPr>
            <w:tcW w:w="2171" w:type="pct"/>
            <w:gridSpan w:val="2"/>
            <w:tcBorders>
              <w:top w:val="nil"/>
              <w:left w:val="nil"/>
              <w:bottom w:val="nil"/>
              <w:right w:val="nil"/>
            </w:tcBorders>
            <w:hideMark/>
          </w:tcPr>
          <w:p w:rsidR="00D75DC5" w:rsidRP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Soil evaporation </m:t>
                </m:r>
              </m:oMath>
            </m:oMathPara>
          </w:p>
          <w:p w:rsidR="00D75DC5" w:rsidRDefault="004C3198"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compensation factor</m:t>
                </m:r>
              </m:oMath>
            </m:oMathPara>
          </w:p>
        </w:tc>
        <w:tc>
          <w:tcPr>
            <w:tcW w:w="484"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0.7</w:t>
            </w: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0.65, 0.80</w:t>
            </w:r>
          </w:p>
        </w:tc>
        <w:tc>
          <w:tcPr>
            <w:tcW w:w="655" w:type="pct"/>
            <w:tcBorders>
              <w:top w:val="nil"/>
              <w:left w:val="nil"/>
              <w:bottom w:val="nil"/>
              <w:right w:val="single" w:sz="8" w:space="0" w:color="000000" w:themeColor="text1"/>
            </w:tcBorders>
          </w:tcPr>
          <w:p w:rsidR="00D75DC5" w:rsidRDefault="00D75DC5" w:rsidP="004C3198">
            <w:pPr>
              <w:jc w:val="center"/>
              <w:rPr>
                <w:rFonts w:ascii="Times New Roman" w:eastAsia="PMingLiU" w:hAnsi="Times New Roman" w:cs="Times New Roman"/>
                <w:sz w:val="20"/>
                <w:szCs w:val="20"/>
              </w:rPr>
            </w:pPr>
            <w:r>
              <w:rPr>
                <w:sz w:val="20"/>
                <w:szCs w:val="20"/>
              </w:rPr>
              <w:t>0.0166</w:t>
            </w:r>
          </w:p>
          <w:p w:rsidR="00D75DC5" w:rsidRDefault="00D75DC5" w:rsidP="004C3198">
            <w:pPr>
              <w:jc w:val="center"/>
              <w:rPr>
                <w:rFonts w:ascii="Times New Roman" w:eastAsia="PMingLiU" w:hAnsi="Times New Roman" w:cs="Times New Roman"/>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321"/>
          <w:jc w:val="center"/>
        </w:trPr>
        <w:tc>
          <w:tcPr>
            <w:tcW w:w="655" w:type="pct"/>
            <w:tcBorders>
              <w:top w:val="nil"/>
              <w:left w:val="single" w:sz="8" w:space="0" w:color="000000" w:themeColor="text1"/>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9</w:t>
            </w:r>
          </w:p>
        </w:tc>
        <w:tc>
          <w:tcPr>
            <w:tcW w:w="577" w:type="pct"/>
            <w:gridSpan w:val="2"/>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Ch_K2</w:t>
            </w:r>
            <w:r>
              <w:rPr>
                <w:sz w:val="20"/>
                <w:szCs w:val="20"/>
                <w:vertAlign w:val="superscript"/>
              </w:rPr>
              <w:t>e</w:t>
            </w:r>
          </w:p>
        </w:tc>
        <w:tc>
          <w:tcPr>
            <w:tcW w:w="2171" w:type="pct"/>
            <w:gridSpan w:val="2"/>
            <w:tcBorders>
              <w:top w:val="nil"/>
              <w:left w:val="nil"/>
              <w:bottom w:val="nil"/>
              <w:right w:val="nil"/>
            </w:tcBorders>
            <w:hideMark/>
          </w:tcPr>
          <w:p w:rsidR="00D75DC5" w:rsidRPr="00D75DC5"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Effective hydra</m:t>
                </m:r>
                <m:r>
                  <w:rPr>
                    <w:rFonts w:ascii="Cambria Math" w:hAnsi="Cambria Math"/>
                    <w:sz w:val="20"/>
                    <w:szCs w:val="20"/>
                  </w:rPr>
                  <m:t xml:space="preserve">ulic conductivity  </m:t>
                </m:r>
              </m:oMath>
            </m:oMathPara>
          </w:p>
          <w:p w:rsidR="00D75DC5" w:rsidRPr="00D75DC5" w:rsidRDefault="004C3198" w:rsidP="004C3198">
            <w:pPr>
              <w:jc w:val="center"/>
              <w:rPr>
                <w:rFonts w:ascii="Times New Roman" w:eastAsia="PMingLiU" w:hAnsi="Times New Roman" w:cs="Times New Roman"/>
                <w:sz w:val="20"/>
                <w:szCs w:val="20"/>
              </w:rPr>
            </w:pPr>
            <m:oMath>
              <m:r>
                <w:rPr>
                  <w:rFonts w:ascii="Cambria Math" w:hAnsi="Cambria Math"/>
                  <w:sz w:val="20"/>
                  <w:szCs w:val="20"/>
                </w:rPr>
                <m:t>in main</m:t>
              </m:r>
            </m:oMath>
            <w:r w:rsidR="00D75DC5">
              <w:rPr>
                <w:rFonts w:ascii="Times New Roman" w:eastAsia="PMingLiU" w:hAnsi="Times New Roman" w:cs="Times New Roman"/>
                <w:sz w:val="20"/>
                <w:szCs w:val="20"/>
              </w:rPr>
              <w:t xml:space="preserve"> </w:t>
            </w:r>
            <m:oMath>
              <m:r>
                <w:rPr>
                  <w:rFonts w:ascii="Cambria Math" w:hAnsi="Cambria Math"/>
                  <w:sz w:val="20"/>
                  <w:szCs w:val="20"/>
                </w:rPr>
                <m:t>channel alluivum (</m:t>
              </m:r>
              <m:f>
                <m:fPr>
                  <m:ctrlPr>
                    <w:rPr>
                      <w:rFonts w:ascii="Cambria Math" w:eastAsia="PMingLiU" w:hAnsi="Cambria Math" w:cs="Times New Roman"/>
                      <w:i/>
                    </w:rPr>
                  </m:ctrlPr>
                </m:fPr>
                <m:num>
                  <m:r>
                    <w:rPr>
                      <w:rFonts w:ascii="Cambria Math" w:hAnsi="Cambria Math"/>
                      <w:sz w:val="20"/>
                      <w:szCs w:val="20"/>
                    </w:rPr>
                    <m:t>mm</m:t>
                  </m:r>
                </m:num>
                <m:den>
                  <m:r>
                    <w:rPr>
                      <w:rFonts w:ascii="Cambria Math" w:hAnsi="Cambria Math"/>
                      <w:sz w:val="20"/>
                      <w:szCs w:val="20"/>
                    </w:rPr>
                    <m:t>hr</m:t>
                  </m:r>
                </m:den>
              </m:f>
              <m:r>
                <w:rPr>
                  <w:rFonts w:ascii="Cambria Math" w:hAnsi="Cambria Math"/>
                  <w:sz w:val="20"/>
                  <w:szCs w:val="20"/>
                </w:rPr>
                <m:t>)</m:t>
              </m:r>
            </m:oMath>
          </w:p>
        </w:tc>
        <w:tc>
          <w:tcPr>
            <w:tcW w:w="484"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6.4-7</w:t>
            </w:r>
          </w:p>
        </w:tc>
        <w:tc>
          <w:tcPr>
            <w:tcW w:w="459" w:type="pct"/>
            <w:tcBorders>
              <w:top w:val="nil"/>
              <w:left w:val="nil"/>
              <w:bottom w:val="nil"/>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3, 20</w:t>
            </w:r>
          </w:p>
        </w:tc>
        <w:tc>
          <w:tcPr>
            <w:tcW w:w="655" w:type="pct"/>
            <w:tcBorders>
              <w:top w:val="nil"/>
              <w:left w:val="nil"/>
              <w:bottom w:val="nil"/>
              <w:right w:val="single" w:sz="8" w:space="0" w:color="000000" w:themeColor="text1"/>
            </w:tcBorders>
            <w:hideMark/>
          </w:tcPr>
          <w:p w:rsidR="00D75DC5" w:rsidRDefault="00D75DC5" w:rsidP="004C3198">
            <w:pPr>
              <w:jc w:val="center"/>
              <w:rPr>
                <w:sz w:val="20"/>
                <w:szCs w:val="20"/>
              </w:rPr>
            </w:pPr>
            <w:r>
              <w:rPr>
                <w:sz w:val="20"/>
                <w:szCs w:val="20"/>
              </w:rPr>
              <w:t>0.0141</w:t>
            </w:r>
          </w:p>
          <w:p w:rsidR="00D75DC5" w:rsidRDefault="00D75DC5" w:rsidP="004C3198">
            <w:pPr>
              <w:jc w:val="center"/>
              <w:rPr>
                <w:sz w:val="20"/>
                <w:szCs w:val="20"/>
              </w:rPr>
            </w:pPr>
          </w:p>
          <w:p w:rsidR="00D75DC5" w:rsidRDefault="00D75DC5" w:rsidP="004C3198">
            <w:pPr>
              <w:jc w:val="center"/>
              <w:rPr>
                <w:rFonts w:ascii="Times New Roman" w:eastAsia="PMingLiU" w:hAnsi="Times New Roman" w:cs="Times New Roman"/>
                <w:sz w:val="20"/>
                <w:szCs w:val="20"/>
              </w:rPr>
            </w:pPr>
          </w:p>
        </w:tc>
      </w:tr>
      <w:tr w:rsidR="00D75DC5" w:rsidTr="004C3198">
        <w:trPr>
          <w:trHeight w:val="229"/>
          <w:jc w:val="center"/>
        </w:trPr>
        <w:tc>
          <w:tcPr>
            <w:tcW w:w="655" w:type="pct"/>
            <w:tcBorders>
              <w:top w:val="nil"/>
              <w:left w:val="single" w:sz="8" w:space="0" w:color="000000" w:themeColor="text1"/>
              <w:bottom w:val="single" w:sz="4" w:space="0" w:color="auto"/>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10</w:t>
            </w:r>
          </w:p>
        </w:tc>
        <w:tc>
          <w:tcPr>
            <w:tcW w:w="577" w:type="pct"/>
            <w:gridSpan w:val="2"/>
            <w:tcBorders>
              <w:top w:val="nil"/>
              <w:left w:val="nil"/>
              <w:bottom w:val="single" w:sz="4" w:space="0" w:color="auto"/>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Sol_Awc</w:t>
            </w:r>
          </w:p>
        </w:tc>
        <w:tc>
          <w:tcPr>
            <w:tcW w:w="2171" w:type="pct"/>
            <w:gridSpan w:val="2"/>
            <w:tcBorders>
              <w:top w:val="nil"/>
              <w:left w:val="nil"/>
              <w:bottom w:val="single" w:sz="4" w:space="0" w:color="auto"/>
              <w:right w:val="nil"/>
            </w:tcBorders>
            <w:hideMark/>
          </w:tcPr>
          <w:p w:rsidR="004C3198" w:rsidRPr="004C3198" w:rsidRDefault="00D75DC5" w:rsidP="004C3198">
            <w:pPr>
              <w:jc w:val="center"/>
              <w:rPr>
                <w:rFonts w:ascii="Times New Roman" w:eastAsia="PMingLiU" w:hAnsi="Times New Roman" w:cs="Times New Roman"/>
                <w:sz w:val="20"/>
                <w:szCs w:val="20"/>
              </w:rPr>
            </w:pPr>
            <m:oMathPara>
              <m:oMathParaPr>
                <m:jc m:val="centerGroup"/>
              </m:oMathParaPr>
              <m:oMath>
                <m:r>
                  <w:rPr>
                    <w:rFonts w:ascii="Cambria Math" w:hAnsi="Cambria Math"/>
                    <w:sz w:val="20"/>
                    <w:szCs w:val="20"/>
                  </w:rPr>
                  <m:t xml:space="preserve">Available water capacity of </m:t>
                </m:r>
              </m:oMath>
            </m:oMathPara>
          </w:p>
          <w:p w:rsidR="00D75DC5" w:rsidRPr="004C3198" w:rsidRDefault="00D75DC5" w:rsidP="004C3198">
            <w:pPr>
              <w:jc w:val="center"/>
              <w:rPr>
                <w:rFonts w:ascii="Times New Roman" w:eastAsia="PMingLiU" w:hAnsi="Times New Roman" w:cs="Times New Roman"/>
                <w:sz w:val="20"/>
                <w:szCs w:val="20"/>
              </w:rPr>
            </w:pPr>
            <m:oMath>
              <m:r>
                <w:rPr>
                  <w:rFonts w:ascii="Cambria Math" w:hAnsi="Cambria Math"/>
                  <w:sz w:val="20"/>
                  <w:szCs w:val="20"/>
                </w:rPr>
                <m:t>the</m:t>
              </m:r>
            </m:oMath>
            <w:r w:rsidR="004C3198">
              <w:rPr>
                <w:rFonts w:ascii="Times New Roman" w:eastAsia="PMingLiU" w:hAnsi="Times New Roman" w:cs="Times New Roman"/>
                <w:sz w:val="20"/>
                <w:szCs w:val="20"/>
              </w:rPr>
              <w:t xml:space="preserve"> </w:t>
            </w:r>
            <m:oMath>
              <m:r>
                <w:rPr>
                  <w:rFonts w:ascii="Cambria Math" w:hAnsi="Cambria Math"/>
                  <w:sz w:val="20"/>
                  <w:szCs w:val="20"/>
                </w:rPr>
                <m:t>soil layer (mm)</m:t>
              </m:r>
            </m:oMath>
          </w:p>
        </w:tc>
        <w:tc>
          <w:tcPr>
            <w:tcW w:w="484" w:type="pct"/>
            <w:tcBorders>
              <w:top w:val="nil"/>
              <w:left w:val="nil"/>
              <w:bottom w:val="single" w:sz="4" w:space="0" w:color="auto"/>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Default</w:t>
            </w:r>
          </w:p>
        </w:tc>
        <w:tc>
          <w:tcPr>
            <w:tcW w:w="459" w:type="pct"/>
            <w:tcBorders>
              <w:top w:val="nil"/>
              <w:left w:val="nil"/>
              <w:bottom w:val="single" w:sz="4" w:space="0" w:color="auto"/>
              <w:right w:val="nil"/>
            </w:tcBorders>
            <w:hideMark/>
          </w:tcPr>
          <w:p w:rsidR="00D75DC5" w:rsidRDefault="00D75DC5" w:rsidP="004C3198">
            <w:pPr>
              <w:jc w:val="center"/>
              <w:rPr>
                <w:rFonts w:ascii="Times New Roman" w:eastAsia="PMingLiU" w:hAnsi="Times New Roman" w:cs="Times New Roman"/>
                <w:sz w:val="20"/>
                <w:szCs w:val="20"/>
              </w:rPr>
            </w:pPr>
            <w:r>
              <w:rPr>
                <w:sz w:val="20"/>
                <w:szCs w:val="20"/>
              </w:rPr>
              <w:t>-4%, 4%</w:t>
            </w:r>
            <w:r>
              <w:rPr>
                <w:sz w:val="20"/>
                <w:szCs w:val="20"/>
                <w:vertAlign w:val="superscript"/>
              </w:rPr>
              <w:t xml:space="preserve"> d</w:t>
            </w:r>
          </w:p>
        </w:tc>
        <w:tc>
          <w:tcPr>
            <w:tcW w:w="655" w:type="pct"/>
            <w:tcBorders>
              <w:top w:val="nil"/>
              <w:left w:val="nil"/>
              <w:bottom w:val="single" w:sz="4" w:space="0" w:color="auto"/>
              <w:right w:val="single" w:sz="8" w:space="0" w:color="000000" w:themeColor="text1"/>
            </w:tcBorders>
            <w:hideMark/>
          </w:tcPr>
          <w:p w:rsidR="00D75DC5" w:rsidRDefault="00D75DC5" w:rsidP="004C3198">
            <w:pPr>
              <w:jc w:val="center"/>
              <w:rPr>
                <w:rFonts w:ascii="Times New Roman" w:eastAsia="PMingLiU" w:hAnsi="Times New Roman" w:cs="Times New Roman"/>
                <w:sz w:val="20"/>
                <w:szCs w:val="20"/>
              </w:rPr>
            </w:pPr>
            <w:r>
              <w:rPr>
                <w:sz w:val="20"/>
                <w:szCs w:val="20"/>
              </w:rPr>
              <w:t>0.0113</w:t>
            </w:r>
          </w:p>
        </w:tc>
      </w:tr>
    </w:tbl>
    <w:p w:rsidR="006F45B7" w:rsidRDefault="006F45B7" w:rsidP="006F45B7">
      <w:pPr>
        <w:rPr>
          <w:rFonts w:eastAsia="PMingLiU"/>
          <w:b/>
          <w:sz w:val="20"/>
          <w:szCs w:val="20"/>
        </w:rPr>
      </w:pPr>
      <w:proofErr w:type="gramStart"/>
      <w:r>
        <w:rPr>
          <w:vertAlign w:val="superscript"/>
        </w:rPr>
        <w:t>a</w:t>
      </w:r>
      <w:proofErr w:type="gramEnd"/>
      <w:r>
        <w:t xml:space="preserve"> Only 10 most sensitive parameters are shown</w:t>
      </w:r>
    </w:p>
    <w:p w:rsidR="00D27CB0" w:rsidRDefault="006F45B7" w:rsidP="00D27CB0">
      <w:proofErr w:type="gramStart"/>
      <w:r>
        <w:rPr>
          <w:vertAlign w:val="superscript"/>
        </w:rPr>
        <w:t>b</w:t>
      </w:r>
      <w:proofErr w:type="gramEnd"/>
      <w:r>
        <w:t xml:space="preserve"> In order of decreasing sensitivity</w:t>
      </w:r>
    </w:p>
    <w:p w:rsidR="006F45B7" w:rsidRDefault="006F45B7" w:rsidP="00D27CB0">
      <w:pPr>
        <w:rPr>
          <w:b/>
        </w:rPr>
      </w:pPr>
      <w:proofErr w:type="gramStart"/>
      <w:r>
        <w:rPr>
          <w:vertAlign w:val="superscript"/>
        </w:rPr>
        <w:t>c</w:t>
      </w:r>
      <w:proofErr w:type="gramEnd"/>
      <w:r>
        <w:t xml:space="preserve"> Minimum and maximum values listed</w:t>
      </w:r>
    </w:p>
    <w:p w:rsidR="006F45B7" w:rsidRDefault="006F45B7" w:rsidP="006F45B7">
      <w:pPr>
        <w:rPr>
          <w:b/>
        </w:rPr>
      </w:pPr>
      <w:proofErr w:type="gramStart"/>
      <w:r>
        <w:rPr>
          <w:vertAlign w:val="superscript"/>
        </w:rPr>
        <w:t>d</w:t>
      </w:r>
      <w:proofErr w:type="gramEnd"/>
      <w:r>
        <w:t xml:space="preserve"> Initial value multiplied by values in range</w:t>
      </w:r>
    </w:p>
    <w:p w:rsidR="006F45B7" w:rsidRDefault="006F45B7" w:rsidP="006F45B7">
      <w:proofErr w:type="gramStart"/>
      <w:r>
        <w:rPr>
          <w:vertAlign w:val="superscript"/>
        </w:rPr>
        <w:t>e</w:t>
      </w:r>
      <w:proofErr w:type="gramEnd"/>
      <w:r>
        <w:t xml:space="preserve"> Only applied to subbasins with intermittent or ephemeral main channels.  Values based on those reported by Zume and Tarhule (2008).</w:t>
      </w:r>
    </w:p>
    <w:p w:rsidR="006F45B7" w:rsidRDefault="006F45B7" w:rsidP="00CD20B4">
      <w:pPr>
        <w:spacing w:line="480" w:lineRule="auto"/>
      </w:pPr>
    </w:p>
    <w:p w:rsidR="00D27CB0" w:rsidRDefault="00D27CB0" w:rsidP="00CD20B4">
      <w:pPr>
        <w:spacing w:line="480" w:lineRule="auto"/>
      </w:pPr>
    </w:p>
    <w:p w:rsidR="006F45B7" w:rsidRDefault="006F45B7" w:rsidP="00916E53">
      <w:pPr>
        <w:pStyle w:val="Tabletitle"/>
        <w:jc w:val="center"/>
      </w:pPr>
      <w:bookmarkStart w:id="109" w:name="_Toc364503708"/>
      <w:bookmarkStart w:id="110" w:name="_Toc367550602"/>
      <w:r>
        <w:lastRenderedPageBreak/>
        <w:t>Table 3.</w:t>
      </w:r>
      <w:r w:rsidRPr="00D6111B">
        <w:t xml:space="preserve">4: CNs for crops in this investigation, by National Resources Conservation </w:t>
      </w:r>
      <w:r>
        <w:t>Hydrologic Soil Group</w:t>
      </w:r>
      <w:bookmarkEnd w:id="109"/>
      <w:bookmarkEnd w:id="110"/>
    </w:p>
    <w:p w:rsidR="006F45B7" w:rsidRPr="00B766F7" w:rsidRDefault="006F45B7" w:rsidP="006F45B7">
      <w:pPr>
        <w:rPr>
          <w:lang w:val="en-GB" w:eastAsia="en-GB"/>
        </w:rPr>
      </w:pPr>
    </w:p>
    <w:tbl>
      <w:tblPr>
        <w:tblStyle w:val="LightShading-Accent1"/>
        <w:tblW w:w="5000" w:type="pct"/>
        <w:tblLook w:val="0660" w:firstRow="1" w:lastRow="1" w:firstColumn="0" w:lastColumn="0" w:noHBand="1" w:noVBand="1"/>
      </w:tblPr>
      <w:tblGrid>
        <w:gridCol w:w="2521"/>
        <w:gridCol w:w="1548"/>
        <w:gridCol w:w="1547"/>
        <w:gridCol w:w="1549"/>
        <w:gridCol w:w="1547"/>
      </w:tblGrid>
      <w:tr w:rsidR="006F45B7" w:rsidRPr="00E8783C" w:rsidTr="00146657">
        <w:trPr>
          <w:cnfStyle w:val="100000000000" w:firstRow="1" w:lastRow="0" w:firstColumn="0" w:lastColumn="0" w:oddVBand="0" w:evenVBand="0" w:oddHBand="0" w:evenHBand="0" w:firstRowFirstColumn="0" w:firstRowLastColumn="0" w:lastRowFirstColumn="0" w:lastRowLastColumn="0"/>
        </w:trPr>
        <w:tc>
          <w:tcPr>
            <w:tcW w:w="1446" w:type="pct"/>
            <w:noWrap/>
            <w:hideMark/>
          </w:tcPr>
          <w:p w:rsidR="006F45B7" w:rsidRPr="00E8783C" w:rsidRDefault="006F45B7" w:rsidP="00E01EA9">
            <w:pPr>
              <w:rPr>
                <w:rFonts w:eastAsia="PMingLiU" w:cs="Times New Roman"/>
                <w:color w:val="auto"/>
                <w:sz w:val="24"/>
                <w:szCs w:val="24"/>
              </w:rPr>
            </w:pPr>
            <w:r w:rsidRPr="00E8783C">
              <w:rPr>
                <w:color w:val="auto"/>
                <w:sz w:val="24"/>
                <w:szCs w:val="24"/>
              </w:rPr>
              <w:t>Crop</w:t>
            </w:r>
          </w:p>
        </w:tc>
        <w:tc>
          <w:tcPr>
            <w:tcW w:w="888" w:type="pct"/>
            <w:hideMark/>
          </w:tcPr>
          <w:p w:rsidR="006F45B7" w:rsidRPr="00E8783C" w:rsidRDefault="006F45B7" w:rsidP="00E01EA9">
            <w:pPr>
              <w:rPr>
                <w:rFonts w:eastAsia="PMingLiU" w:cs="Times New Roman"/>
                <w:color w:val="auto"/>
                <w:sz w:val="24"/>
                <w:szCs w:val="24"/>
              </w:rPr>
            </w:pPr>
            <w:r w:rsidRPr="00E8783C">
              <w:rPr>
                <w:color w:val="auto"/>
                <w:sz w:val="24"/>
                <w:szCs w:val="24"/>
              </w:rPr>
              <w:t>Soil Group A</w:t>
            </w:r>
            <w:r w:rsidRPr="00E8783C">
              <w:rPr>
                <w:color w:val="auto"/>
                <w:sz w:val="24"/>
                <w:szCs w:val="24"/>
                <w:vertAlign w:val="superscript"/>
              </w:rPr>
              <w:t>a</w:t>
            </w:r>
            <w:r w:rsidRPr="00E8783C">
              <w:rPr>
                <w:color w:val="auto"/>
                <w:sz w:val="24"/>
                <w:szCs w:val="24"/>
              </w:rPr>
              <w:t xml:space="preserve"> </w:t>
            </w:r>
          </w:p>
        </w:tc>
        <w:tc>
          <w:tcPr>
            <w:tcW w:w="888" w:type="pct"/>
            <w:hideMark/>
          </w:tcPr>
          <w:p w:rsidR="006F45B7" w:rsidRPr="00E8783C" w:rsidRDefault="006F45B7" w:rsidP="00E01EA9">
            <w:pPr>
              <w:rPr>
                <w:rFonts w:eastAsia="PMingLiU" w:cs="Times New Roman"/>
                <w:color w:val="auto"/>
                <w:sz w:val="24"/>
                <w:szCs w:val="24"/>
              </w:rPr>
            </w:pPr>
            <w:r w:rsidRPr="00E8783C">
              <w:rPr>
                <w:color w:val="auto"/>
                <w:sz w:val="24"/>
                <w:szCs w:val="24"/>
              </w:rPr>
              <w:t xml:space="preserve">Soil Group B </w:t>
            </w:r>
          </w:p>
        </w:tc>
        <w:tc>
          <w:tcPr>
            <w:tcW w:w="889" w:type="pct"/>
            <w:hideMark/>
          </w:tcPr>
          <w:p w:rsidR="006F45B7" w:rsidRPr="00E8783C" w:rsidRDefault="006F45B7" w:rsidP="00E01EA9">
            <w:pPr>
              <w:rPr>
                <w:rFonts w:eastAsia="PMingLiU" w:cs="Times New Roman"/>
                <w:color w:val="auto"/>
                <w:sz w:val="24"/>
                <w:szCs w:val="24"/>
              </w:rPr>
            </w:pPr>
            <w:r w:rsidRPr="00E8783C">
              <w:rPr>
                <w:color w:val="auto"/>
                <w:sz w:val="24"/>
                <w:szCs w:val="24"/>
              </w:rPr>
              <w:t xml:space="preserve">Soil Group C </w:t>
            </w:r>
          </w:p>
        </w:tc>
        <w:tc>
          <w:tcPr>
            <w:tcW w:w="888" w:type="pct"/>
            <w:hideMark/>
          </w:tcPr>
          <w:p w:rsidR="006F45B7" w:rsidRPr="00E8783C" w:rsidRDefault="006F45B7" w:rsidP="00E01EA9">
            <w:pPr>
              <w:rPr>
                <w:rFonts w:eastAsia="PMingLiU" w:cs="Times New Roman"/>
                <w:color w:val="auto"/>
                <w:sz w:val="24"/>
                <w:szCs w:val="24"/>
              </w:rPr>
            </w:pPr>
            <w:r w:rsidRPr="00E8783C">
              <w:rPr>
                <w:color w:val="auto"/>
                <w:sz w:val="24"/>
                <w:szCs w:val="24"/>
              </w:rPr>
              <w:t>Soil Group D</w:t>
            </w:r>
            <w:r>
              <w:rPr>
                <w:color w:val="auto"/>
                <w:sz w:val="24"/>
                <w:szCs w:val="24"/>
              </w:rPr>
              <w:t xml:space="preserve"> </w:t>
            </w:r>
            <w:r w:rsidRPr="00E8783C">
              <w:rPr>
                <w:color w:val="auto"/>
                <w:sz w:val="24"/>
                <w:szCs w:val="24"/>
                <w:vertAlign w:val="superscript"/>
              </w:rPr>
              <w:t>b</w:t>
            </w:r>
          </w:p>
        </w:tc>
      </w:tr>
      <w:tr w:rsidR="006F45B7" w:rsidRPr="00E8783C" w:rsidTr="00146657">
        <w:tc>
          <w:tcPr>
            <w:tcW w:w="1446" w:type="pct"/>
            <w:tcBorders>
              <w:top w:val="nil"/>
              <w:left w:val="nil"/>
              <w:bottom w:val="nil"/>
              <w:right w:val="nil"/>
            </w:tcBorders>
            <w:noWrap/>
          </w:tcPr>
          <w:p w:rsidR="006F45B7" w:rsidRPr="00E8783C" w:rsidRDefault="006F45B7" w:rsidP="00E01EA9">
            <w:pPr>
              <w:rPr>
                <w:rFonts w:eastAsia="PMingLiU" w:cs="Times New Roman"/>
                <w:color w:val="auto"/>
                <w:sz w:val="24"/>
                <w:szCs w:val="24"/>
              </w:rPr>
            </w:pPr>
          </w:p>
        </w:tc>
        <w:tc>
          <w:tcPr>
            <w:tcW w:w="888" w:type="pct"/>
            <w:tcBorders>
              <w:top w:val="nil"/>
              <w:left w:val="nil"/>
              <w:bottom w:val="nil"/>
              <w:right w:val="nil"/>
            </w:tcBorders>
          </w:tcPr>
          <w:p w:rsidR="006F45B7" w:rsidRPr="00E8783C" w:rsidRDefault="006F45B7" w:rsidP="00E01EA9">
            <w:pPr>
              <w:rPr>
                <w:rStyle w:val="SubtleEmphasis"/>
                <w:rFonts w:eastAsia="PMingLiU" w:cs="Times New Roman"/>
                <w:color w:val="auto"/>
                <w:sz w:val="24"/>
                <w:szCs w:val="24"/>
              </w:rPr>
            </w:pPr>
          </w:p>
        </w:tc>
        <w:tc>
          <w:tcPr>
            <w:tcW w:w="888" w:type="pct"/>
            <w:tcBorders>
              <w:top w:val="nil"/>
              <w:left w:val="nil"/>
              <w:bottom w:val="nil"/>
              <w:right w:val="nil"/>
            </w:tcBorders>
          </w:tcPr>
          <w:p w:rsidR="006F45B7" w:rsidRPr="00E8783C" w:rsidRDefault="006F45B7" w:rsidP="00E01EA9">
            <w:pPr>
              <w:rPr>
                <w:rFonts w:eastAsia="PMingLiU" w:cs="Times New Roman"/>
                <w:color w:val="auto"/>
                <w:sz w:val="24"/>
                <w:szCs w:val="24"/>
              </w:rPr>
            </w:pPr>
          </w:p>
        </w:tc>
        <w:tc>
          <w:tcPr>
            <w:tcW w:w="889" w:type="pct"/>
            <w:tcBorders>
              <w:top w:val="nil"/>
              <w:left w:val="nil"/>
              <w:bottom w:val="nil"/>
              <w:right w:val="nil"/>
            </w:tcBorders>
          </w:tcPr>
          <w:p w:rsidR="006F45B7" w:rsidRPr="00E8783C" w:rsidRDefault="006F45B7" w:rsidP="00E01EA9">
            <w:pPr>
              <w:rPr>
                <w:rFonts w:eastAsia="PMingLiU" w:cs="Times New Roman"/>
                <w:color w:val="auto"/>
                <w:sz w:val="24"/>
                <w:szCs w:val="24"/>
              </w:rPr>
            </w:pPr>
          </w:p>
        </w:tc>
        <w:tc>
          <w:tcPr>
            <w:tcW w:w="888" w:type="pct"/>
            <w:tcBorders>
              <w:top w:val="nil"/>
              <w:left w:val="nil"/>
              <w:bottom w:val="nil"/>
              <w:right w:val="nil"/>
            </w:tcBorders>
          </w:tcPr>
          <w:p w:rsidR="006F45B7" w:rsidRPr="00E8783C" w:rsidRDefault="006F45B7" w:rsidP="00E01EA9">
            <w:pPr>
              <w:rPr>
                <w:rFonts w:eastAsia="PMingLiU" w:cs="Times New Roman"/>
                <w:color w:val="auto"/>
                <w:sz w:val="24"/>
                <w:szCs w:val="24"/>
              </w:rPr>
            </w:pPr>
          </w:p>
        </w:tc>
      </w:tr>
      <w:tr w:rsidR="006F45B7" w:rsidRPr="00E8783C" w:rsidTr="00146657">
        <w:tc>
          <w:tcPr>
            <w:tcW w:w="1446" w:type="pct"/>
            <w:tcBorders>
              <w:top w:val="nil"/>
              <w:left w:val="nil"/>
              <w:bottom w:val="nil"/>
              <w:right w:val="nil"/>
            </w:tcBorders>
            <w:noWrap/>
            <w:hideMark/>
          </w:tcPr>
          <w:p w:rsidR="006F45B7" w:rsidRPr="00E8783C" w:rsidRDefault="006F45B7" w:rsidP="00916E53">
            <w:pPr>
              <w:spacing w:line="480" w:lineRule="auto"/>
              <w:rPr>
                <w:rFonts w:eastAsia="PMingLiU" w:cs="Times New Roman"/>
                <w:color w:val="auto"/>
              </w:rPr>
            </w:pPr>
            <w:r w:rsidRPr="00E8783C">
              <w:rPr>
                <w:color w:val="auto"/>
              </w:rPr>
              <w:t>Winter Wheat</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62</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73</w:t>
            </w:r>
          </w:p>
        </w:tc>
        <w:tc>
          <w:tcPr>
            <w:tcW w:w="889"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81</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84</w:t>
            </w:r>
          </w:p>
        </w:tc>
      </w:tr>
      <w:tr w:rsidR="006F45B7" w:rsidRPr="00E8783C" w:rsidTr="00146657">
        <w:tc>
          <w:tcPr>
            <w:tcW w:w="1446" w:type="pct"/>
            <w:tcBorders>
              <w:top w:val="nil"/>
              <w:left w:val="nil"/>
              <w:bottom w:val="nil"/>
              <w:right w:val="nil"/>
            </w:tcBorders>
            <w:noWrap/>
            <w:hideMark/>
          </w:tcPr>
          <w:p w:rsidR="006F45B7" w:rsidRPr="00E8783C" w:rsidRDefault="006F45B7" w:rsidP="00916E53">
            <w:pPr>
              <w:spacing w:line="480" w:lineRule="auto"/>
              <w:rPr>
                <w:rFonts w:eastAsia="PMingLiU" w:cs="Times New Roman"/>
                <w:color w:val="auto"/>
              </w:rPr>
            </w:pPr>
            <w:r w:rsidRPr="00E8783C">
              <w:rPr>
                <w:color w:val="auto"/>
              </w:rPr>
              <w:t>Native Range Grasses</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45</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66</w:t>
            </w:r>
          </w:p>
        </w:tc>
        <w:tc>
          <w:tcPr>
            <w:tcW w:w="889"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77</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83</w:t>
            </w:r>
          </w:p>
        </w:tc>
      </w:tr>
      <w:tr w:rsidR="006F45B7" w:rsidRPr="00E8783C" w:rsidTr="00146657">
        <w:tc>
          <w:tcPr>
            <w:tcW w:w="1446" w:type="pct"/>
            <w:tcBorders>
              <w:top w:val="nil"/>
              <w:left w:val="nil"/>
              <w:bottom w:val="nil"/>
              <w:right w:val="nil"/>
            </w:tcBorders>
            <w:noWrap/>
            <w:hideMark/>
          </w:tcPr>
          <w:p w:rsidR="006F45B7" w:rsidRPr="00E8783C" w:rsidRDefault="006F45B7" w:rsidP="00916E53">
            <w:pPr>
              <w:spacing w:line="480" w:lineRule="auto"/>
              <w:rPr>
                <w:rFonts w:eastAsia="PMingLiU" w:cs="Times New Roman"/>
                <w:color w:val="auto"/>
              </w:rPr>
            </w:pPr>
            <w:r w:rsidRPr="00E8783C">
              <w:rPr>
                <w:color w:val="auto"/>
              </w:rPr>
              <w:t>Shrubland</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39</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61</w:t>
            </w:r>
          </w:p>
        </w:tc>
        <w:tc>
          <w:tcPr>
            <w:tcW w:w="889"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74</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80</w:t>
            </w:r>
          </w:p>
        </w:tc>
      </w:tr>
      <w:tr w:rsidR="006F45B7" w:rsidRPr="00E8783C" w:rsidTr="00146657">
        <w:tc>
          <w:tcPr>
            <w:tcW w:w="1446" w:type="pct"/>
            <w:tcBorders>
              <w:top w:val="nil"/>
              <w:left w:val="nil"/>
              <w:bottom w:val="nil"/>
              <w:right w:val="nil"/>
            </w:tcBorders>
            <w:noWrap/>
            <w:hideMark/>
          </w:tcPr>
          <w:p w:rsidR="006F45B7" w:rsidRPr="00E8783C" w:rsidRDefault="006F45B7" w:rsidP="00916E53">
            <w:pPr>
              <w:spacing w:line="480" w:lineRule="auto"/>
              <w:rPr>
                <w:rFonts w:eastAsia="PMingLiU" w:cs="Times New Roman"/>
                <w:color w:val="auto"/>
              </w:rPr>
            </w:pPr>
            <w:r w:rsidRPr="00E8783C">
              <w:rPr>
                <w:color w:val="auto"/>
              </w:rPr>
              <w:t>Low-density development</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31</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59</w:t>
            </w:r>
          </w:p>
        </w:tc>
        <w:tc>
          <w:tcPr>
            <w:tcW w:w="889"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72</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79</w:t>
            </w:r>
          </w:p>
        </w:tc>
      </w:tr>
      <w:tr w:rsidR="006F45B7" w:rsidRPr="00E8783C" w:rsidTr="00146657">
        <w:tc>
          <w:tcPr>
            <w:tcW w:w="1446" w:type="pct"/>
            <w:tcBorders>
              <w:top w:val="nil"/>
              <w:left w:val="nil"/>
              <w:bottom w:val="nil"/>
              <w:right w:val="nil"/>
            </w:tcBorders>
            <w:noWrap/>
            <w:hideMark/>
          </w:tcPr>
          <w:p w:rsidR="006F45B7" w:rsidRPr="00E8783C" w:rsidRDefault="006F45B7" w:rsidP="00916E53">
            <w:pPr>
              <w:spacing w:line="480" w:lineRule="auto"/>
              <w:rPr>
                <w:rFonts w:eastAsia="PMingLiU" w:cs="Times New Roman"/>
                <w:color w:val="auto"/>
              </w:rPr>
            </w:pPr>
            <w:r w:rsidRPr="00E8783C">
              <w:rPr>
                <w:color w:val="auto"/>
              </w:rPr>
              <w:t>Alamo Switchgrass</w:t>
            </w:r>
            <w:r>
              <w:rPr>
                <w:color w:val="auto"/>
              </w:rPr>
              <w:t xml:space="preserve"> </w:t>
            </w:r>
            <w:r w:rsidRPr="00B766F7">
              <w:rPr>
                <w:color w:val="auto"/>
                <w:vertAlign w:val="superscript"/>
              </w:rPr>
              <w:t>c</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31</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59</w:t>
            </w:r>
          </w:p>
        </w:tc>
        <w:tc>
          <w:tcPr>
            <w:tcW w:w="889"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72</w:t>
            </w:r>
          </w:p>
        </w:tc>
        <w:tc>
          <w:tcPr>
            <w:tcW w:w="888" w:type="pct"/>
            <w:tcBorders>
              <w:top w:val="nil"/>
              <w:left w:val="nil"/>
              <w:bottom w:val="nil"/>
              <w:right w:val="nil"/>
            </w:tcBorders>
            <w:hideMark/>
          </w:tcPr>
          <w:p w:rsidR="006F45B7" w:rsidRPr="00E8783C" w:rsidRDefault="006F45B7" w:rsidP="00916E53">
            <w:pPr>
              <w:pStyle w:val="DecimalAligned"/>
              <w:spacing w:line="480" w:lineRule="auto"/>
              <w:rPr>
                <w:rFonts w:eastAsiaTheme="minorHAnsi" w:cs="Times New Roman"/>
                <w:color w:val="auto"/>
              </w:rPr>
            </w:pPr>
            <w:r w:rsidRPr="00E8783C">
              <w:rPr>
                <w:rFonts w:cs="Times New Roman"/>
                <w:color w:val="auto"/>
              </w:rPr>
              <w:t>79</w:t>
            </w:r>
          </w:p>
        </w:tc>
      </w:tr>
      <w:tr w:rsidR="00146657" w:rsidRPr="00146657" w:rsidTr="00146657">
        <w:trPr>
          <w:cnfStyle w:val="010000000000" w:firstRow="0" w:lastRow="1" w:firstColumn="0" w:lastColumn="0" w:oddVBand="0" w:evenVBand="0" w:oddHBand="0" w:evenHBand="0" w:firstRowFirstColumn="0" w:firstRowLastColumn="0" w:lastRowFirstColumn="0" w:lastRowLastColumn="0"/>
        </w:trPr>
        <w:tc>
          <w:tcPr>
            <w:tcW w:w="1446" w:type="pct"/>
            <w:tcBorders>
              <w:top w:val="nil"/>
              <w:bottom w:val="nil"/>
            </w:tcBorders>
            <w:noWrap/>
          </w:tcPr>
          <w:p w:rsidR="00146657" w:rsidRPr="00146657" w:rsidRDefault="00146657" w:rsidP="00146657">
            <w:pPr>
              <w:rPr>
                <w:b w:val="0"/>
                <w:color w:val="auto"/>
              </w:rPr>
            </w:pPr>
            <w:r w:rsidRPr="00146657">
              <w:rPr>
                <w:b w:val="0"/>
                <w:color w:val="auto"/>
              </w:rPr>
              <w:t xml:space="preserve">Evergreen Forest </w:t>
            </w:r>
          </w:p>
        </w:tc>
        <w:tc>
          <w:tcPr>
            <w:tcW w:w="888" w:type="pct"/>
            <w:tcBorders>
              <w:top w:val="nil"/>
              <w:bottom w:val="nil"/>
            </w:tcBorders>
          </w:tcPr>
          <w:p w:rsidR="00146657" w:rsidRPr="00146657" w:rsidRDefault="00146657" w:rsidP="00146657">
            <w:pPr>
              <w:pStyle w:val="DecimalAligned"/>
              <w:spacing w:line="240" w:lineRule="auto"/>
              <w:rPr>
                <w:rFonts w:cs="Times New Roman"/>
                <w:b w:val="0"/>
                <w:color w:val="auto"/>
              </w:rPr>
            </w:pPr>
            <w:r>
              <w:rPr>
                <w:rFonts w:cs="Times New Roman"/>
                <w:b w:val="0"/>
                <w:color w:val="auto"/>
              </w:rPr>
              <w:t>25</w:t>
            </w:r>
          </w:p>
        </w:tc>
        <w:tc>
          <w:tcPr>
            <w:tcW w:w="888" w:type="pct"/>
            <w:tcBorders>
              <w:top w:val="nil"/>
              <w:bottom w:val="nil"/>
            </w:tcBorders>
          </w:tcPr>
          <w:p w:rsidR="00146657" w:rsidRPr="00146657" w:rsidRDefault="00146657" w:rsidP="00146657">
            <w:pPr>
              <w:pStyle w:val="DecimalAligned"/>
              <w:spacing w:line="240" w:lineRule="auto"/>
              <w:rPr>
                <w:rFonts w:cs="Times New Roman"/>
                <w:b w:val="0"/>
                <w:color w:val="auto"/>
              </w:rPr>
            </w:pPr>
            <w:r>
              <w:rPr>
                <w:rFonts w:cs="Times New Roman"/>
                <w:b w:val="0"/>
                <w:color w:val="auto"/>
              </w:rPr>
              <w:t>55</w:t>
            </w:r>
          </w:p>
        </w:tc>
        <w:tc>
          <w:tcPr>
            <w:tcW w:w="889" w:type="pct"/>
            <w:tcBorders>
              <w:top w:val="nil"/>
              <w:bottom w:val="nil"/>
            </w:tcBorders>
          </w:tcPr>
          <w:p w:rsidR="00146657" w:rsidRPr="00146657" w:rsidRDefault="00146657" w:rsidP="00146657">
            <w:pPr>
              <w:pStyle w:val="DecimalAligned"/>
              <w:spacing w:line="240" w:lineRule="auto"/>
              <w:rPr>
                <w:rFonts w:cs="Times New Roman"/>
                <w:b w:val="0"/>
                <w:color w:val="auto"/>
              </w:rPr>
            </w:pPr>
            <w:r>
              <w:rPr>
                <w:rFonts w:cs="Times New Roman"/>
                <w:b w:val="0"/>
                <w:color w:val="auto"/>
              </w:rPr>
              <w:t>70</w:t>
            </w:r>
          </w:p>
        </w:tc>
        <w:tc>
          <w:tcPr>
            <w:tcW w:w="888" w:type="pct"/>
            <w:tcBorders>
              <w:top w:val="nil"/>
              <w:bottom w:val="nil"/>
            </w:tcBorders>
          </w:tcPr>
          <w:p w:rsidR="00146657" w:rsidRPr="00146657" w:rsidRDefault="00146657" w:rsidP="00146657">
            <w:pPr>
              <w:pStyle w:val="DecimalAligned"/>
              <w:spacing w:line="240" w:lineRule="auto"/>
              <w:rPr>
                <w:rFonts w:cs="Times New Roman"/>
                <w:b w:val="0"/>
                <w:color w:val="auto"/>
              </w:rPr>
            </w:pPr>
            <w:r>
              <w:rPr>
                <w:rFonts w:cs="Times New Roman"/>
                <w:b w:val="0"/>
                <w:color w:val="auto"/>
              </w:rPr>
              <w:t>77</w:t>
            </w:r>
          </w:p>
        </w:tc>
      </w:tr>
    </w:tbl>
    <w:p w:rsidR="00146657" w:rsidRDefault="006F45B7" w:rsidP="00146657">
      <w:pPr>
        <w:pStyle w:val="FootnoteText"/>
        <w:rPr>
          <w:rStyle w:val="SubtleEmphasis"/>
          <w:color w:val="auto"/>
          <w:sz w:val="24"/>
          <w:szCs w:val="24"/>
        </w:rPr>
      </w:pPr>
      <w:r w:rsidRPr="00E8783C">
        <w:rPr>
          <w:rStyle w:val="SubtleEmphasis"/>
          <w:color w:val="auto"/>
          <w:sz w:val="24"/>
          <w:szCs w:val="24"/>
        </w:rPr>
        <w:t>_____________________________________________________________________</w:t>
      </w:r>
    </w:p>
    <w:p w:rsidR="006F45B7" w:rsidRDefault="006F45B7" w:rsidP="00490F16">
      <w:pPr>
        <w:pStyle w:val="FootnoteText"/>
        <w:rPr>
          <w:rStyle w:val="SubtleEmphasis"/>
          <w:i w:val="0"/>
          <w:color w:val="000000" w:themeColor="text1"/>
          <w:sz w:val="24"/>
          <w:szCs w:val="24"/>
        </w:rPr>
      </w:pPr>
      <w:proofErr w:type="gramStart"/>
      <w:r w:rsidRPr="003C652D">
        <w:rPr>
          <w:rStyle w:val="SubtleEmphasis"/>
          <w:i w:val="0"/>
          <w:color w:val="000000" w:themeColor="text1"/>
          <w:sz w:val="24"/>
          <w:szCs w:val="24"/>
          <w:vertAlign w:val="superscript"/>
        </w:rPr>
        <w:t>a</w:t>
      </w:r>
      <w:proofErr w:type="gramEnd"/>
      <w:r w:rsidRPr="003C652D">
        <w:rPr>
          <w:rStyle w:val="SubtleEmphasis"/>
          <w:i w:val="0"/>
          <w:color w:val="000000" w:themeColor="text1"/>
          <w:sz w:val="24"/>
          <w:szCs w:val="24"/>
        </w:rPr>
        <w:t xml:space="preserve"> Lowest runoff potential</w:t>
      </w:r>
    </w:p>
    <w:p w:rsidR="003C652D" w:rsidRPr="003C652D" w:rsidRDefault="003C652D" w:rsidP="00490F16">
      <w:pPr>
        <w:pStyle w:val="FootnoteText"/>
        <w:rPr>
          <w:rStyle w:val="SubtleEmphasis"/>
          <w:i w:val="0"/>
        </w:rPr>
      </w:pPr>
    </w:p>
    <w:p w:rsidR="006F45B7" w:rsidRDefault="006F45B7" w:rsidP="006F45B7">
      <w:pPr>
        <w:pStyle w:val="FootnoteText"/>
        <w:rPr>
          <w:rStyle w:val="SubtleEmphasis"/>
          <w:i w:val="0"/>
          <w:color w:val="000000" w:themeColor="text1"/>
          <w:sz w:val="24"/>
          <w:szCs w:val="24"/>
        </w:rPr>
      </w:pPr>
      <w:proofErr w:type="gramStart"/>
      <w:r w:rsidRPr="003C652D">
        <w:rPr>
          <w:rStyle w:val="SubtleEmphasis"/>
          <w:i w:val="0"/>
          <w:color w:val="000000" w:themeColor="text1"/>
          <w:sz w:val="24"/>
          <w:szCs w:val="24"/>
          <w:vertAlign w:val="superscript"/>
        </w:rPr>
        <w:t>b</w:t>
      </w:r>
      <w:proofErr w:type="gramEnd"/>
      <w:r w:rsidRPr="003C652D">
        <w:rPr>
          <w:rStyle w:val="SubtleEmphasis"/>
          <w:i w:val="0"/>
          <w:color w:val="000000" w:themeColor="text1"/>
          <w:sz w:val="24"/>
          <w:szCs w:val="24"/>
        </w:rPr>
        <w:t xml:space="preserve"> Highest runoff potential</w:t>
      </w:r>
    </w:p>
    <w:p w:rsidR="003C652D" w:rsidRPr="003C652D" w:rsidRDefault="003C652D" w:rsidP="006F45B7">
      <w:pPr>
        <w:pStyle w:val="FootnoteText"/>
        <w:rPr>
          <w:rStyle w:val="SubtleEmphasis"/>
          <w:i w:val="0"/>
          <w:color w:val="000000" w:themeColor="text1"/>
          <w:sz w:val="24"/>
          <w:szCs w:val="24"/>
        </w:rPr>
      </w:pPr>
    </w:p>
    <w:p w:rsidR="006F45B7" w:rsidRPr="003C652D" w:rsidRDefault="006F45B7" w:rsidP="006F45B7">
      <w:pPr>
        <w:pStyle w:val="FootnoteText"/>
        <w:rPr>
          <w:rStyle w:val="SubtleEmphasis"/>
          <w:i w:val="0"/>
          <w:color w:val="000000" w:themeColor="text1"/>
          <w:sz w:val="24"/>
          <w:szCs w:val="24"/>
        </w:rPr>
      </w:pPr>
      <w:proofErr w:type="gramStart"/>
      <w:r w:rsidRPr="003C652D">
        <w:rPr>
          <w:rStyle w:val="SubtleEmphasis"/>
          <w:i w:val="0"/>
          <w:color w:val="000000" w:themeColor="text1"/>
          <w:sz w:val="24"/>
          <w:szCs w:val="24"/>
          <w:vertAlign w:val="superscript"/>
        </w:rPr>
        <w:t>c</w:t>
      </w:r>
      <w:proofErr w:type="gramEnd"/>
      <w:r w:rsidRPr="003C652D">
        <w:rPr>
          <w:rStyle w:val="SubtleEmphasis"/>
          <w:i w:val="0"/>
          <w:color w:val="000000" w:themeColor="text1"/>
          <w:sz w:val="24"/>
          <w:szCs w:val="24"/>
        </w:rPr>
        <w:t xml:space="preserve"> Not included in calibration simulation</w:t>
      </w:r>
    </w:p>
    <w:p w:rsidR="006F45B7" w:rsidRDefault="006F45B7" w:rsidP="006F45B7">
      <w:pPr>
        <w:pStyle w:val="FootnoteText"/>
        <w:rPr>
          <w:rStyle w:val="SubtleEmphasis"/>
          <w:sz w:val="24"/>
          <w:szCs w:val="24"/>
        </w:rPr>
      </w:pPr>
    </w:p>
    <w:p w:rsidR="00D27CB0" w:rsidRDefault="006F45B7" w:rsidP="00146657">
      <w:pPr>
        <w:pStyle w:val="FootnoteText"/>
      </w:pPr>
      <w:r>
        <w:rPr>
          <w:rStyle w:val="SubtleEmphasis"/>
          <w:color w:val="000000" w:themeColor="text1"/>
          <w:sz w:val="24"/>
          <w:szCs w:val="24"/>
        </w:rPr>
        <w:t>Source:</w:t>
      </w:r>
      <w:r>
        <w:rPr>
          <w:color w:val="000000" w:themeColor="text1"/>
        </w:rPr>
        <w:t xml:space="preserve"> </w:t>
      </w:r>
      <w:r>
        <w:rPr>
          <w:sz w:val="24"/>
          <w:szCs w:val="24"/>
        </w:rPr>
        <w:t>SWAT crop database</w:t>
      </w:r>
    </w:p>
    <w:p w:rsidR="00D27CB0" w:rsidRDefault="00D27CB0" w:rsidP="00916E53"/>
    <w:p w:rsidR="00146657" w:rsidRDefault="00146657" w:rsidP="00916E53"/>
    <w:p w:rsidR="00146657" w:rsidRDefault="00146657" w:rsidP="00916E53"/>
    <w:p w:rsidR="00A1319D" w:rsidRDefault="00A1319D" w:rsidP="00916E53"/>
    <w:p w:rsidR="00146657" w:rsidRDefault="00146657" w:rsidP="00916E53"/>
    <w:p w:rsidR="00146657" w:rsidRDefault="00146657" w:rsidP="00916E53"/>
    <w:p w:rsidR="00146657" w:rsidRDefault="00146657" w:rsidP="00916E53"/>
    <w:p w:rsidR="00146657" w:rsidRDefault="00146657" w:rsidP="00916E53"/>
    <w:p w:rsidR="00146657" w:rsidRDefault="00146657" w:rsidP="00916E53"/>
    <w:p w:rsidR="00146657" w:rsidRDefault="00146657" w:rsidP="00916E53"/>
    <w:p w:rsidR="00146657" w:rsidRDefault="00146657" w:rsidP="00916E53"/>
    <w:p w:rsidR="006F45B7" w:rsidRPr="00D6111B" w:rsidRDefault="006F45B7" w:rsidP="006F45B7">
      <w:pPr>
        <w:pStyle w:val="Tabletitle"/>
      </w:pPr>
      <w:bookmarkStart w:id="111" w:name="_Toc367550603"/>
      <w:bookmarkStart w:id="112" w:name="_Toc364503709"/>
      <w:r>
        <w:lastRenderedPageBreak/>
        <w:t>Table 3.</w:t>
      </w:r>
      <w:r w:rsidRPr="00D6111B">
        <w:t>5: Effectiveness of calibration during the calibration and simulation periods</w:t>
      </w:r>
      <w:bookmarkEnd w:id="111"/>
      <w:r>
        <w:t xml:space="preserve"> </w:t>
      </w:r>
      <w:bookmarkEnd w:id="112"/>
    </w:p>
    <w:tbl>
      <w:tblPr>
        <w:tblW w:w="5000" w:type="pct"/>
        <w:jc w:val="center"/>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660" w:firstRow="1" w:lastRow="1" w:firstColumn="0" w:lastColumn="0" w:noHBand="1" w:noVBand="1"/>
      </w:tblPr>
      <w:tblGrid>
        <w:gridCol w:w="1762"/>
        <w:gridCol w:w="1979"/>
        <w:gridCol w:w="1657"/>
        <w:gridCol w:w="1713"/>
        <w:gridCol w:w="1601"/>
      </w:tblGrid>
      <w:tr w:rsidR="006F45B7" w:rsidRPr="00A41D25" w:rsidTr="00F86E62">
        <w:trPr>
          <w:jc w:val="center"/>
        </w:trPr>
        <w:tc>
          <w:tcPr>
            <w:tcW w:w="1011" w:type="pct"/>
            <w:shd w:val="clear" w:color="auto" w:fill="000000" w:themeFill="text1"/>
            <w:noWrap/>
            <w:hideMark/>
          </w:tcPr>
          <w:p w:rsidR="006F45B7" w:rsidRPr="00CE05DE" w:rsidRDefault="006F45B7" w:rsidP="00E01EA9">
            <w:pPr>
              <w:jc w:val="center"/>
              <w:rPr>
                <w:b/>
                <w:color w:val="FFFFFF" w:themeColor="background1"/>
              </w:rPr>
            </w:pPr>
            <w:r w:rsidRPr="00CE05DE">
              <w:rPr>
                <w:b/>
                <w:color w:val="FFFFFF" w:themeColor="background1"/>
              </w:rPr>
              <w:t>Criterion</w:t>
            </w:r>
            <w:r w:rsidR="006A0B69">
              <w:rPr>
                <w:b/>
                <w:color w:val="FFFFFF" w:themeColor="background1"/>
              </w:rPr>
              <w:t xml:space="preserve"> * </w:t>
            </w:r>
          </w:p>
        </w:tc>
        <w:tc>
          <w:tcPr>
            <w:tcW w:w="1136" w:type="pct"/>
            <w:shd w:val="clear" w:color="auto" w:fill="000000" w:themeFill="text1"/>
            <w:hideMark/>
          </w:tcPr>
          <w:p w:rsidR="006F45B7" w:rsidRPr="00CE05DE" w:rsidRDefault="006F45B7" w:rsidP="00E01EA9">
            <w:pPr>
              <w:jc w:val="center"/>
              <w:rPr>
                <w:b/>
                <w:color w:val="FFFFFF" w:themeColor="background1"/>
              </w:rPr>
            </w:pPr>
            <w:r w:rsidRPr="00CE05DE">
              <w:rPr>
                <w:b/>
                <w:color w:val="FFFFFF" w:themeColor="background1"/>
              </w:rPr>
              <w:t>Winter</w:t>
            </w:r>
          </w:p>
        </w:tc>
        <w:tc>
          <w:tcPr>
            <w:tcW w:w="951" w:type="pct"/>
            <w:shd w:val="clear" w:color="auto" w:fill="000000" w:themeFill="text1"/>
            <w:hideMark/>
          </w:tcPr>
          <w:p w:rsidR="006F45B7" w:rsidRPr="00CE05DE" w:rsidRDefault="006F45B7" w:rsidP="00E01EA9">
            <w:pPr>
              <w:jc w:val="center"/>
              <w:rPr>
                <w:b/>
                <w:color w:val="FFFFFF" w:themeColor="background1"/>
              </w:rPr>
            </w:pPr>
            <w:r w:rsidRPr="00CE05DE">
              <w:rPr>
                <w:b/>
                <w:color w:val="FFFFFF" w:themeColor="background1"/>
              </w:rPr>
              <w:t>Spring</w:t>
            </w:r>
          </w:p>
        </w:tc>
        <w:tc>
          <w:tcPr>
            <w:tcW w:w="983" w:type="pct"/>
            <w:shd w:val="clear" w:color="auto" w:fill="000000" w:themeFill="text1"/>
            <w:hideMark/>
          </w:tcPr>
          <w:p w:rsidR="006F45B7" w:rsidRPr="00CE05DE" w:rsidRDefault="006F45B7" w:rsidP="00E01EA9">
            <w:pPr>
              <w:jc w:val="center"/>
              <w:rPr>
                <w:b/>
                <w:color w:val="FFFFFF" w:themeColor="background1"/>
              </w:rPr>
            </w:pPr>
            <w:r w:rsidRPr="00CE05DE">
              <w:rPr>
                <w:b/>
                <w:color w:val="FFFFFF" w:themeColor="background1"/>
              </w:rPr>
              <w:t>Summer</w:t>
            </w:r>
          </w:p>
        </w:tc>
        <w:tc>
          <w:tcPr>
            <w:tcW w:w="919" w:type="pct"/>
            <w:shd w:val="clear" w:color="auto" w:fill="000000" w:themeFill="text1"/>
            <w:hideMark/>
          </w:tcPr>
          <w:p w:rsidR="006F45B7" w:rsidRPr="00CE05DE" w:rsidRDefault="006F45B7" w:rsidP="00E01EA9">
            <w:pPr>
              <w:jc w:val="center"/>
              <w:rPr>
                <w:b/>
                <w:color w:val="FFFFFF" w:themeColor="background1"/>
              </w:rPr>
            </w:pPr>
            <w:r w:rsidRPr="00CE05DE">
              <w:rPr>
                <w:b/>
                <w:color w:val="FFFFFF" w:themeColor="background1"/>
              </w:rPr>
              <w:t>Fall</w:t>
            </w:r>
          </w:p>
        </w:tc>
      </w:tr>
      <w:tr w:rsidR="006F45B7" w:rsidRPr="008C4E1B" w:rsidTr="00F86E62">
        <w:trPr>
          <w:jc w:val="center"/>
        </w:trPr>
        <w:tc>
          <w:tcPr>
            <w:tcW w:w="1011" w:type="pct"/>
            <w:tcBorders>
              <w:top w:val="single" w:sz="8" w:space="0" w:color="000000" w:themeColor="text1"/>
            </w:tcBorders>
            <w:noWrap/>
          </w:tcPr>
          <w:p w:rsidR="006F45B7" w:rsidRPr="00CE05DE" w:rsidRDefault="006F45B7" w:rsidP="00E01EA9">
            <w:pPr>
              <w:jc w:val="center"/>
              <w:rPr>
                <w:b/>
                <w:sz w:val="22"/>
                <w:szCs w:val="22"/>
              </w:rPr>
            </w:pPr>
          </w:p>
        </w:tc>
        <w:tc>
          <w:tcPr>
            <w:tcW w:w="1136" w:type="pct"/>
            <w:tcBorders>
              <w:top w:val="single" w:sz="8" w:space="0" w:color="000000" w:themeColor="text1"/>
            </w:tcBorders>
            <w:hideMark/>
          </w:tcPr>
          <w:p w:rsidR="006F45B7" w:rsidRPr="00CE05DE" w:rsidRDefault="006F45B7" w:rsidP="00E01EA9">
            <w:pPr>
              <w:jc w:val="center"/>
              <w:rPr>
                <w:rStyle w:val="SubtleEmphasis"/>
                <w:sz w:val="22"/>
                <w:szCs w:val="22"/>
              </w:rPr>
            </w:pPr>
            <w:r w:rsidRPr="00CE05DE">
              <w:rPr>
                <w:rStyle w:val="SubtleEmphasis"/>
                <w:sz w:val="22"/>
                <w:szCs w:val="22"/>
              </w:rPr>
              <w:t>Calibration Period</w:t>
            </w:r>
          </w:p>
        </w:tc>
        <w:tc>
          <w:tcPr>
            <w:tcW w:w="951" w:type="pct"/>
            <w:tcBorders>
              <w:top w:val="single" w:sz="8" w:space="0" w:color="000000" w:themeColor="text1"/>
            </w:tcBorders>
          </w:tcPr>
          <w:p w:rsidR="006F45B7" w:rsidRPr="00CE05DE" w:rsidRDefault="006F45B7" w:rsidP="00E01EA9">
            <w:pPr>
              <w:jc w:val="center"/>
              <w:rPr>
                <w:sz w:val="22"/>
                <w:szCs w:val="22"/>
              </w:rPr>
            </w:pPr>
          </w:p>
        </w:tc>
        <w:tc>
          <w:tcPr>
            <w:tcW w:w="983" w:type="pct"/>
            <w:tcBorders>
              <w:top w:val="single" w:sz="8" w:space="0" w:color="000000" w:themeColor="text1"/>
            </w:tcBorders>
          </w:tcPr>
          <w:p w:rsidR="006F45B7" w:rsidRPr="00CE05DE" w:rsidRDefault="006F45B7" w:rsidP="00E01EA9">
            <w:pPr>
              <w:jc w:val="center"/>
              <w:rPr>
                <w:sz w:val="22"/>
                <w:szCs w:val="22"/>
              </w:rPr>
            </w:pPr>
          </w:p>
        </w:tc>
        <w:tc>
          <w:tcPr>
            <w:tcW w:w="919" w:type="pct"/>
            <w:tcBorders>
              <w:top w:val="single" w:sz="8" w:space="0" w:color="000000" w:themeColor="text1"/>
            </w:tcBorders>
          </w:tcPr>
          <w:p w:rsidR="006F45B7" w:rsidRPr="00CE05DE" w:rsidRDefault="006F45B7" w:rsidP="00E01EA9">
            <w:pPr>
              <w:jc w:val="center"/>
              <w:rPr>
                <w:sz w:val="22"/>
                <w:szCs w:val="22"/>
              </w:rPr>
            </w:pPr>
          </w:p>
        </w:tc>
      </w:tr>
      <w:tr w:rsidR="006F45B7" w:rsidRPr="008C4E1B" w:rsidTr="00F86E62">
        <w:trPr>
          <w:jc w:val="center"/>
        </w:trPr>
        <w:tc>
          <w:tcPr>
            <w:tcW w:w="1011" w:type="pct"/>
            <w:noWrap/>
            <w:hideMark/>
          </w:tcPr>
          <w:p w:rsidR="006F45B7" w:rsidRPr="00CE05DE" w:rsidRDefault="006F45B7" w:rsidP="00E01EA9">
            <w:pPr>
              <w:jc w:val="center"/>
              <w:rPr>
                <w:b/>
                <w:sz w:val="22"/>
                <w:szCs w:val="22"/>
              </w:rPr>
            </w:pPr>
            <w:r w:rsidRPr="00CE05DE">
              <w:rPr>
                <w:b/>
                <w:sz w:val="22"/>
                <w:szCs w:val="22"/>
              </w:rPr>
              <w:t>NSE</w:t>
            </w:r>
          </w:p>
        </w:tc>
        <w:tc>
          <w:tcPr>
            <w:tcW w:w="1136" w:type="pct"/>
            <w:hideMark/>
          </w:tcPr>
          <w:p w:rsidR="006F45B7" w:rsidRPr="00803D71" w:rsidRDefault="006F45B7" w:rsidP="00E01EA9">
            <w:pPr>
              <w:pStyle w:val="DecimalAligned"/>
              <w:jc w:val="center"/>
            </w:pPr>
            <w:r w:rsidRPr="00803D71">
              <w:t>0.64</w:t>
            </w:r>
          </w:p>
        </w:tc>
        <w:tc>
          <w:tcPr>
            <w:tcW w:w="951" w:type="pct"/>
            <w:hideMark/>
          </w:tcPr>
          <w:p w:rsidR="006F45B7" w:rsidRPr="00803D71" w:rsidRDefault="006F45B7" w:rsidP="00E01EA9">
            <w:pPr>
              <w:pStyle w:val="DecimalAligned"/>
              <w:jc w:val="center"/>
            </w:pPr>
            <w:r w:rsidRPr="00803D71">
              <w:t>0.76</w:t>
            </w:r>
          </w:p>
        </w:tc>
        <w:tc>
          <w:tcPr>
            <w:tcW w:w="983" w:type="pct"/>
            <w:hideMark/>
          </w:tcPr>
          <w:p w:rsidR="006F45B7" w:rsidRPr="00803D71" w:rsidRDefault="006F45B7" w:rsidP="00E01EA9">
            <w:pPr>
              <w:pStyle w:val="DecimalAligned"/>
              <w:jc w:val="center"/>
            </w:pPr>
            <w:r w:rsidRPr="00803D71">
              <w:t>0.97</w:t>
            </w:r>
          </w:p>
        </w:tc>
        <w:tc>
          <w:tcPr>
            <w:tcW w:w="919" w:type="pct"/>
            <w:hideMark/>
          </w:tcPr>
          <w:p w:rsidR="006F45B7" w:rsidRPr="00803D71" w:rsidRDefault="006F45B7" w:rsidP="00E01EA9">
            <w:pPr>
              <w:pStyle w:val="DecimalAligned"/>
              <w:jc w:val="center"/>
            </w:pPr>
            <w:r w:rsidRPr="00803D71">
              <w:t>0.87</w:t>
            </w:r>
          </w:p>
        </w:tc>
      </w:tr>
      <w:tr w:rsidR="006F45B7" w:rsidRPr="008C4E1B" w:rsidTr="00F86E62">
        <w:trPr>
          <w:jc w:val="center"/>
        </w:trPr>
        <w:tc>
          <w:tcPr>
            <w:tcW w:w="1011" w:type="pct"/>
            <w:noWrap/>
            <w:hideMark/>
          </w:tcPr>
          <w:p w:rsidR="006F45B7" w:rsidRPr="00CE05DE" w:rsidRDefault="006F45B7" w:rsidP="00E01EA9">
            <w:pPr>
              <w:jc w:val="center"/>
              <w:rPr>
                <w:b/>
                <w:sz w:val="22"/>
                <w:szCs w:val="22"/>
              </w:rPr>
            </w:pPr>
            <w:r w:rsidRPr="00CE05DE">
              <w:rPr>
                <w:b/>
                <w:sz w:val="22"/>
                <w:szCs w:val="22"/>
              </w:rPr>
              <w:t>PBIAS (%)</w:t>
            </w:r>
          </w:p>
        </w:tc>
        <w:tc>
          <w:tcPr>
            <w:tcW w:w="1136" w:type="pct"/>
            <w:hideMark/>
          </w:tcPr>
          <w:p w:rsidR="006F45B7" w:rsidRPr="00803D71" w:rsidRDefault="006F45B7" w:rsidP="00E01EA9">
            <w:pPr>
              <w:pStyle w:val="DecimalAligned"/>
              <w:jc w:val="center"/>
            </w:pPr>
            <w:r w:rsidRPr="00803D71">
              <w:t>29.34</w:t>
            </w:r>
          </w:p>
        </w:tc>
        <w:tc>
          <w:tcPr>
            <w:tcW w:w="951" w:type="pct"/>
            <w:hideMark/>
          </w:tcPr>
          <w:p w:rsidR="006F45B7" w:rsidRPr="00803D71" w:rsidRDefault="006F45B7" w:rsidP="00E01EA9">
            <w:pPr>
              <w:pStyle w:val="DecimalAligned"/>
              <w:jc w:val="center"/>
            </w:pPr>
            <w:r w:rsidRPr="00803D71">
              <w:t>-6.00</w:t>
            </w:r>
          </w:p>
        </w:tc>
        <w:tc>
          <w:tcPr>
            <w:tcW w:w="983" w:type="pct"/>
            <w:hideMark/>
          </w:tcPr>
          <w:p w:rsidR="006F45B7" w:rsidRPr="00803D71" w:rsidRDefault="006F45B7" w:rsidP="00E01EA9">
            <w:pPr>
              <w:pStyle w:val="DecimalAligned"/>
              <w:jc w:val="center"/>
            </w:pPr>
            <w:r w:rsidRPr="00803D71">
              <w:t>-9.90</w:t>
            </w:r>
          </w:p>
        </w:tc>
        <w:tc>
          <w:tcPr>
            <w:tcW w:w="919" w:type="pct"/>
            <w:hideMark/>
          </w:tcPr>
          <w:p w:rsidR="006F45B7" w:rsidRPr="00803D71" w:rsidRDefault="006F45B7" w:rsidP="00E01EA9">
            <w:pPr>
              <w:pStyle w:val="DecimalAligned"/>
              <w:jc w:val="center"/>
            </w:pPr>
            <w:r w:rsidRPr="00803D71">
              <w:t>-14.39</w:t>
            </w:r>
          </w:p>
        </w:tc>
      </w:tr>
      <w:tr w:rsidR="006F45B7" w:rsidRPr="008C4E1B" w:rsidTr="00F86E62">
        <w:trPr>
          <w:trHeight w:val="562"/>
          <w:jc w:val="center"/>
        </w:trPr>
        <w:tc>
          <w:tcPr>
            <w:tcW w:w="1011" w:type="pct"/>
            <w:noWrap/>
            <w:hideMark/>
          </w:tcPr>
          <w:p w:rsidR="006F45B7" w:rsidRPr="00CE05DE" w:rsidRDefault="006F45B7" w:rsidP="00E01EA9">
            <w:pPr>
              <w:jc w:val="center"/>
              <w:rPr>
                <w:b/>
                <w:sz w:val="22"/>
                <w:szCs w:val="22"/>
              </w:rPr>
            </w:pPr>
            <w:r w:rsidRPr="00CE05DE">
              <w:rPr>
                <w:b/>
                <w:sz w:val="22"/>
                <w:szCs w:val="22"/>
              </w:rPr>
              <w:t>RSR</w:t>
            </w:r>
          </w:p>
        </w:tc>
        <w:tc>
          <w:tcPr>
            <w:tcW w:w="1136" w:type="pct"/>
            <w:hideMark/>
          </w:tcPr>
          <w:p w:rsidR="006F45B7" w:rsidRPr="00803D71" w:rsidRDefault="006F45B7" w:rsidP="00E01EA9">
            <w:pPr>
              <w:pStyle w:val="DecimalAligned"/>
              <w:spacing w:line="240" w:lineRule="auto"/>
              <w:jc w:val="center"/>
            </w:pPr>
            <w:r w:rsidRPr="00803D71">
              <w:t>0.60</w:t>
            </w:r>
          </w:p>
        </w:tc>
        <w:tc>
          <w:tcPr>
            <w:tcW w:w="951" w:type="pct"/>
            <w:hideMark/>
          </w:tcPr>
          <w:p w:rsidR="006F45B7" w:rsidRPr="00803D71" w:rsidRDefault="006F45B7" w:rsidP="00E01EA9">
            <w:pPr>
              <w:pStyle w:val="DecimalAligned"/>
              <w:spacing w:line="240" w:lineRule="auto"/>
              <w:jc w:val="center"/>
            </w:pPr>
            <w:r w:rsidRPr="00803D71">
              <w:t>0.49</w:t>
            </w:r>
          </w:p>
        </w:tc>
        <w:tc>
          <w:tcPr>
            <w:tcW w:w="983" w:type="pct"/>
            <w:hideMark/>
          </w:tcPr>
          <w:p w:rsidR="006F45B7" w:rsidRPr="00803D71" w:rsidRDefault="006F45B7" w:rsidP="00E01EA9">
            <w:pPr>
              <w:pStyle w:val="DecimalAligned"/>
              <w:spacing w:line="240" w:lineRule="auto"/>
              <w:jc w:val="center"/>
            </w:pPr>
            <w:r w:rsidRPr="00803D71">
              <w:t>0.18</w:t>
            </w:r>
          </w:p>
        </w:tc>
        <w:tc>
          <w:tcPr>
            <w:tcW w:w="919" w:type="pct"/>
          </w:tcPr>
          <w:p w:rsidR="006F45B7" w:rsidRPr="00803D71" w:rsidRDefault="006F45B7" w:rsidP="00E01EA9">
            <w:pPr>
              <w:pStyle w:val="DecimalAligned"/>
              <w:spacing w:line="240" w:lineRule="auto"/>
              <w:jc w:val="center"/>
            </w:pPr>
            <w:r w:rsidRPr="00803D71">
              <w:t>0.36</w:t>
            </w:r>
          </w:p>
          <w:p w:rsidR="006F45B7" w:rsidRPr="00803D71" w:rsidRDefault="006F45B7" w:rsidP="00E01EA9">
            <w:pPr>
              <w:pStyle w:val="DecimalAligned"/>
              <w:spacing w:line="240" w:lineRule="auto"/>
              <w:jc w:val="center"/>
            </w:pPr>
          </w:p>
        </w:tc>
      </w:tr>
      <w:tr w:rsidR="006F45B7" w:rsidRPr="008C4E1B" w:rsidTr="00F86E62">
        <w:trPr>
          <w:jc w:val="center"/>
        </w:trPr>
        <w:tc>
          <w:tcPr>
            <w:tcW w:w="1011" w:type="pct"/>
            <w:noWrap/>
          </w:tcPr>
          <w:p w:rsidR="006F45B7" w:rsidRPr="00CE05DE" w:rsidRDefault="006F45B7" w:rsidP="00E01EA9">
            <w:pPr>
              <w:jc w:val="center"/>
              <w:rPr>
                <w:b/>
                <w:sz w:val="22"/>
                <w:szCs w:val="22"/>
              </w:rPr>
            </w:pPr>
          </w:p>
        </w:tc>
        <w:tc>
          <w:tcPr>
            <w:tcW w:w="1136" w:type="pct"/>
            <w:hideMark/>
          </w:tcPr>
          <w:p w:rsidR="006F45B7" w:rsidRPr="00CE05DE" w:rsidRDefault="006F45B7" w:rsidP="00E01EA9">
            <w:pPr>
              <w:jc w:val="center"/>
              <w:rPr>
                <w:rStyle w:val="SubtleEmphasis"/>
                <w:sz w:val="22"/>
                <w:szCs w:val="22"/>
              </w:rPr>
            </w:pPr>
            <w:r w:rsidRPr="00CE05DE">
              <w:rPr>
                <w:rStyle w:val="SubtleEmphasis"/>
                <w:sz w:val="22"/>
                <w:szCs w:val="22"/>
              </w:rPr>
              <w:t>Simulation Period</w:t>
            </w:r>
          </w:p>
        </w:tc>
        <w:tc>
          <w:tcPr>
            <w:tcW w:w="951" w:type="pct"/>
          </w:tcPr>
          <w:p w:rsidR="006F45B7" w:rsidRPr="00CE05DE" w:rsidRDefault="006F45B7" w:rsidP="00E01EA9">
            <w:pPr>
              <w:jc w:val="center"/>
              <w:rPr>
                <w:sz w:val="22"/>
                <w:szCs w:val="22"/>
              </w:rPr>
            </w:pPr>
          </w:p>
        </w:tc>
        <w:tc>
          <w:tcPr>
            <w:tcW w:w="983" w:type="pct"/>
          </w:tcPr>
          <w:p w:rsidR="006F45B7" w:rsidRPr="00CE05DE" w:rsidRDefault="006F45B7" w:rsidP="00E01EA9">
            <w:pPr>
              <w:jc w:val="center"/>
              <w:rPr>
                <w:sz w:val="22"/>
                <w:szCs w:val="22"/>
              </w:rPr>
            </w:pPr>
          </w:p>
        </w:tc>
        <w:tc>
          <w:tcPr>
            <w:tcW w:w="919" w:type="pct"/>
          </w:tcPr>
          <w:p w:rsidR="006F45B7" w:rsidRPr="00CE05DE" w:rsidRDefault="006F45B7" w:rsidP="00E01EA9">
            <w:pPr>
              <w:jc w:val="center"/>
              <w:rPr>
                <w:sz w:val="22"/>
                <w:szCs w:val="22"/>
              </w:rPr>
            </w:pPr>
          </w:p>
        </w:tc>
      </w:tr>
      <w:tr w:rsidR="006F45B7" w:rsidRPr="008C4E1B" w:rsidTr="00F86E62">
        <w:trPr>
          <w:trHeight w:val="576"/>
          <w:jc w:val="center"/>
        </w:trPr>
        <w:tc>
          <w:tcPr>
            <w:tcW w:w="1011" w:type="pct"/>
            <w:noWrap/>
          </w:tcPr>
          <w:p w:rsidR="006F45B7" w:rsidRPr="00CE05DE" w:rsidRDefault="006F45B7" w:rsidP="00E01EA9">
            <w:pPr>
              <w:jc w:val="center"/>
              <w:rPr>
                <w:b/>
                <w:sz w:val="22"/>
                <w:szCs w:val="22"/>
              </w:rPr>
            </w:pPr>
            <w:r w:rsidRPr="00CE05DE">
              <w:rPr>
                <w:b/>
                <w:sz w:val="22"/>
                <w:szCs w:val="22"/>
              </w:rPr>
              <w:t>NSE</w:t>
            </w:r>
          </w:p>
        </w:tc>
        <w:tc>
          <w:tcPr>
            <w:tcW w:w="1136" w:type="pct"/>
          </w:tcPr>
          <w:p w:rsidR="006F45B7" w:rsidRPr="00803D71" w:rsidRDefault="006F45B7" w:rsidP="00E01EA9">
            <w:pPr>
              <w:pStyle w:val="DecimalAligned"/>
              <w:spacing w:line="240" w:lineRule="auto"/>
              <w:jc w:val="center"/>
            </w:pPr>
            <w:r w:rsidRPr="00803D71">
              <w:t>0.61</w:t>
            </w:r>
          </w:p>
        </w:tc>
        <w:tc>
          <w:tcPr>
            <w:tcW w:w="951" w:type="pct"/>
          </w:tcPr>
          <w:p w:rsidR="006F45B7" w:rsidRPr="00803D71" w:rsidRDefault="006F45B7" w:rsidP="00E01EA9">
            <w:pPr>
              <w:pStyle w:val="DecimalAligned"/>
              <w:spacing w:line="240" w:lineRule="auto"/>
              <w:jc w:val="center"/>
            </w:pPr>
            <w:r w:rsidRPr="00803D71">
              <w:t>0.93</w:t>
            </w:r>
          </w:p>
        </w:tc>
        <w:tc>
          <w:tcPr>
            <w:tcW w:w="983" w:type="pct"/>
          </w:tcPr>
          <w:p w:rsidR="006F45B7" w:rsidRPr="00803D71" w:rsidRDefault="006F45B7" w:rsidP="00E01EA9">
            <w:pPr>
              <w:pStyle w:val="DecimalAligned"/>
              <w:spacing w:line="240" w:lineRule="auto"/>
              <w:jc w:val="center"/>
            </w:pPr>
            <w:r w:rsidRPr="00803D71">
              <w:t>0.88</w:t>
            </w:r>
          </w:p>
        </w:tc>
        <w:tc>
          <w:tcPr>
            <w:tcW w:w="919" w:type="pct"/>
          </w:tcPr>
          <w:p w:rsidR="006F45B7" w:rsidRPr="00803D71" w:rsidRDefault="006F45B7" w:rsidP="00E01EA9">
            <w:pPr>
              <w:pStyle w:val="DecimalAligned"/>
              <w:spacing w:line="240" w:lineRule="auto"/>
              <w:jc w:val="center"/>
            </w:pPr>
            <w:r w:rsidRPr="00803D71">
              <w:t>0.69</w:t>
            </w:r>
          </w:p>
        </w:tc>
      </w:tr>
      <w:tr w:rsidR="006F45B7" w:rsidRPr="008C4E1B" w:rsidTr="00F86E62">
        <w:trPr>
          <w:trHeight w:val="576"/>
          <w:jc w:val="center"/>
        </w:trPr>
        <w:tc>
          <w:tcPr>
            <w:tcW w:w="1011" w:type="pct"/>
            <w:noWrap/>
          </w:tcPr>
          <w:p w:rsidR="006F45B7" w:rsidRPr="00CE05DE" w:rsidRDefault="006F45B7" w:rsidP="00E01EA9">
            <w:pPr>
              <w:jc w:val="center"/>
              <w:rPr>
                <w:b/>
                <w:sz w:val="22"/>
                <w:szCs w:val="22"/>
              </w:rPr>
            </w:pPr>
            <w:r>
              <w:rPr>
                <w:b/>
                <w:sz w:val="22"/>
                <w:szCs w:val="22"/>
              </w:rPr>
              <w:t>PBIAS (%)</w:t>
            </w:r>
          </w:p>
        </w:tc>
        <w:tc>
          <w:tcPr>
            <w:tcW w:w="1136" w:type="pct"/>
          </w:tcPr>
          <w:p w:rsidR="006F45B7" w:rsidRPr="00803D71" w:rsidRDefault="006F45B7" w:rsidP="00E01EA9">
            <w:pPr>
              <w:pStyle w:val="DecimalAligned"/>
              <w:spacing w:line="240" w:lineRule="auto"/>
              <w:jc w:val="center"/>
            </w:pPr>
            <w:r>
              <w:t>25.17</w:t>
            </w:r>
          </w:p>
        </w:tc>
        <w:tc>
          <w:tcPr>
            <w:tcW w:w="951" w:type="pct"/>
          </w:tcPr>
          <w:p w:rsidR="006F45B7" w:rsidRPr="00803D71" w:rsidRDefault="006F45B7" w:rsidP="00E01EA9">
            <w:pPr>
              <w:pStyle w:val="DecimalAligned"/>
              <w:spacing w:line="240" w:lineRule="auto"/>
              <w:jc w:val="center"/>
            </w:pPr>
            <w:r>
              <w:t>6.75</w:t>
            </w:r>
          </w:p>
        </w:tc>
        <w:tc>
          <w:tcPr>
            <w:tcW w:w="983" w:type="pct"/>
          </w:tcPr>
          <w:p w:rsidR="006F45B7" w:rsidRPr="00803D71" w:rsidRDefault="006F45B7" w:rsidP="00E01EA9">
            <w:pPr>
              <w:pStyle w:val="DecimalAligned"/>
              <w:spacing w:line="240" w:lineRule="auto"/>
              <w:jc w:val="center"/>
            </w:pPr>
            <w:r>
              <w:t>-8.23</w:t>
            </w:r>
          </w:p>
        </w:tc>
        <w:tc>
          <w:tcPr>
            <w:tcW w:w="919" w:type="pct"/>
          </w:tcPr>
          <w:p w:rsidR="006F45B7" w:rsidRPr="00803D71" w:rsidRDefault="006F45B7" w:rsidP="00E01EA9">
            <w:pPr>
              <w:pStyle w:val="DecimalAligned"/>
              <w:spacing w:line="240" w:lineRule="auto"/>
              <w:jc w:val="center"/>
            </w:pPr>
            <w:r>
              <w:t>-29.63</w:t>
            </w:r>
          </w:p>
        </w:tc>
      </w:tr>
      <w:tr w:rsidR="006F45B7" w:rsidRPr="008C4E1B" w:rsidTr="00F86E62">
        <w:trPr>
          <w:trHeight w:val="562"/>
          <w:jc w:val="center"/>
        </w:trPr>
        <w:tc>
          <w:tcPr>
            <w:tcW w:w="1011" w:type="pct"/>
            <w:noWrap/>
            <w:hideMark/>
          </w:tcPr>
          <w:p w:rsidR="006F45B7" w:rsidRPr="00CE05DE" w:rsidRDefault="006F45B7" w:rsidP="00E01EA9">
            <w:pPr>
              <w:jc w:val="center"/>
              <w:rPr>
                <w:b/>
                <w:sz w:val="22"/>
                <w:szCs w:val="22"/>
              </w:rPr>
            </w:pPr>
            <w:r w:rsidRPr="00CE05DE">
              <w:rPr>
                <w:b/>
                <w:sz w:val="22"/>
                <w:szCs w:val="22"/>
              </w:rPr>
              <w:t>RSR</w:t>
            </w:r>
          </w:p>
        </w:tc>
        <w:tc>
          <w:tcPr>
            <w:tcW w:w="1136" w:type="pct"/>
            <w:hideMark/>
          </w:tcPr>
          <w:p w:rsidR="006F45B7" w:rsidRPr="00CE05DE" w:rsidRDefault="006F45B7" w:rsidP="00E01EA9">
            <w:pPr>
              <w:pStyle w:val="DecimalAligned"/>
              <w:spacing w:line="240" w:lineRule="auto"/>
              <w:jc w:val="center"/>
            </w:pPr>
            <w:r w:rsidRPr="00CE05DE">
              <w:t>0.62</w:t>
            </w:r>
          </w:p>
        </w:tc>
        <w:tc>
          <w:tcPr>
            <w:tcW w:w="951" w:type="pct"/>
            <w:hideMark/>
          </w:tcPr>
          <w:p w:rsidR="006F45B7" w:rsidRPr="00CE05DE" w:rsidRDefault="006F45B7" w:rsidP="00E01EA9">
            <w:pPr>
              <w:pStyle w:val="DecimalAligned"/>
              <w:spacing w:line="240" w:lineRule="auto"/>
              <w:jc w:val="center"/>
            </w:pPr>
            <w:r w:rsidRPr="00CE05DE">
              <w:t>0.27</w:t>
            </w:r>
          </w:p>
        </w:tc>
        <w:tc>
          <w:tcPr>
            <w:tcW w:w="983" w:type="pct"/>
            <w:hideMark/>
          </w:tcPr>
          <w:p w:rsidR="006F45B7" w:rsidRPr="00CE05DE" w:rsidRDefault="006F45B7" w:rsidP="00E01EA9">
            <w:pPr>
              <w:pStyle w:val="DecimalAligned"/>
              <w:spacing w:line="240" w:lineRule="auto"/>
              <w:jc w:val="center"/>
            </w:pPr>
            <w:r w:rsidRPr="00CE05DE">
              <w:t>0.35</w:t>
            </w:r>
          </w:p>
        </w:tc>
        <w:tc>
          <w:tcPr>
            <w:tcW w:w="919" w:type="pct"/>
            <w:hideMark/>
          </w:tcPr>
          <w:p w:rsidR="006F45B7" w:rsidRPr="00CE05DE" w:rsidRDefault="006F45B7" w:rsidP="00E01EA9">
            <w:pPr>
              <w:pStyle w:val="DecimalAligned"/>
              <w:spacing w:line="240" w:lineRule="auto"/>
              <w:jc w:val="center"/>
            </w:pPr>
            <w:r w:rsidRPr="00CE05DE">
              <w:t>0.56</w:t>
            </w:r>
          </w:p>
        </w:tc>
      </w:tr>
    </w:tbl>
    <w:p w:rsidR="00146657" w:rsidRDefault="00916E53" w:rsidP="006F45B7">
      <w:pPr>
        <w:spacing w:line="480" w:lineRule="auto"/>
      </w:pPr>
      <w:r>
        <w:rPr>
          <w:vertAlign w:val="superscript"/>
        </w:rPr>
        <w:t>*</w:t>
      </w:r>
      <w:r w:rsidR="006F45B7" w:rsidRPr="00D6111B">
        <w:t xml:space="preserve"> Thresholds for satisfactory calibration on the monthly timescale for NSE, PBIAS, and RSR are 0.50, +/- 25%, and 0.75, respectively (Moriasi </w:t>
      </w:r>
      <w:r w:rsidR="006F45B7" w:rsidRPr="00D6111B">
        <w:rPr>
          <w:i/>
        </w:rPr>
        <w:t>et al.</w:t>
      </w:r>
      <w:r w:rsidR="00BE288B">
        <w:t xml:space="preserve"> 2007)</w:t>
      </w:r>
    </w:p>
    <w:p w:rsidR="00146657" w:rsidRDefault="00146657" w:rsidP="00146657"/>
    <w:p w:rsidR="00BC2E23" w:rsidRDefault="00146657" w:rsidP="00BC2E23">
      <w:pPr>
        <w:spacing w:line="480" w:lineRule="auto"/>
      </w:pPr>
      <w:r>
        <w:t xml:space="preserve">     </w:t>
      </w:r>
      <w:r w:rsidRPr="00C34BB3">
        <w:t xml:space="preserve">The changes in hydrology discussed below are driven solely by the impacts of land use change since climatic parameters were not adjusted during the simulations.  The results of four switchgrass substitution simulation scenarios for the spring and summer appear in </w:t>
      </w:r>
      <w:r>
        <w:t>Figure 3.</w:t>
      </w:r>
      <w:r w:rsidRPr="00C34BB3">
        <w:t>5</w:t>
      </w:r>
      <w:r>
        <w:t>(a-b)</w:t>
      </w:r>
      <w:r w:rsidRPr="00C34BB3">
        <w:t xml:space="preserve">.  All four scenarios result in decreased discharges relative to baseline.  Such decreases are consistent with the findings of Nelson </w:t>
      </w:r>
      <w:r w:rsidRPr="00C34BB3">
        <w:rPr>
          <w:i/>
        </w:rPr>
        <w:t>et al.</w:t>
      </w:r>
      <w:r w:rsidRPr="00C34BB3">
        <w:t xml:space="preserve"> (2006) and Schilling </w:t>
      </w:r>
      <w:r w:rsidRPr="00C34BB3">
        <w:rPr>
          <w:i/>
        </w:rPr>
        <w:t>et al.</w:t>
      </w:r>
      <w:r w:rsidRPr="00C34BB3">
        <w:t xml:space="preserve"> (2008), both of whom found decreased discharges when replacing pre-existing cropland with warm-season grasses. As may be expected, the magnitude of the decreased discharges is a function of the area converted to switchgrass, a finding which also echoes that of Schilling </w:t>
      </w:r>
      <w:r w:rsidRPr="00C34BB3">
        <w:rPr>
          <w:i/>
        </w:rPr>
        <w:t>et al.</w:t>
      </w:r>
      <w:r w:rsidRPr="00C34BB3">
        <w:t xml:space="preserve"> (2008). </w:t>
      </w:r>
      <w:r w:rsidR="00BC2E23">
        <w:t xml:space="preserve">  </w:t>
      </w:r>
    </w:p>
    <w:p w:rsidR="006217B6" w:rsidRPr="00A25DD0" w:rsidRDefault="006217B6" w:rsidP="006217B6">
      <w:pPr>
        <w:pStyle w:val="Heading3"/>
        <w:spacing w:line="480" w:lineRule="auto"/>
        <w:rPr>
          <w:b w:val="0"/>
        </w:rPr>
      </w:pPr>
      <w:bookmarkStart w:id="113" w:name="_Toc364501647"/>
      <w:bookmarkStart w:id="114" w:name="_Toc368046178"/>
      <w:r w:rsidRPr="00A25DD0">
        <w:rPr>
          <w:b w:val="0"/>
        </w:rPr>
        <w:lastRenderedPageBreak/>
        <w:t>3.4.2</w:t>
      </w:r>
      <w:r>
        <w:rPr>
          <w:b w:val="0"/>
        </w:rPr>
        <w:t>:</w:t>
      </w:r>
      <w:r w:rsidRPr="00A25DD0">
        <w:rPr>
          <w:b w:val="0"/>
        </w:rPr>
        <w:t xml:space="preserve"> Spring and summer discharge</w:t>
      </w:r>
      <w:bookmarkEnd w:id="113"/>
      <w:bookmarkEnd w:id="114"/>
    </w:p>
    <w:p w:rsidR="006217B6" w:rsidRDefault="006217B6" w:rsidP="006217B6">
      <w:pPr>
        <w:spacing w:line="480" w:lineRule="auto"/>
      </w:pPr>
      <w:r>
        <w:t xml:space="preserve">     </w:t>
      </w:r>
      <w:r w:rsidRPr="00C34BB3">
        <w:t>On one hand, the magnitude of the reduction in median spring discharge for all scenarios is directly proportional to seasonal precipitation in Oklahoma Climate Division 2, in which the majority of the MNCR is situated (</w:t>
      </w:r>
      <w:r>
        <w:t>Figures 3.6a-3.6d</w:t>
      </w:r>
      <w:r w:rsidRPr="00C34BB3">
        <w:t xml:space="preserve">).   All relationships are statistically significant (p&lt;0.05).  </w:t>
      </w:r>
      <w:r>
        <w:t>I</w:t>
      </w:r>
      <w:r w:rsidRPr="00C34BB3">
        <w:t xml:space="preserve"> hypothesize that higher rainfall results in greater switchgrass biomass accumulation which then results in higher evaporative losses and therefore less water for discharge.  Notice that the relationship is relatively weak for the “nowwht” scenario.  This may be explained by the fact that winter wheat relies more heavily on fertilizer applications, and less on precipitation, for growth.  On the other hand, no statistically significant correlations exist between the magnitude of reduction in summer discharge and summer precipitation, implying that depletions in summer discharge are not a function of precipitation, explained below.  </w:t>
      </w:r>
    </w:p>
    <w:p w:rsidR="006217B6" w:rsidRPr="00A25DD0" w:rsidRDefault="006217B6" w:rsidP="006217B6">
      <w:pPr>
        <w:pStyle w:val="Heading3"/>
        <w:spacing w:line="480" w:lineRule="auto"/>
        <w:rPr>
          <w:b w:val="0"/>
        </w:rPr>
      </w:pPr>
      <w:r>
        <w:t xml:space="preserve">     </w:t>
      </w:r>
      <w:bookmarkStart w:id="115" w:name="_Toc364501648"/>
      <w:bookmarkStart w:id="116" w:name="_Toc368046179"/>
      <w:r w:rsidRPr="00A25DD0">
        <w:rPr>
          <w:b w:val="0"/>
        </w:rPr>
        <w:t>3.4.3</w:t>
      </w:r>
      <w:r>
        <w:rPr>
          <w:b w:val="0"/>
        </w:rPr>
        <w:t>:</w:t>
      </w:r>
      <w:r w:rsidRPr="00A25DD0">
        <w:rPr>
          <w:b w:val="0"/>
        </w:rPr>
        <w:t xml:space="preserve"> Spring and summer </w:t>
      </w:r>
      <w:proofErr w:type="gramStart"/>
      <w:r w:rsidRPr="00A25DD0">
        <w:rPr>
          <w:b w:val="0"/>
        </w:rPr>
        <w:t>eT</w:t>
      </w:r>
      <w:bookmarkEnd w:id="115"/>
      <w:bookmarkEnd w:id="116"/>
      <w:proofErr w:type="gramEnd"/>
    </w:p>
    <w:p w:rsidR="006217B6" w:rsidRDefault="006217B6" w:rsidP="006217B6">
      <w:pPr>
        <w:spacing w:line="480" w:lineRule="auto"/>
      </w:pPr>
      <w:r>
        <w:t xml:space="preserve">     </w:t>
      </w:r>
      <w:r w:rsidRPr="00C34BB3">
        <w:t>The reductions in spring and summer discharge are driven by sizeable, statistically significan</w:t>
      </w:r>
      <w:r>
        <w:t xml:space="preserve">t (p&lt;0.05) increases in </w:t>
      </w:r>
      <w:proofErr w:type="gramStart"/>
      <w:r>
        <w:t>eT</w:t>
      </w:r>
      <w:proofErr w:type="gramEnd"/>
      <w:r>
        <w:t xml:space="preserve"> (Figures</w:t>
      </w:r>
      <w:r w:rsidRPr="00C34BB3">
        <w:t xml:space="preserve"> </w:t>
      </w:r>
      <w:r>
        <w:t>3.</w:t>
      </w:r>
      <w:r w:rsidRPr="00C34BB3">
        <w:t>7a-</w:t>
      </w:r>
      <w:r>
        <w:t>3.</w:t>
      </w:r>
      <w:r w:rsidRPr="00C34BB3">
        <w:t>7b).  Median increases during the spring vary from 4.3 mm (“nowwht” scenario) to 46.0 mm (“fert” scenario) and from 2.2 mm (“nowwht” scenario) to 24.0 mm (“fert” scenario) during the summer.  These increases appear not to be functions of land area converted but of the quantity of switchgrass biomass produced (</w:t>
      </w:r>
      <w:r>
        <w:t>Figure 3.</w:t>
      </w:r>
      <w:r w:rsidRPr="00C34BB3">
        <w:t xml:space="preserve">8).  This is evident from the disparate </w:t>
      </w:r>
      <w:proofErr w:type="gramStart"/>
      <w:r w:rsidRPr="00C34BB3">
        <w:t>eT</w:t>
      </w:r>
      <w:proofErr w:type="gramEnd"/>
      <w:r w:rsidRPr="00C34BB3">
        <w:t xml:space="preserve"> values under the “noag” and “fert” scenarios despite these scenarios converting an identical acreage of switchgrass.       </w:t>
      </w:r>
    </w:p>
    <w:p w:rsidR="006217B6" w:rsidRDefault="006217B6" w:rsidP="006217B6">
      <w:pPr>
        <w:spacing w:line="480" w:lineRule="auto"/>
      </w:pPr>
      <w:r>
        <w:lastRenderedPageBreak/>
        <w:t xml:space="preserve">     </w:t>
      </w:r>
      <w:r w:rsidRPr="00C34BB3">
        <w:t>It is evident that summer eT is greatly limited by available moisture, as the increases in spring eT exceed those of the summer by a factor of 1.3 to 2.3 despite higher summer temperatures relative to spring (</w:t>
      </w:r>
      <w:r>
        <w:t>Figures 3.</w:t>
      </w:r>
      <w:r w:rsidRPr="00C34BB3">
        <w:t>7a-</w:t>
      </w:r>
      <w:r>
        <w:t>3.</w:t>
      </w:r>
      <w:r w:rsidRPr="00C34BB3">
        <w:t xml:space="preserve">7b).  Higher water stress during the summer is evident in the higher ratio of summer </w:t>
      </w:r>
      <w:proofErr w:type="gramStart"/>
      <w:r w:rsidRPr="00C34BB3">
        <w:t>eT</w:t>
      </w:r>
      <w:proofErr w:type="gramEnd"/>
      <w:r w:rsidRPr="00C34BB3">
        <w:t xml:space="preserve"> to rainfall (0.632) relative to that during the spring (0.536).  These results are consistent with those reported by Lakshmi </w:t>
      </w:r>
      <w:r w:rsidRPr="00C34BB3">
        <w:rPr>
          <w:i/>
        </w:rPr>
        <w:t>et al.</w:t>
      </w:r>
      <w:r w:rsidRPr="00C34BB3">
        <w:t xml:space="preserve"> (2011) for an area situated just north of the MNCR.  Additionally, the number of summer water stress days increases under all scenarios relative to baseline, resulting in an almost 300% increase under the “fert” scenario in which the most switchgrass biomass is produced (</w:t>
      </w:r>
      <w:r>
        <w:t>Table 3.</w:t>
      </w:r>
      <w:r w:rsidRPr="00C34BB3">
        <w:t xml:space="preserve">6).  Under the “fert” scenario, 48% of all summer days are water stressed.   The increase in water stress days also explains the lack of a statistically significant relationship between precipitation and change in discharge (see above), as most of the MNCR’s summer moisture supply is exhausted by the high evaporative demands.  Additionally, the statistical relationship between the change in </w:t>
      </w:r>
      <w:proofErr w:type="gramStart"/>
      <w:r w:rsidRPr="00C34BB3">
        <w:t>eT</w:t>
      </w:r>
      <w:proofErr w:type="gramEnd"/>
      <w:r w:rsidRPr="00C34BB3">
        <w:t xml:space="preserve"> (mm) and the change in discharge (cms) during the simulation years is stronger during spring months than in summer, which indicates a lack of requisite moisture during the latter period (</w:t>
      </w:r>
      <w:r>
        <w:t>Table 3.</w:t>
      </w:r>
      <w:r w:rsidRPr="00C34BB3">
        <w:t xml:space="preserve">7).  Simply stated, the increase in summer </w:t>
      </w:r>
      <w:proofErr w:type="gramStart"/>
      <w:r w:rsidRPr="00C34BB3">
        <w:t>eT</w:t>
      </w:r>
      <w:proofErr w:type="gramEnd"/>
      <w:r w:rsidRPr="00C34BB3">
        <w:t xml:space="preserve"> associated with switchgrass production i</w:t>
      </w:r>
      <w:r>
        <w:t>ncreases the quantity of summer.</w:t>
      </w:r>
    </w:p>
    <w:p w:rsidR="006217B6" w:rsidRDefault="006217B6" w:rsidP="006217B6">
      <w:pPr>
        <w:spacing w:line="480" w:lineRule="auto"/>
      </w:pPr>
    </w:p>
    <w:p w:rsidR="006F45B7" w:rsidRDefault="001A07C0" w:rsidP="006217B6">
      <w:pPr>
        <w:spacing w:line="480" w:lineRule="auto"/>
      </w:pPr>
      <w:r w:rsidRPr="001A07C0">
        <w:rPr>
          <w:noProof/>
        </w:rPr>
        <w:lastRenderedPageBreak/>
        <w:drawing>
          <wp:inline distT="0" distB="0" distL="0" distR="0" wp14:anchorId="2D0AFF87" wp14:editId="19F99CD6">
            <wp:extent cx="5394960" cy="6216692"/>
            <wp:effectExtent l="19050" t="19050" r="0" b="0"/>
            <wp:docPr id="17"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22">
                      <a:extLst>
                        <a:ext uri="{28A0092B-C50C-407E-A947-70E740481C1C}">
                          <a14:useLocalDpi xmlns:a14="http://schemas.microsoft.com/office/drawing/2010/main" val="0"/>
                        </a:ext>
                      </a:extLst>
                    </a:blip>
                    <a:stretch>
                      <a:fillRect/>
                    </a:stretch>
                  </pic:blipFill>
                  <pic:spPr>
                    <a:xfrm>
                      <a:off x="0" y="0"/>
                      <a:ext cx="5394960" cy="6216692"/>
                    </a:xfrm>
                    <a:prstGeom prst="rect">
                      <a:avLst/>
                    </a:prstGeom>
                    <a:ln>
                      <a:solidFill>
                        <a:schemeClr val="tx1"/>
                      </a:solidFill>
                    </a:ln>
                  </pic:spPr>
                </pic:pic>
              </a:graphicData>
            </a:graphic>
          </wp:inline>
        </w:drawing>
      </w:r>
    </w:p>
    <w:p w:rsidR="006F45B7" w:rsidRPr="00CE05DE" w:rsidRDefault="006F45B7" w:rsidP="00490F16">
      <w:pPr>
        <w:pStyle w:val="Figurecaption"/>
      </w:pPr>
      <w:bookmarkStart w:id="117" w:name="_Toc362784354"/>
      <w:bookmarkStart w:id="118" w:name="_Toc364442686"/>
      <w:bookmarkStart w:id="119" w:name="_Toc364505729"/>
      <w:bookmarkStart w:id="120" w:name="_Toc367004741"/>
      <w:r w:rsidRPr="00B84325">
        <w:t xml:space="preserve">Figure </w:t>
      </w:r>
      <w:r>
        <w:t>3</w:t>
      </w:r>
      <w:r w:rsidRPr="00B84325">
        <w:t>.</w:t>
      </w:r>
      <w:r w:rsidRPr="00CE05DE">
        <w:t>3:  Calibration of seasonal discharges at the watershed outlet for (a) spring, and (b) summer</w:t>
      </w:r>
      <w:bookmarkEnd w:id="117"/>
      <w:bookmarkEnd w:id="118"/>
      <w:bookmarkEnd w:id="119"/>
      <w:bookmarkEnd w:id="120"/>
    </w:p>
    <w:p w:rsidR="006F45B7" w:rsidRDefault="006F45B7" w:rsidP="006F45B7">
      <w:r>
        <w:br w:type="page"/>
      </w:r>
    </w:p>
    <w:p w:rsidR="006F45B7" w:rsidRDefault="006F45B7" w:rsidP="006F45B7"/>
    <w:p w:rsidR="006F45B7" w:rsidRDefault="001A07C0" w:rsidP="00F86E62">
      <w:pPr>
        <w:jc w:val="center"/>
      </w:pPr>
      <w:r>
        <w:rPr>
          <w:noProof/>
        </w:rPr>
        <w:drawing>
          <wp:inline distT="0" distB="0" distL="0" distR="0" wp14:anchorId="07FB8480" wp14:editId="5716DDD8">
            <wp:extent cx="5394960" cy="63239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_Fig3.4.png"/>
                    <pic:cNvPicPr/>
                  </pic:nvPicPr>
                  <pic:blipFill>
                    <a:blip r:embed="rId23">
                      <a:extLst>
                        <a:ext uri="{28A0092B-C50C-407E-A947-70E740481C1C}">
                          <a14:useLocalDpi xmlns:a14="http://schemas.microsoft.com/office/drawing/2010/main" val="0"/>
                        </a:ext>
                      </a:extLst>
                    </a:blip>
                    <a:stretch>
                      <a:fillRect/>
                    </a:stretch>
                  </pic:blipFill>
                  <pic:spPr>
                    <a:xfrm>
                      <a:off x="0" y="0"/>
                      <a:ext cx="5394960" cy="6323965"/>
                    </a:xfrm>
                    <a:prstGeom prst="rect">
                      <a:avLst/>
                    </a:prstGeom>
                  </pic:spPr>
                </pic:pic>
              </a:graphicData>
            </a:graphic>
          </wp:inline>
        </w:drawing>
      </w:r>
    </w:p>
    <w:p w:rsidR="006F45B7" w:rsidRPr="00CE05DE" w:rsidRDefault="006F45B7" w:rsidP="00490F16">
      <w:pPr>
        <w:pStyle w:val="Figurecaption"/>
      </w:pPr>
      <w:bookmarkStart w:id="121" w:name="_Toc362784355"/>
      <w:bookmarkStart w:id="122" w:name="_Toc364442687"/>
      <w:bookmarkStart w:id="123" w:name="_Toc364505730"/>
      <w:bookmarkStart w:id="124" w:name="_Toc367004742"/>
      <w:r w:rsidRPr="00B84325">
        <w:t xml:space="preserve">Figure </w:t>
      </w:r>
      <w:r w:rsidRPr="00CE05DE">
        <w:t>3.4: Comparison of observed and predicted discharges at the watershed outlet for (a) spring, and (b) summer during the simulation period</w:t>
      </w:r>
      <w:bookmarkEnd w:id="121"/>
      <w:bookmarkEnd w:id="122"/>
      <w:bookmarkEnd w:id="123"/>
      <w:bookmarkEnd w:id="124"/>
    </w:p>
    <w:p w:rsidR="006F45B7" w:rsidRDefault="006F45B7" w:rsidP="00CD20B4">
      <w:pPr>
        <w:spacing w:line="480" w:lineRule="auto"/>
      </w:pPr>
    </w:p>
    <w:p w:rsidR="003C652D" w:rsidRDefault="00885CDF" w:rsidP="00E31705">
      <w:r>
        <w:rPr>
          <w:noProof/>
          <w:lang w:val="en-GB" w:eastAsia="en-GB"/>
        </w:rPr>
        <w:lastRenderedPageBreak/>
        <w:pict>
          <v:shapetype id="_x0000_t202" coordsize="21600,21600" o:spt="202" path="m,l,21600r21600,l21600,xe">
            <v:stroke joinstyle="miter"/>
            <v:path gradientshapeok="t" o:connecttype="rect"/>
          </v:shapetype>
          <v:shape id="_x0000_s1191" type="#_x0000_t202" style="position:absolute;margin-left:0;margin-top:.75pt;width:27pt;height:22.3pt;z-index:251768832" stroked="f">
            <v:textbox style="mso-next-textbox:#_x0000_s1191">
              <w:txbxContent>
                <w:p w:rsidR="00885CDF" w:rsidRPr="006217B6" w:rsidRDefault="00885CDF">
                  <w:pPr>
                    <w:rPr>
                      <w:b/>
                    </w:rPr>
                  </w:pPr>
                  <w:r w:rsidRPr="006217B6">
                    <w:rPr>
                      <w:b/>
                    </w:rPr>
                    <w:t>a)</w:t>
                  </w:r>
                </w:p>
              </w:txbxContent>
            </v:textbox>
          </v:shape>
        </w:pict>
      </w:r>
    </w:p>
    <w:p w:rsidR="006F45B7" w:rsidRDefault="00885CDF" w:rsidP="00252F2D">
      <w:pPr>
        <w:pStyle w:val="Figurecaption"/>
      </w:pPr>
      <w:bookmarkStart w:id="125" w:name="_Toc367004743"/>
      <w:bookmarkStart w:id="126" w:name="_Toc362784356"/>
      <w:bookmarkStart w:id="127" w:name="_Toc364442688"/>
      <w:bookmarkStart w:id="128" w:name="_Toc364505731"/>
      <w:r>
        <w:pict>
          <v:shape id="Text Box 4" o:spid="_x0000_s1189" type="#_x0000_t202" style="position:absolute;margin-left:-5.7pt;margin-top:198.45pt;width:27pt;height:22.3pt;z-index:251763712;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" strokecolor="white">
            <v:textbox style="mso-next-textbox:#Text Box 4">
              <w:txbxContent>
                <w:p w:rsidR="00885CDF" w:rsidRPr="006217B6" w:rsidRDefault="00885CDF" w:rsidP="00C90984">
                  <w:pPr>
                    <w:pStyle w:val="NormalWeb"/>
                    <w:spacing w:before="0" w:beforeAutospacing="0" w:after="0" w:afterAutospacing="0"/>
                    <w:textAlignment w:val="baseline"/>
                    <w:rPr>
                      <w:rFonts w:asciiTheme="majorHAnsi" w:hAnsiTheme="majorHAnsi" w:cstheme="majorHAnsi"/>
                      <w:b/>
                    </w:rPr>
                  </w:pPr>
                  <w:r w:rsidRPr="006217B6">
                    <w:rPr>
                      <w:rFonts w:asciiTheme="majorHAnsi" w:eastAsia="Times New Roman" w:hAnsiTheme="majorHAnsi" w:cstheme="majorHAnsi"/>
                      <w:b/>
                      <w:color w:val="000000" w:themeColor="text1"/>
                      <w:kern w:val="24"/>
                    </w:rPr>
                    <w:t>b)</w:t>
                  </w:r>
                </w:p>
              </w:txbxContent>
            </v:textbox>
          </v:shape>
        </w:pict>
      </w:r>
      <w:r w:rsidR="00BC1971">
        <w:rPr>
          <w:noProof/>
          <w:lang w:val="en-US" w:eastAsia="en-US"/>
        </w:rPr>
        <w:drawing>
          <wp:inline distT="0" distB="0" distL="0" distR="0" wp14:anchorId="23C50658" wp14:editId="58911E7B">
            <wp:extent cx="5386289" cy="25650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a.png"/>
                    <pic:cNvPicPr/>
                  </pic:nvPicPr>
                  <pic:blipFill rotWithShape="1">
                    <a:blip r:embed="rId24">
                      <a:extLst>
                        <a:ext uri="{28A0092B-C50C-407E-A947-70E740481C1C}">
                          <a14:useLocalDpi xmlns:a14="http://schemas.microsoft.com/office/drawing/2010/main" val="0"/>
                        </a:ext>
                      </a:extLst>
                    </a:blip>
                    <a:srcRect t="5786" b="4959"/>
                    <a:stretch/>
                  </pic:blipFill>
                  <pic:spPr bwMode="auto">
                    <a:xfrm>
                      <a:off x="0" y="0"/>
                      <a:ext cx="5394960" cy="2569199"/>
                    </a:xfrm>
                    <a:prstGeom prst="rect">
                      <a:avLst/>
                    </a:prstGeom>
                    <a:ln>
                      <a:noFill/>
                    </a:ln>
                    <a:extLst>
                      <a:ext uri="{53640926-AAD7-44D8-BBD7-CCE9431645EC}">
                        <a14:shadowObscured xmlns:a14="http://schemas.microsoft.com/office/drawing/2010/main"/>
                      </a:ext>
                    </a:extLst>
                  </pic:spPr>
                </pic:pic>
              </a:graphicData>
            </a:graphic>
          </wp:inline>
        </w:drawing>
      </w:r>
      <w:r w:rsidR="00BC1971">
        <w:rPr>
          <w:noProof/>
          <w:lang w:val="en-US" w:eastAsia="en-US"/>
        </w:rPr>
        <w:drawing>
          <wp:inline distT="0" distB="0" distL="0" distR="0" wp14:anchorId="05885658" wp14:editId="5A651288">
            <wp:extent cx="5386288" cy="242256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b.png"/>
                    <pic:cNvPicPr/>
                  </pic:nvPicPr>
                  <pic:blipFill rotWithShape="1">
                    <a:blip r:embed="rId25">
                      <a:extLst>
                        <a:ext uri="{28A0092B-C50C-407E-A947-70E740481C1C}">
                          <a14:useLocalDpi xmlns:a14="http://schemas.microsoft.com/office/drawing/2010/main" val="0"/>
                        </a:ext>
                      </a:extLst>
                    </a:blip>
                    <a:srcRect t="15703"/>
                    <a:stretch/>
                  </pic:blipFill>
                  <pic:spPr bwMode="auto">
                    <a:xfrm>
                      <a:off x="0" y="0"/>
                      <a:ext cx="5394960" cy="2426466"/>
                    </a:xfrm>
                    <a:prstGeom prst="rect">
                      <a:avLst/>
                    </a:prstGeom>
                    <a:ln>
                      <a:noFill/>
                    </a:ln>
                    <a:extLst>
                      <a:ext uri="{53640926-AAD7-44D8-BBD7-CCE9431645EC}">
                        <a14:shadowObscured xmlns:a14="http://schemas.microsoft.com/office/drawing/2010/main"/>
                      </a:ext>
                    </a:extLst>
                  </pic:spPr>
                </pic:pic>
              </a:graphicData>
            </a:graphic>
          </wp:inline>
        </w:drawing>
      </w:r>
      <w:r w:rsidR="006F45B7" w:rsidRPr="00D27CB0">
        <w:t xml:space="preserve">Figure 3.5: Differences in a) spring and summer discharge associated with switchgrass production relative to baseline in all scenarios during the simulation period, 1995-2009, and b) the percent change in spring and summer discharge relative to baseline in all scenarios during the simulation period, 1995-2009.  </w:t>
      </w:r>
      <w:r w:rsidR="005314B2">
        <w:t>The values of the medians (black lines) are provided</w:t>
      </w:r>
      <w:r w:rsidR="006F45B7" w:rsidRPr="00D27CB0">
        <w:t xml:space="preserve">.  </w:t>
      </w:r>
      <w:r w:rsidR="00456EEA">
        <w:t xml:space="preserve">The </w:t>
      </w:r>
      <w:r w:rsidR="00E5480E">
        <w:t xml:space="preserve">dots comprise the observations; circles indicate outliers.  </w:t>
      </w:r>
      <w:r w:rsidR="006F45B7" w:rsidRPr="00D27CB0">
        <w:t>The proportion of the watershed converted in each scenario is shown as a percentage in brackets underneath the x-axis label.</w:t>
      </w:r>
      <w:bookmarkEnd w:id="125"/>
      <w:r w:rsidR="006F45B7" w:rsidRPr="00D27CB0">
        <w:t xml:space="preserve">  </w:t>
      </w:r>
      <w:bookmarkEnd w:id="126"/>
      <w:bookmarkEnd w:id="127"/>
      <w:bookmarkEnd w:id="128"/>
    </w:p>
    <w:p w:rsidR="00A1319D" w:rsidRDefault="00A1319D" w:rsidP="00A1319D"/>
    <w:p w:rsidR="00A1319D" w:rsidRDefault="00A1319D" w:rsidP="00A1319D"/>
    <w:p w:rsidR="00796484" w:rsidRDefault="00885CDF" w:rsidP="00F86E62">
      <w:pPr>
        <w:spacing w:line="480" w:lineRule="auto"/>
        <w:jc w:val="center"/>
      </w:pPr>
      <w:r>
        <w:rPr>
          <w:noProof/>
        </w:rPr>
        <w:pict>
          <v:shape id="Text Box 108" o:spid="_x0000_s1121" type="#_x0000_t202" style="position:absolute;left:0;text-align:left;margin-left:233.95pt;margin-top:299.2pt;width:26.65pt;height:22.3pt;rotation:-90;z-index:25173401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" fillcolor="white [3201]" stroked="f" strokeweight=".5pt">
            <v:textbox style="mso-next-textbox:#Text Box 108">
              <w:txbxContent>
                <w:p w:rsidR="00885CDF" w:rsidRPr="00EC5B8F" w:rsidRDefault="00885CDF" w:rsidP="006F45B7">
                  <w:pPr>
                    <w:rPr>
                      <w:b/>
                    </w:rPr>
                  </w:pPr>
                  <w:r>
                    <w:rPr>
                      <w:b/>
                    </w:rPr>
                    <w:t>d</w:t>
                  </w:r>
                  <w:r w:rsidRPr="00EC5B8F">
                    <w:rPr>
                      <w:b/>
                    </w:rPr>
                    <w:t>)</w:t>
                  </w:r>
                </w:p>
              </w:txbxContent>
            </v:textbox>
          </v:shape>
        </w:pict>
      </w:r>
      <w:r>
        <w:rPr>
          <w:noProof/>
        </w:rPr>
        <w:pict>
          <v:shape id="_x0000_s1199" type="#_x0000_t202" style="position:absolute;left:0;text-align:left;margin-left:236.55pt;margin-top:86.25pt;width:26.65pt;height:22.3pt;z-index:251770880" stroked="f">
            <v:textbox style="mso-next-textbox:#_x0000_s1199">
              <w:txbxContent>
                <w:p w:rsidR="00885CDF" w:rsidRPr="00AB26D9" w:rsidRDefault="00885CDF">
                  <w:pPr>
                    <w:rPr>
                      <w:b/>
                    </w:rPr>
                  </w:pPr>
                  <w:r w:rsidRPr="00AB26D9">
                    <w:rPr>
                      <w:b/>
                    </w:rPr>
                    <w:t>b)</w:t>
                  </w:r>
                </w:p>
              </w:txbxContent>
            </v:textbox>
          </v:shape>
        </w:pict>
      </w:r>
      <w:r>
        <w:rPr>
          <w:noProof/>
        </w:rPr>
        <w:pict>
          <v:shape id="Text Box 109" o:spid="_x0000_s1122" type="#_x0000_t202" style="position:absolute;left:0;text-align:left;margin-left:60.4pt;margin-top:299.2pt;width:26.65pt;height:22.3pt;rotation:-90;z-index:25173504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" fillcolor="white [3201]" stroked="f" strokeweight=".5pt">
            <v:textbox style="mso-next-textbox:#Text Box 109">
              <w:txbxContent>
                <w:p w:rsidR="00885CDF" w:rsidRPr="00EC5B8F" w:rsidRDefault="00885CDF" w:rsidP="006F45B7">
                  <w:pPr>
                    <w:rPr>
                      <w:b/>
                    </w:rPr>
                  </w:pPr>
                  <w:r>
                    <w:rPr>
                      <w:b/>
                    </w:rPr>
                    <w:t>c</w:t>
                  </w:r>
                  <w:r w:rsidRPr="00EC5B8F">
                    <w:rPr>
                      <w:b/>
                    </w:rPr>
                    <w:t>)</w:t>
                  </w:r>
                </w:p>
              </w:txbxContent>
            </v:textbox>
          </v:shape>
        </w:pict>
      </w:r>
      <w:r>
        <w:rPr>
          <w:noProof/>
        </w:rPr>
        <w:pict>
          <v:shape id="_x0000_s1198" type="#_x0000_t202" style="position:absolute;left:0;text-align:left;margin-left:62.55pt;margin-top:86.25pt;width:26.65pt;height:22.3pt;z-index:251769856" stroked="f">
            <v:textbox style="mso-next-textbox:#_x0000_s1198">
              <w:txbxContent>
                <w:p w:rsidR="00885CDF" w:rsidRPr="00AB26D9" w:rsidRDefault="00885CDF">
                  <w:pPr>
                    <w:rPr>
                      <w:b/>
                    </w:rPr>
                  </w:pPr>
                  <w:r w:rsidRPr="00AB26D9">
                    <w:rPr>
                      <w:b/>
                    </w:rPr>
                    <w:t>a)</w:t>
                  </w:r>
                </w:p>
              </w:txbxContent>
            </v:textbox>
          </v:shape>
        </w:pict>
      </w:r>
      <w:r w:rsidR="006F45B7">
        <w:rPr>
          <w:noProof/>
        </w:rPr>
        <w:drawing>
          <wp:inline distT="0" distB="0" distL="0" distR="0" wp14:anchorId="5E8116A0" wp14:editId="194DDDE1">
            <wp:extent cx="5043335" cy="5600700"/>
            <wp:effectExtent l="19050" t="19050" r="508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png"/>
                    <pic:cNvPicPr/>
                  </pic:nvPicPr>
                  <pic:blipFill>
                    <a:blip r:embed="rId26">
                      <a:extLst>
                        <a:ext uri="{28A0092B-C50C-407E-A947-70E740481C1C}">
                          <a14:useLocalDpi xmlns:a14="http://schemas.microsoft.com/office/drawing/2010/main" val="0"/>
                        </a:ext>
                      </a:extLst>
                    </a:blip>
                    <a:stretch>
                      <a:fillRect/>
                    </a:stretch>
                  </pic:blipFill>
                  <pic:spPr>
                    <a:xfrm>
                      <a:off x="0" y="0"/>
                      <a:ext cx="5046980" cy="5604748"/>
                    </a:xfrm>
                    <a:prstGeom prst="rect">
                      <a:avLst/>
                    </a:prstGeom>
                    <a:ln>
                      <a:solidFill>
                        <a:schemeClr val="tx1"/>
                      </a:solidFill>
                    </a:ln>
                  </pic:spPr>
                </pic:pic>
              </a:graphicData>
            </a:graphic>
          </wp:inline>
        </w:drawing>
      </w:r>
      <w:bookmarkStart w:id="129" w:name="_Toc362784357"/>
      <w:bookmarkStart w:id="130" w:name="_Toc364442689"/>
    </w:p>
    <w:p w:rsidR="006F45B7" w:rsidRDefault="006F45B7" w:rsidP="00F86E62">
      <w:pPr>
        <w:pStyle w:val="Figurecaption"/>
      </w:pPr>
      <w:bookmarkStart w:id="131" w:name="_Toc364505732"/>
      <w:bookmarkStart w:id="132" w:name="_Toc367004744"/>
      <w:r w:rsidRPr="00B84325">
        <w:t xml:space="preserve">Figure </w:t>
      </w:r>
      <w:r w:rsidRPr="00CE05DE">
        <w:t>3.6: Relationship between change in spring discharge relative to baseline and precipitation, 1995-2009 in the a) nowwht, b) nornge, c) noag, and d) fert scenarios</w:t>
      </w:r>
      <w:bookmarkEnd w:id="129"/>
      <w:bookmarkEnd w:id="130"/>
      <w:bookmarkEnd w:id="131"/>
      <w:bookmarkEnd w:id="132"/>
    </w:p>
    <w:p w:rsidR="00D27CB0" w:rsidRPr="00D27CB0" w:rsidRDefault="00D27CB0" w:rsidP="00D27CB0">
      <w:pPr>
        <w:rPr>
          <w:lang w:val="en-GB" w:eastAsia="en-GB"/>
        </w:rPr>
      </w:pPr>
    </w:p>
    <w:p w:rsidR="00311250" w:rsidRDefault="00311250" w:rsidP="00CD20B4">
      <w:pPr>
        <w:spacing w:line="480" w:lineRule="auto"/>
      </w:pPr>
    </w:p>
    <w:p w:rsidR="00311250" w:rsidRDefault="00311250" w:rsidP="00194503">
      <w:pPr>
        <w:spacing w:after="100" w:line="276" w:lineRule="auto"/>
        <w:jc w:val="center"/>
        <w:rPr>
          <w:noProof/>
        </w:rPr>
      </w:pPr>
    </w:p>
    <w:p w:rsidR="00311250" w:rsidRDefault="00BC1971" w:rsidP="007E0ABC">
      <w:pPr>
        <w:spacing w:line="276" w:lineRule="auto"/>
        <w:jc w:val="center"/>
      </w:pPr>
      <w:r>
        <w:rPr>
          <w:noProof/>
        </w:rPr>
        <w:lastRenderedPageBreak/>
        <w:drawing>
          <wp:inline distT="0" distB="0" distL="0" distR="0">
            <wp:extent cx="5386290" cy="27313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7a.png"/>
                    <pic:cNvPicPr/>
                  </pic:nvPicPr>
                  <pic:blipFill rotWithShape="1">
                    <a:blip r:embed="rId27">
                      <a:extLst>
                        <a:ext uri="{28A0092B-C50C-407E-A947-70E740481C1C}">
                          <a14:useLocalDpi xmlns:a14="http://schemas.microsoft.com/office/drawing/2010/main" val="0"/>
                        </a:ext>
                      </a:extLst>
                    </a:blip>
                    <a:srcRect b="4959"/>
                    <a:stretch/>
                  </pic:blipFill>
                  <pic:spPr bwMode="auto">
                    <a:xfrm>
                      <a:off x="0" y="0"/>
                      <a:ext cx="5394960" cy="2735722"/>
                    </a:xfrm>
                    <a:prstGeom prst="rect">
                      <a:avLst/>
                    </a:prstGeom>
                    <a:ln>
                      <a:noFill/>
                    </a:ln>
                    <a:extLst>
                      <a:ext uri="{53640926-AAD7-44D8-BBD7-CCE9431645EC}">
                        <a14:shadowObscured xmlns:a14="http://schemas.microsoft.com/office/drawing/2010/main"/>
                      </a:ext>
                    </a:extLst>
                  </pic:spPr>
                </pic:pic>
              </a:graphicData>
            </a:graphic>
          </wp:inline>
        </w:drawing>
      </w:r>
    </w:p>
    <w:p w:rsidR="00BC1971" w:rsidRDefault="00BC1971" w:rsidP="007E0ABC">
      <w:pPr>
        <w:spacing w:line="276" w:lineRule="auto"/>
        <w:jc w:val="center"/>
      </w:pPr>
      <w:r>
        <w:rPr>
          <w:noProof/>
        </w:rPr>
        <w:drawing>
          <wp:inline distT="0" distB="0" distL="0" distR="0">
            <wp:extent cx="5386288" cy="242256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7b.png"/>
                    <pic:cNvPicPr/>
                  </pic:nvPicPr>
                  <pic:blipFill rotWithShape="1">
                    <a:blip r:embed="rId28">
                      <a:extLst>
                        <a:ext uri="{28A0092B-C50C-407E-A947-70E740481C1C}">
                          <a14:useLocalDpi xmlns:a14="http://schemas.microsoft.com/office/drawing/2010/main" val="0"/>
                        </a:ext>
                      </a:extLst>
                    </a:blip>
                    <a:srcRect t="15703"/>
                    <a:stretch/>
                  </pic:blipFill>
                  <pic:spPr bwMode="auto">
                    <a:xfrm>
                      <a:off x="0" y="0"/>
                      <a:ext cx="5394960" cy="2426466"/>
                    </a:xfrm>
                    <a:prstGeom prst="rect">
                      <a:avLst/>
                    </a:prstGeom>
                    <a:ln>
                      <a:noFill/>
                    </a:ln>
                    <a:extLst>
                      <a:ext uri="{53640926-AAD7-44D8-BBD7-CCE9431645EC}">
                        <a14:shadowObscured xmlns:a14="http://schemas.microsoft.com/office/drawing/2010/main"/>
                      </a:ext>
                    </a:extLst>
                  </pic:spPr>
                </pic:pic>
              </a:graphicData>
            </a:graphic>
          </wp:inline>
        </w:drawing>
      </w:r>
    </w:p>
    <w:p w:rsidR="006F45B7" w:rsidRDefault="00885CDF" w:rsidP="00796484">
      <w:pPr>
        <w:pStyle w:val="Figurecaption"/>
      </w:pPr>
      <w:bookmarkStart w:id="133" w:name="_Toc364442690"/>
      <w:bookmarkStart w:id="134" w:name="_Toc364505733"/>
      <w:bookmarkStart w:id="135" w:name="_Toc367004745"/>
      <w:r>
        <w:rPr>
          <w:noProof/>
        </w:rPr>
        <w:pict>
          <v:shape id="Text Box 68" o:spid="_x0000_s1123" type="#_x0000_t202" style="position:absolute;margin-left:124.5pt;margin-top:253.8pt;width:49.5pt;height:19.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" fillcolor="white [3201]" stroked="f" strokeweight=".5pt">
            <v:textbox style="mso-next-textbox:#Text Box 68">
              <w:txbxContent>
                <w:p w:rsidR="00885CDF" w:rsidRDefault="00885CDF" w:rsidP="006F45B7"/>
              </w:txbxContent>
            </v:textbox>
          </v:shape>
        </w:pict>
      </w:r>
      <w:bookmarkStart w:id="136" w:name="_Toc362784358"/>
      <w:r w:rsidR="00311250">
        <w:t>F</w:t>
      </w:r>
      <w:r w:rsidR="006F45B7" w:rsidRPr="00B84325">
        <w:t xml:space="preserve">igure </w:t>
      </w:r>
      <w:r w:rsidR="00E67207">
        <w:t xml:space="preserve">3.7: </w:t>
      </w:r>
      <w:r w:rsidR="006F45B7" w:rsidRPr="00CE05DE">
        <w:t>Differen</w:t>
      </w:r>
      <w:r w:rsidR="00311250">
        <w:t xml:space="preserve">ces in in basin-wide a) spring </w:t>
      </w:r>
      <w:r w:rsidR="006F45B7" w:rsidRPr="00CE05DE">
        <w:t>and summer eT associated with switchgrass production relative to baseline in all scenarios during the simulation period, 1995-2009, and b) the percent change in spring and summer eT relative to baseline in all scenarios during the simulation period, 1995-2009.  The boxplots are read in a manner identical to that of Figure 3.5.</w:t>
      </w:r>
      <w:bookmarkEnd w:id="133"/>
      <w:bookmarkEnd w:id="134"/>
      <w:bookmarkEnd w:id="135"/>
      <w:bookmarkEnd w:id="136"/>
    </w:p>
    <w:p w:rsidR="006F45B7" w:rsidRDefault="006F45B7" w:rsidP="006F45B7"/>
    <w:p w:rsidR="006F45B7" w:rsidRDefault="006F45B7" w:rsidP="006F45B7">
      <w:pPr>
        <w:spacing w:line="276" w:lineRule="auto"/>
      </w:pPr>
      <w:r>
        <w:rPr>
          <w:noProof/>
        </w:rPr>
        <w:lastRenderedPageBreak/>
        <w:drawing>
          <wp:inline distT="0" distB="0" distL="0" distR="0" wp14:anchorId="54FE48CC" wp14:editId="3A3B91ED">
            <wp:extent cx="5486400" cy="32258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8.jpg"/>
                    <pic:cNvPicPr/>
                  </pic:nvPicPr>
                  <pic:blipFill>
                    <a:blip r:embed="rId29">
                      <a:extLst>
                        <a:ext uri="{28A0092B-C50C-407E-A947-70E740481C1C}">
                          <a14:useLocalDpi xmlns:a14="http://schemas.microsoft.com/office/drawing/2010/main" val="0"/>
                        </a:ext>
                      </a:extLst>
                    </a:blip>
                    <a:stretch>
                      <a:fillRect/>
                    </a:stretch>
                  </pic:blipFill>
                  <pic:spPr>
                    <a:xfrm>
                      <a:off x="0" y="0"/>
                      <a:ext cx="5486400" cy="3225800"/>
                    </a:xfrm>
                    <a:prstGeom prst="rect">
                      <a:avLst/>
                    </a:prstGeom>
                  </pic:spPr>
                </pic:pic>
              </a:graphicData>
            </a:graphic>
          </wp:inline>
        </w:drawing>
      </w:r>
    </w:p>
    <w:p w:rsidR="006F45B7" w:rsidRPr="00CE05DE" w:rsidRDefault="006F45B7" w:rsidP="00796484">
      <w:pPr>
        <w:pStyle w:val="Figurecaption"/>
      </w:pPr>
      <w:bookmarkStart w:id="137" w:name="_Toc362784359"/>
      <w:bookmarkStart w:id="138" w:name="_Toc364442691"/>
      <w:bookmarkStart w:id="139" w:name="_Toc364505734"/>
      <w:bookmarkStart w:id="140" w:name="_Toc367004746"/>
      <w:r w:rsidRPr="00B84325">
        <w:t xml:space="preserve">Figure </w:t>
      </w:r>
      <w:r>
        <w:t>3</w:t>
      </w:r>
      <w:r w:rsidRPr="00B84325">
        <w:t>.</w:t>
      </w:r>
      <w:r w:rsidR="00E67207">
        <w:t xml:space="preserve">8: </w:t>
      </w:r>
      <w:r w:rsidRPr="00CE05DE">
        <w:t xml:space="preserve">Relationship between the change in seasonal </w:t>
      </w:r>
      <w:proofErr w:type="gramStart"/>
      <w:r w:rsidRPr="00CE05DE">
        <w:t>eT</w:t>
      </w:r>
      <w:proofErr w:type="gramEnd"/>
      <w:r w:rsidRPr="00CE05DE">
        <w:t xml:space="preserve"> in the four switchgrass scenarios relative to baseline, and the quantity of switchgrass biomass (in 100</w:t>
      </w:r>
      <w:r>
        <w:t>,</w:t>
      </w:r>
      <w:r w:rsidRPr="00CE05DE">
        <w:t>000 metric tons) during the spring and summer.</w:t>
      </w:r>
      <w:bookmarkEnd w:id="137"/>
      <w:bookmarkEnd w:id="138"/>
      <w:bookmarkEnd w:id="139"/>
      <w:bookmarkEnd w:id="140"/>
    </w:p>
    <w:p w:rsidR="006F45B7" w:rsidRPr="006F45B7" w:rsidRDefault="006F45B7" w:rsidP="006F45B7"/>
    <w:p w:rsidR="00CD20B4" w:rsidRDefault="00CD20B4" w:rsidP="00CD20B4">
      <w:pPr>
        <w:spacing w:line="480" w:lineRule="auto"/>
      </w:pPr>
      <w:r w:rsidRPr="00C34BB3">
        <w:t xml:space="preserve">     </w:t>
      </w:r>
      <w:r>
        <w:t>Table 3.</w:t>
      </w:r>
      <w:r w:rsidRPr="00C34BB3">
        <w:t xml:space="preserve">7 indicates that moderately-strong, statistically-significant (p&lt;0.05) relationships exist between changes in </w:t>
      </w:r>
      <w:proofErr w:type="gramStart"/>
      <w:r w:rsidRPr="00C34BB3">
        <w:t>eT</w:t>
      </w:r>
      <w:proofErr w:type="gramEnd"/>
      <w:r w:rsidRPr="00C34BB3">
        <w:t xml:space="preserve"> and changes in discharge during all seasons and scenarios except for “nowwht.”  </w:t>
      </w:r>
      <w:r w:rsidR="00772BF2">
        <w:t>I</w:t>
      </w:r>
      <w:r w:rsidRPr="00C34BB3">
        <w:t xml:space="preserve"> conclude, therefore, that changes in discharge in the MNCR are driven by </w:t>
      </w:r>
      <w:proofErr w:type="gramStart"/>
      <w:r w:rsidRPr="00C34BB3">
        <w:t>eT</w:t>
      </w:r>
      <w:proofErr w:type="gramEnd"/>
      <w:r w:rsidRPr="00C34BB3">
        <w:t xml:space="preserve"> except in this scenario, which may be driven by the application of spring fertilizer with the subsequent increase in the growth of winter wheat.  Ignoring the “nowwht” scenario, it is also noteworthy that the coefficient of determination for this relationship decreases with the volume of switchgrass production, which is further evidence of the occurrence of water stress mentioned above, as only so much moisture is available to be lost by </w:t>
      </w:r>
      <w:proofErr w:type="gramStart"/>
      <w:r w:rsidRPr="00C34BB3">
        <w:t>eT</w:t>
      </w:r>
      <w:proofErr w:type="gramEnd"/>
      <w:r w:rsidRPr="00C34BB3">
        <w:t>.</w:t>
      </w:r>
    </w:p>
    <w:p w:rsidR="006F45B7" w:rsidRDefault="006F45B7" w:rsidP="00146657">
      <w:pPr>
        <w:pStyle w:val="Tabletitle"/>
        <w:jc w:val="center"/>
      </w:pPr>
      <w:bookmarkStart w:id="141" w:name="_Toc364503710"/>
      <w:bookmarkStart w:id="142" w:name="_Toc367550604"/>
      <w:r w:rsidRPr="00023336">
        <w:lastRenderedPageBreak/>
        <w:t>Table 3.6: Average quantity of spring and summer water stress days, by scenario, 1995-2009</w:t>
      </w:r>
      <w:bookmarkEnd w:id="141"/>
      <w:bookmarkEnd w:id="142"/>
    </w:p>
    <w:tbl>
      <w:tblPr>
        <w:tblW w:w="2500" w:type="pct"/>
        <w:jc w:val="center"/>
        <w:tblLook w:val="0620" w:firstRow="1" w:lastRow="0" w:firstColumn="0" w:lastColumn="0" w:noHBand="1" w:noVBand="1"/>
      </w:tblPr>
      <w:tblGrid>
        <w:gridCol w:w="1452"/>
        <w:gridCol w:w="1453"/>
        <w:gridCol w:w="1451"/>
      </w:tblGrid>
      <w:tr w:rsidR="006F45B7" w:rsidRPr="00CE05DE" w:rsidTr="00701100">
        <w:trPr>
          <w:jc w:val="center"/>
        </w:trPr>
        <w:tc>
          <w:tcPr>
            <w:tcW w:w="1667" w:type="pct"/>
            <w:tcBorders>
              <w:top w:val="single" w:sz="8" w:space="0" w:color="000000" w:themeColor="text1"/>
              <w:left w:val="single" w:sz="8" w:space="0" w:color="000000" w:themeColor="text1"/>
              <w:right w:val="nil"/>
            </w:tcBorders>
            <w:shd w:val="clear" w:color="auto" w:fill="000000" w:themeFill="text1"/>
            <w:hideMark/>
          </w:tcPr>
          <w:p w:rsidR="006F45B7" w:rsidRPr="00CE05DE" w:rsidRDefault="006F45B7" w:rsidP="00E01EA9">
            <w:pPr>
              <w:rPr>
                <w:b/>
              </w:rPr>
            </w:pPr>
            <w:r w:rsidRPr="00CE05DE">
              <w:rPr>
                <w:b/>
              </w:rPr>
              <w:t>Scenario</w:t>
            </w:r>
          </w:p>
        </w:tc>
        <w:tc>
          <w:tcPr>
            <w:tcW w:w="1668" w:type="pct"/>
            <w:tcBorders>
              <w:top w:val="single" w:sz="8" w:space="0" w:color="000000" w:themeColor="text1"/>
              <w:left w:val="nil"/>
              <w:right w:val="nil"/>
            </w:tcBorders>
            <w:shd w:val="clear" w:color="auto" w:fill="000000" w:themeFill="text1"/>
            <w:hideMark/>
          </w:tcPr>
          <w:p w:rsidR="006F45B7" w:rsidRPr="00CE05DE" w:rsidRDefault="006F45B7" w:rsidP="00E01EA9">
            <w:pPr>
              <w:rPr>
                <w:b/>
              </w:rPr>
            </w:pPr>
            <w:r w:rsidRPr="00CE05DE">
              <w:rPr>
                <w:b/>
              </w:rPr>
              <w:t>Spring</w:t>
            </w:r>
          </w:p>
        </w:tc>
        <w:tc>
          <w:tcPr>
            <w:tcW w:w="1666" w:type="pct"/>
            <w:tcBorders>
              <w:top w:val="single" w:sz="8" w:space="0" w:color="000000" w:themeColor="text1"/>
              <w:left w:val="nil"/>
              <w:right w:val="nil"/>
            </w:tcBorders>
            <w:shd w:val="clear" w:color="auto" w:fill="000000" w:themeFill="text1"/>
            <w:hideMark/>
          </w:tcPr>
          <w:p w:rsidR="006F45B7" w:rsidRPr="00CE05DE" w:rsidRDefault="006F45B7" w:rsidP="00E01EA9">
            <w:pPr>
              <w:rPr>
                <w:b/>
              </w:rPr>
            </w:pPr>
            <w:r w:rsidRPr="00CE05DE">
              <w:rPr>
                <w:b/>
              </w:rPr>
              <w:t>Summer</w:t>
            </w:r>
          </w:p>
        </w:tc>
      </w:tr>
      <w:tr w:rsidR="006F45B7" w:rsidRPr="00CE05DE" w:rsidTr="00701100">
        <w:trPr>
          <w:trHeight w:val="576"/>
          <w:jc w:val="center"/>
        </w:trPr>
        <w:tc>
          <w:tcPr>
            <w:tcW w:w="1667" w:type="pct"/>
            <w:tcBorders>
              <w:top w:val="nil"/>
              <w:left w:val="single" w:sz="8" w:space="0" w:color="000000" w:themeColor="text1"/>
              <w:bottom w:val="nil"/>
              <w:right w:val="nil"/>
            </w:tcBorders>
            <w:hideMark/>
          </w:tcPr>
          <w:p w:rsidR="006F45B7" w:rsidRPr="00CE05DE" w:rsidRDefault="00DA1A32" w:rsidP="00E01EA9">
            <w:r>
              <w:t>b</w:t>
            </w:r>
            <w:r w:rsidR="006F45B7" w:rsidRPr="00CE05DE">
              <w:t>aseline</w:t>
            </w:r>
          </w:p>
        </w:tc>
        <w:tc>
          <w:tcPr>
            <w:tcW w:w="1668" w:type="pct"/>
            <w:tcBorders>
              <w:top w:val="nil"/>
              <w:left w:val="nil"/>
              <w:bottom w:val="nil"/>
              <w:right w:val="nil"/>
            </w:tcBorders>
            <w:hideMark/>
          </w:tcPr>
          <w:p w:rsidR="006F45B7" w:rsidRPr="00CE05DE" w:rsidRDefault="006F45B7" w:rsidP="00E01EA9">
            <m:oMathPara>
              <m:oMathParaPr>
                <m:jc m:val="left"/>
              </m:oMathParaPr>
              <m:oMath>
                <m:r>
                  <m:rPr>
                    <m:sty m:val="p"/>
                  </m:rPr>
                  <w:rPr>
                    <w:rFonts w:ascii="Cambria Math" w:hAnsi="Cambria Math" w:hint="eastAsia"/>
                  </w:rPr>
                  <m:t>5.74</m:t>
                </m:r>
              </m:oMath>
            </m:oMathPara>
          </w:p>
        </w:tc>
        <w:tc>
          <w:tcPr>
            <w:tcW w:w="1666" w:type="pct"/>
            <w:tcBorders>
              <w:top w:val="nil"/>
              <w:left w:val="nil"/>
              <w:bottom w:val="nil"/>
              <w:right w:val="single" w:sz="4" w:space="0" w:color="auto"/>
            </w:tcBorders>
            <w:hideMark/>
          </w:tcPr>
          <w:p w:rsidR="006F45B7" w:rsidRPr="00CE05DE" w:rsidRDefault="006F45B7" w:rsidP="00E01EA9">
            <m:oMathPara>
              <m:oMathParaPr>
                <m:jc m:val="left"/>
              </m:oMathParaPr>
              <m:oMath>
                <m:r>
                  <w:rPr>
                    <w:rFonts w:ascii="Cambria Math" w:hAnsi="Cambria Math" w:hint="eastAsia"/>
                  </w:rPr>
                  <m:t>11.02</m:t>
                </m:r>
              </m:oMath>
            </m:oMathPara>
          </w:p>
        </w:tc>
      </w:tr>
      <w:tr w:rsidR="006F45B7" w:rsidRPr="00CE05DE" w:rsidTr="00701100">
        <w:trPr>
          <w:trHeight w:val="576"/>
          <w:jc w:val="center"/>
        </w:trPr>
        <w:tc>
          <w:tcPr>
            <w:tcW w:w="1667" w:type="pct"/>
            <w:tcBorders>
              <w:top w:val="nil"/>
              <w:left w:val="single" w:sz="8" w:space="0" w:color="000000" w:themeColor="text1"/>
              <w:bottom w:val="nil"/>
              <w:right w:val="nil"/>
            </w:tcBorders>
            <w:hideMark/>
          </w:tcPr>
          <w:p w:rsidR="006F45B7" w:rsidRPr="00CE05DE" w:rsidRDefault="00DA1A32" w:rsidP="00E01EA9">
            <w:r>
              <w:t>n</w:t>
            </w:r>
            <w:r w:rsidR="006F45B7" w:rsidRPr="00CE05DE">
              <w:t>owwht</w:t>
            </w:r>
          </w:p>
        </w:tc>
        <w:tc>
          <w:tcPr>
            <w:tcW w:w="1668" w:type="pct"/>
            <w:tcBorders>
              <w:top w:val="nil"/>
              <w:left w:val="nil"/>
              <w:bottom w:val="nil"/>
              <w:right w:val="nil"/>
            </w:tcBorders>
            <w:hideMark/>
          </w:tcPr>
          <w:p w:rsidR="006F45B7" w:rsidRPr="00CE05DE" w:rsidRDefault="006F45B7" w:rsidP="00E01EA9">
            <m:oMathPara>
              <m:oMathParaPr>
                <m:jc m:val="left"/>
              </m:oMathParaPr>
              <m:oMath>
                <m:r>
                  <m:rPr>
                    <m:sty m:val="p"/>
                  </m:rPr>
                  <w:rPr>
                    <w:rFonts w:ascii="Cambria Math" w:hAnsi="Cambria Math" w:hint="eastAsia"/>
                  </w:rPr>
                  <m:t>5.57</m:t>
                </m:r>
              </m:oMath>
            </m:oMathPara>
          </w:p>
        </w:tc>
        <w:tc>
          <w:tcPr>
            <w:tcW w:w="1666" w:type="pct"/>
            <w:tcBorders>
              <w:top w:val="nil"/>
              <w:left w:val="nil"/>
              <w:bottom w:val="nil"/>
              <w:right w:val="single" w:sz="4" w:space="0" w:color="auto"/>
            </w:tcBorders>
            <w:hideMark/>
          </w:tcPr>
          <w:p w:rsidR="006F45B7" w:rsidRPr="00CE05DE" w:rsidRDefault="006F45B7" w:rsidP="00E01EA9">
            <m:oMath>
              <m:r>
                <w:rPr>
                  <w:rFonts w:ascii="Cambria Math" w:hAnsi="Cambria Math" w:hint="eastAsia"/>
                </w:rPr>
                <m:t>13.23</m:t>
              </m:r>
            </m:oMath>
            <w:r w:rsidRPr="00CE05DE">
              <w:t>*</w:t>
            </w:r>
          </w:p>
        </w:tc>
      </w:tr>
      <w:tr w:rsidR="006F45B7" w:rsidRPr="00CE05DE" w:rsidTr="00701100">
        <w:trPr>
          <w:trHeight w:val="576"/>
          <w:jc w:val="center"/>
        </w:trPr>
        <w:tc>
          <w:tcPr>
            <w:tcW w:w="1667" w:type="pct"/>
            <w:tcBorders>
              <w:top w:val="nil"/>
              <w:left w:val="single" w:sz="8" w:space="0" w:color="000000" w:themeColor="text1"/>
              <w:bottom w:val="nil"/>
              <w:right w:val="nil"/>
            </w:tcBorders>
            <w:hideMark/>
          </w:tcPr>
          <w:p w:rsidR="006F45B7" w:rsidRPr="00CE05DE" w:rsidRDefault="00DA1A32" w:rsidP="00E01EA9">
            <w:r>
              <w:t>n</w:t>
            </w:r>
            <w:r w:rsidR="006F45B7" w:rsidRPr="00CE05DE">
              <w:t>ornge</w:t>
            </w:r>
          </w:p>
        </w:tc>
        <w:tc>
          <w:tcPr>
            <w:tcW w:w="1668" w:type="pct"/>
            <w:tcBorders>
              <w:top w:val="nil"/>
              <w:left w:val="nil"/>
              <w:bottom w:val="nil"/>
              <w:right w:val="nil"/>
            </w:tcBorders>
            <w:hideMark/>
          </w:tcPr>
          <w:p w:rsidR="006F45B7" w:rsidRPr="00CE05DE" w:rsidRDefault="006F45B7" w:rsidP="00E01EA9">
            <m:oMath>
              <m:r>
                <m:rPr>
                  <m:sty m:val="p"/>
                </m:rPr>
                <w:rPr>
                  <w:rFonts w:ascii="Cambria Math" w:hAnsi="Cambria Math" w:hint="eastAsia"/>
                </w:rPr>
                <m:t>7.32</m:t>
              </m:r>
            </m:oMath>
            <w:r w:rsidRPr="00CE05DE">
              <w:t>*</w:t>
            </w:r>
          </w:p>
        </w:tc>
        <w:tc>
          <w:tcPr>
            <w:tcW w:w="1666" w:type="pct"/>
            <w:tcBorders>
              <w:top w:val="nil"/>
              <w:left w:val="nil"/>
              <w:bottom w:val="nil"/>
              <w:right w:val="single" w:sz="4" w:space="0" w:color="auto"/>
            </w:tcBorders>
            <w:hideMark/>
          </w:tcPr>
          <w:p w:rsidR="006F45B7" w:rsidRPr="00CE05DE" w:rsidRDefault="006F45B7" w:rsidP="00E01EA9">
            <m:oMath>
              <m:r>
                <w:rPr>
                  <w:rFonts w:ascii="Cambria Math" w:hAnsi="Cambria Math" w:hint="eastAsia"/>
                </w:rPr>
                <m:t>16.05</m:t>
              </m:r>
            </m:oMath>
            <w:r w:rsidRPr="00CE05DE">
              <w:t>*</w:t>
            </w:r>
          </w:p>
        </w:tc>
      </w:tr>
      <w:tr w:rsidR="006F45B7" w:rsidRPr="00CE05DE" w:rsidTr="00701100">
        <w:trPr>
          <w:trHeight w:val="576"/>
          <w:jc w:val="center"/>
        </w:trPr>
        <w:tc>
          <w:tcPr>
            <w:tcW w:w="1667" w:type="pct"/>
            <w:tcBorders>
              <w:top w:val="nil"/>
              <w:left w:val="single" w:sz="8" w:space="0" w:color="000000" w:themeColor="text1"/>
              <w:bottom w:val="nil"/>
              <w:right w:val="nil"/>
            </w:tcBorders>
            <w:hideMark/>
          </w:tcPr>
          <w:p w:rsidR="006F45B7" w:rsidRPr="00CE05DE" w:rsidRDefault="00DA1A32" w:rsidP="00E01EA9">
            <w:r>
              <w:t>n</w:t>
            </w:r>
            <w:r w:rsidR="006F45B7" w:rsidRPr="00CE05DE">
              <w:t>oag</w:t>
            </w:r>
          </w:p>
        </w:tc>
        <w:tc>
          <w:tcPr>
            <w:tcW w:w="1668" w:type="pct"/>
            <w:tcBorders>
              <w:top w:val="nil"/>
              <w:left w:val="nil"/>
              <w:bottom w:val="nil"/>
              <w:right w:val="nil"/>
            </w:tcBorders>
            <w:hideMark/>
          </w:tcPr>
          <w:p w:rsidR="006F45B7" w:rsidRPr="00CE05DE" w:rsidRDefault="006F45B7" w:rsidP="00E01EA9">
            <m:oMath>
              <m:r>
                <m:rPr>
                  <m:sty m:val="p"/>
                </m:rPr>
                <w:rPr>
                  <w:rFonts w:ascii="Cambria Math" w:hAnsi="Cambria Math" w:hint="eastAsia"/>
                </w:rPr>
                <m:t>7.15</m:t>
              </m:r>
            </m:oMath>
            <w:r w:rsidRPr="00CE05DE">
              <w:t>*</w:t>
            </w:r>
          </w:p>
        </w:tc>
        <w:tc>
          <w:tcPr>
            <w:tcW w:w="1666" w:type="pct"/>
            <w:tcBorders>
              <w:top w:val="nil"/>
              <w:left w:val="nil"/>
              <w:bottom w:val="nil"/>
              <w:right w:val="single" w:sz="4" w:space="0" w:color="auto"/>
            </w:tcBorders>
            <w:hideMark/>
          </w:tcPr>
          <w:p w:rsidR="006F45B7" w:rsidRPr="00CE05DE" w:rsidRDefault="006F45B7" w:rsidP="00E01EA9">
            <m:oMath>
              <m:r>
                <w:rPr>
                  <w:rFonts w:ascii="Cambria Math" w:hAnsi="Cambria Math" w:hint="eastAsia"/>
                </w:rPr>
                <m:t>18.26</m:t>
              </m:r>
            </m:oMath>
            <w:r w:rsidRPr="00CE05DE">
              <w:t>*</w:t>
            </w:r>
          </w:p>
        </w:tc>
      </w:tr>
      <w:tr w:rsidR="006F45B7" w:rsidRPr="00CE05DE" w:rsidTr="00DA1A32">
        <w:trPr>
          <w:trHeight w:val="360"/>
          <w:jc w:val="center"/>
        </w:trPr>
        <w:tc>
          <w:tcPr>
            <w:tcW w:w="1667" w:type="pct"/>
            <w:tcBorders>
              <w:top w:val="nil"/>
              <w:left w:val="single" w:sz="8" w:space="0" w:color="000000" w:themeColor="text1"/>
              <w:bottom w:val="single" w:sz="8" w:space="0" w:color="000000" w:themeColor="text1"/>
              <w:right w:val="nil"/>
            </w:tcBorders>
            <w:hideMark/>
          </w:tcPr>
          <w:p w:rsidR="006F45B7" w:rsidRPr="00CE05DE" w:rsidRDefault="00DA1A32" w:rsidP="00E01EA9">
            <w:r>
              <w:t>f</w:t>
            </w:r>
            <w:r w:rsidR="006F45B7" w:rsidRPr="00CE05DE">
              <w:t>ert</w:t>
            </w:r>
          </w:p>
        </w:tc>
        <w:tc>
          <w:tcPr>
            <w:tcW w:w="1668" w:type="pct"/>
            <w:tcBorders>
              <w:top w:val="nil"/>
              <w:left w:val="nil"/>
              <w:bottom w:val="single" w:sz="8" w:space="0" w:color="000000" w:themeColor="text1"/>
              <w:right w:val="nil"/>
            </w:tcBorders>
            <w:hideMark/>
          </w:tcPr>
          <w:p w:rsidR="006F45B7" w:rsidRPr="00CE05DE" w:rsidRDefault="006F45B7" w:rsidP="00E01EA9">
            <m:oMath>
              <m:r>
                <m:rPr>
                  <m:sty m:val="p"/>
                </m:rPr>
                <w:rPr>
                  <w:rFonts w:ascii="Cambria Math" w:hAnsi="Cambria Math" w:hint="eastAsia"/>
                </w:rPr>
                <m:t>13.03</m:t>
              </m:r>
            </m:oMath>
            <w:r w:rsidRPr="00CE05DE">
              <w:t>*</w:t>
            </w:r>
          </w:p>
        </w:tc>
        <w:tc>
          <w:tcPr>
            <w:tcW w:w="1666" w:type="pct"/>
            <w:tcBorders>
              <w:top w:val="nil"/>
              <w:left w:val="nil"/>
              <w:bottom w:val="single" w:sz="8" w:space="0" w:color="000000" w:themeColor="text1"/>
              <w:right w:val="single" w:sz="4" w:space="0" w:color="auto"/>
            </w:tcBorders>
            <w:hideMark/>
          </w:tcPr>
          <w:p w:rsidR="006F45B7" w:rsidRPr="00CE05DE" w:rsidRDefault="006F45B7" w:rsidP="00E01EA9">
            <m:oMath>
              <m:r>
                <w:rPr>
                  <w:rFonts w:ascii="Cambria Math" w:hAnsi="Cambria Math" w:hint="eastAsia"/>
                </w:rPr>
                <m:t>43.33</m:t>
              </m:r>
            </m:oMath>
            <w:r w:rsidRPr="00CE05DE">
              <w:t>*</w:t>
            </w:r>
          </w:p>
        </w:tc>
      </w:tr>
    </w:tbl>
    <w:p w:rsidR="006F45B7" w:rsidRDefault="006F45B7" w:rsidP="006F45B7">
      <w:pPr>
        <w:jc w:val="center"/>
      </w:pPr>
      <w:r w:rsidRPr="00CE05DE">
        <w:t>* Quantities are statistically significant (p&lt;0.05)</w:t>
      </w:r>
      <w:r>
        <w:t xml:space="preserve"> </w:t>
      </w:r>
      <w:r w:rsidRPr="00CE05DE">
        <w:t>relative to baseline</w:t>
      </w:r>
    </w:p>
    <w:p w:rsidR="00701100" w:rsidRDefault="00701100" w:rsidP="006F45B7">
      <w:pPr>
        <w:jc w:val="center"/>
      </w:pPr>
    </w:p>
    <w:p w:rsidR="00F53943" w:rsidRDefault="00F53943" w:rsidP="00F53943">
      <w:pPr>
        <w:pStyle w:val="Tabletitle"/>
      </w:pPr>
      <w:bookmarkStart w:id="143" w:name="_Toc367550605"/>
      <w:bookmarkStart w:id="144" w:name="_Toc364503711"/>
      <w:r w:rsidRPr="00B84325">
        <w:t>Table 3</w:t>
      </w:r>
      <w:r w:rsidRPr="00CE05DE">
        <w:t xml:space="preserve">.7: The strength of the relationship between changes in </w:t>
      </w:r>
      <w:proofErr w:type="gramStart"/>
      <w:r w:rsidRPr="00CE05DE">
        <w:t>eT</w:t>
      </w:r>
      <w:proofErr w:type="gramEnd"/>
      <w:r w:rsidRPr="00CE05DE">
        <w:t xml:space="preserve"> (mm) and discharge (cms) in each scenario by season, as measured by R</w:t>
      </w:r>
      <w:r w:rsidRPr="00CE05DE">
        <w:rPr>
          <w:vertAlign w:val="superscript"/>
        </w:rPr>
        <w:t>2</w:t>
      </w:r>
      <w:r w:rsidRPr="00CE05DE">
        <w:t xml:space="preserve"> and p-values</w:t>
      </w:r>
      <w:bookmarkEnd w:id="143"/>
    </w:p>
    <w:tbl>
      <w:tblPr>
        <w:tblW w:w="3098" w:type="pct"/>
        <w:jc w:val="center"/>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660" w:firstRow="1" w:lastRow="1" w:firstColumn="0" w:lastColumn="0" w:noHBand="1" w:noVBand="1"/>
      </w:tblPr>
      <w:tblGrid>
        <w:gridCol w:w="1762"/>
        <w:gridCol w:w="1980"/>
        <w:gridCol w:w="1656"/>
      </w:tblGrid>
      <w:tr w:rsidR="00F53943" w:rsidRPr="00CE05DE" w:rsidTr="000A6E34">
        <w:trPr>
          <w:jc w:val="center"/>
        </w:trPr>
        <w:tc>
          <w:tcPr>
            <w:tcW w:w="1632" w:type="pct"/>
            <w:shd w:val="clear" w:color="auto" w:fill="000000" w:themeFill="text1"/>
            <w:noWrap/>
            <w:hideMark/>
          </w:tcPr>
          <w:p w:rsidR="00F53943" w:rsidRPr="00CE05DE" w:rsidRDefault="00F53943" w:rsidP="000A6E34">
            <w:pPr>
              <w:rPr>
                <w:b/>
                <w:color w:val="FFFFFF" w:themeColor="background1"/>
              </w:rPr>
            </w:pPr>
            <w:r w:rsidRPr="00CE05DE">
              <w:rPr>
                <w:b/>
                <w:color w:val="FFFFFF" w:themeColor="background1"/>
              </w:rPr>
              <w:t>Scenario</w:t>
            </w:r>
          </w:p>
        </w:tc>
        <w:tc>
          <w:tcPr>
            <w:tcW w:w="1834" w:type="pct"/>
            <w:shd w:val="clear" w:color="auto" w:fill="000000" w:themeFill="text1"/>
            <w:hideMark/>
          </w:tcPr>
          <w:p w:rsidR="00F53943" w:rsidRPr="00CE05DE" w:rsidRDefault="00F53943" w:rsidP="000A6E34">
            <w:pPr>
              <w:rPr>
                <w:b/>
                <w:color w:val="FFFFFF" w:themeColor="background1"/>
              </w:rPr>
            </w:pPr>
            <w:r w:rsidRPr="00CE05DE">
              <w:rPr>
                <w:b/>
                <w:color w:val="FFFFFF" w:themeColor="background1"/>
              </w:rPr>
              <w:t>R</w:t>
            </w:r>
            <w:r w:rsidRPr="00CE05DE">
              <w:rPr>
                <w:b/>
                <w:color w:val="FFFFFF" w:themeColor="background1"/>
                <w:vertAlign w:val="superscript"/>
              </w:rPr>
              <w:t>2</w:t>
            </w:r>
          </w:p>
        </w:tc>
        <w:tc>
          <w:tcPr>
            <w:tcW w:w="1534" w:type="pct"/>
            <w:shd w:val="clear" w:color="auto" w:fill="000000" w:themeFill="text1"/>
            <w:hideMark/>
          </w:tcPr>
          <w:p w:rsidR="00F53943" w:rsidRPr="00CE05DE" w:rsidRDefault="00F53943" w:rsidP="000A6E34">
            <w:pPr>
              <w:rPr>
                <w:b/>
                <w:color w:val="FFFFFF" w:themeColor="background1"/>
              </w:rPr>
            </w:pPr>
            <w:r w:rsidRPr="00CE05DE">
              <w:rPr>
                <w:b/>
                <w:color w:val="FFFFFF" w:themeColor="background1"/>
              </w:rPr>
              <w:t>P-value</w:t>
            </w:r>
          </w:p>
        </w:tc>
      </w:tr>
      <w:tr w:rsidR="00F53943" w:rsidRPr="00CE05DE" w:rsidTr="000A6E34">
        <w:trPr>
          <w:jc w:val="center"/>
        </w:trPr>
        <w:tc>
          <w:tcPr>
            <w:tcW w:w="1632" w:type="pct"/>
            <w:tcBorders>
              <w:top w:val="single" w:sz="8" w:space="0" w:color="000000" w:themeColor="text1"/>
            </w:tcBorders>
            <w:noWrap/>
          </w:tcPr>
          <w:p w:rsidR="00F53943" w:rsidRPr="00CE05DE" w:rsidRDefault="00F53943" w:rsidP="000A6E34"/>
        </w:tc>
        <w:tc>
          <w:tcPr>
            <w:tcW w:w="1834" w:type="pct"/>
            <w:tcBorders>
              <w:top w:val="single" w:sz="8" w:space="0" w:color="000000" w:themeColor="text1"/>
            </w:tcBorders>
            <w:hideMark/>
          </w:tcPr>
          <w:p w:rsidR="00F53943" w:rsidRPr="00CE05DE" w:rsidRDefault="00F53943" w:rsidP="000A6E34">
            <w:pPr>
              <w:rPr>
                <w:rStyle w:val="SubtleEmphasis"/>
              </w:rPr>
            </w:pPr>
            <w:r w:rsidRPr="00CE05DE">
              <w:rPr>
                <w:rStyle w:val="SubtleEmphasis"/>
              </w:rPr>
              <w:t>Spring</w:t>
            </w:r>
          </w:p>
        </w:tc>
        <w:tc>
          <w:tcPr>
            <w:tcW w:w="1534" w:type="pct"/>
            <w:tcBorders>
              <w:top w:val="single" w:sz="8" w:space="0" w:color="000000" w:themeColor="text1"/>
            </w:tcBorders>
          </w:tcPr>
          <w:p w:rsidR="00F53943" w:rsidRPr="00CE05DE" w:rsidRDefault="00F53943" w:rsidP="000A6E34"/>
        </w:tc>
      </w:tr>
      <w:tr w:rsidR="00F53943" w:rsidRPr="00CE05DE" w:rsidTr="000A6E34">
        <w:trPr>
          <w:trHeight w:val="87"/>
          <w:jc w:val="center"/>
        </w:trPr>
        <w:tc>
          <w:tcPr>
            <w:tcW w:w="1632" w:type="pct"/>
            <w:noWrap/>
            <w:hideMark/>
          </w:tcPr>
          <w:p w:rsidR="00F53943" w:rsidRPr="00CE05DE" w:rsidRDefault="000A6E34" w:rsidP="000A6E34">
            <w:r>
              <w:t>n</w:t>
            </w:r>
            <w:r w:rsidR="00F53943" w:rsidRPr="00CE05DE">
              <w:t>owwht</w:t>
            </w:r>
          </w:p>
        </w:tc>
        <w:tc>
          <w:tcPr>
            <w:tcW w:w="18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0.11</w:t>
            </w:r>
          </w:p>
        </w:tc>
        <w:tc>
          <w:tcPr>
            <w:tcW w:w="15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0.232</w:t>
            </w:r>
          </w:p>
        </w:tc>
      </w:tr>
      <w:tr w:rsidR="00F53943" w:rsidRPr="00CE05DE" w:rsidTr="000A6E34">
        <w:trPr>
          <w:jc w:val="center"/>
        </w:trPr>
        <w:tc>
          <w:tcPr>
            <w:tcW w:w="1632" w:type="pct"/>
            <w:noWrap/>
            <w:hideMark/>
          </w:tcPr>
          <w:p w:rsidR="00F53943" w:rsidRPr="00CE05DE" w:rsidRDefault="000A6E34" w:rsidP="000A6E34">
            <w:r>
              <w:t>n</w:t>
            </w:r>
            <w:r w:rsidR="00F53943" w:rsidRPr="00CE05DE">
              <w:t>ornge</w:t>
            </w:r>
          </w:p>
        </w:tc>
        <w:tc>
          <w:tcPr>
            <w:tcW w:w="18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0.81</w:t>
            </w:r>
          </w:p>
        </w:tc>
        <w:tc>
          <w:tcPr>
            <w:tcW w:w="15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5.2*10</w:t>
            </w:r>
            <w:r w:rsidRPr="00CE05DE">
              <w:rPr>
                <w:rFonts w:ascii="Times New Roman" w:hAnsi="Times New Roman" w:cs="Times New Roman"/>
                <w:sz w:val="24"/>
                <w:szCs w:val="24"/>
                <w:vertAlign w:val="superscript"/>
              </w:rPr>
              <w:t>-6</w:t>
            </w:r>
          </w:p>
        </w:tc>
      </w:tr>
      <w:tr w:rsidR="00F53943" w:rsidRPr="00CE05DE" w:rsidTr="000A6E34">
        <w:trPr>
          <w:trHeight w:val="562"/>
          <w:jc w:val="center"/>
        </w:trPr>
        <w:tc>
          <w:tcPr>
            <w:tcW w:w="1632" w:type="pct"/>
            <w:noWrap/>
            <w:hideMark/>
          </w:tcPr>
          <w:p w:rsidR="00F53943" w:rsidRPr="00CE05DE" w:rsidRDefault="000A6E34" w:rsidP="000A6E34">
            <w:r>
              <w:t>n</w:t>
            </w:r>
            <w:r w:rsidR="00F53943" w:rsidRPr="00CE05DE">
              <w:t xml:space="preserve">oag </w:t>
            </w:r>
          </w:p>
        </w:tc>
        <w:tc>
          <w:tcPr>
            <w:tcW w:w="18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0.64</w:t>
            </w:r>
          </w:p>
        </w:tc>
        <w:tc>
          <w:tcPr>
            <w:tcW w:w="15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0.003</w:t>
            </w:r>
          </w:p>
        </w:tc>
      </w:tr>
      <w:tr w:rsidR="00F53943" w:rsidRPr="00CE05DE" w:rsidTr="000A6E34">
        <w:trPr>
          <w:trHeight w:val="562"/>
          <w:jc w:val="center"/>
        </w:trPr>
        <w:tc>
          <w:tcPr>
            <w:tcW w:w="1632" w:type="pct"/>
            <w:noWrap/>
            <w:hideMark/>
          </w:tcPr>
          <w:p w:rsidR="00F53943" w:rsidRPr="00CE05DE" w:rsidRDefault="00E81C75" w:rsidP="000A6E34">
            <w:r>
              <w:t>f</w:t>
            </w:r>
            <w:r w:rsidR="00F53943" w:rsidRPr="00CE05DE">
              <w:t>ert</w:t>
            </w:r>
          </w:p>
        </w:tc>
        <w:tc>
          <w:tcPr>
            <w:tcW w:w="18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0.59</w:t>
            </w:r>
          </w:p>
        </w:tc>
        <w:tc>
          <w:tcPr>
            <w:tcW w:w="15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0.0008</w:t>
            </w:r>
          </w:p>
        </w:tc>
      </w:tr>
      <w:tr w:rsidR="00F53943" w:rsidRPr="00CE05DE" w:rsidTr="000A6E34">
        <w:trPr>
          <w:jc w:val="center"/>
        </w:trPr>
        <w:tc>
          <w:tcPr>
            <w:tcW w:w="1632" w:type="pct"/>
            <w:noWrap/>
          </w:tcPr>
          <w:p w:rsidR="00F53943" w:rsidRPr="00CE05DE" w:rsidRDefault="00F53943" w:rsidP="000A6E34"/>
        </w:tc>
        <w:tc>
          <w:tcPr>
            <w:tcW w:w="1834" w:type="pct"/>
            <w:hideMark/>
          </w:tcPr>
          <w:p w:rsidR="00F53943" w:rsidRPr="00CE05DE" w:rsidRDefault="00F53943" w:rsidP="000A6E34">
            <w:pPr>
              <w:rPr>
                <w:rStyle w:val="SubtleEmphasis"/>
              </w:rPr>
            </w:pPr>
            <w:r w:rsidRPr="00CE05DE">
              <w:rPr>
                <w:rStyle w:val="SubtleEmphasis"/>
              </w:rPr>
              <w:t>Summer</w:t>
            </w:r>
          </w:p>
        </w:tc>
        <w:tc>
          <w:tcPr>
            <w:tcW w:w="1534" w:type="pct"/>
          </w:tcPr>
          <w:p w:rsidR="00F53943" w:rsidRPr="00CE05DE" w:rsidRDefault="00F53943" w:rsidP="000A6E34"/>
        </w:tc>
      </w:tr>
      <w:tr w:rsidR="00F53943" w:rsidRPr="00CE05DE" w:rsidTr="000A6E34">
        <w:trPr>
          <w:jc w:val="center"/>
        </w:trPr>
        <w:tc>
          <w:tcPr>
            <w:tcW w:w="1632" w:type="pct"/>
            <w:noWrap/>
            <w:hideMark/>
          </w:tcPr>
          <w:p w:rsidR="00F53943" w:rsidRPr="00CE05DE" w:rsidRDefault="000A6E34" w:rsidP="000A6E34">
            <w:r>
              <w:t>n</w:t>
            </w:r>
            <w:r w:rsidR="00F53943" w:rsidRPr="00CE05DE">
              <w:t>owwht</w:t>
            </w:r>
          </w:p>
        </w:tc>
        <w:tc>
          <w:tcPr>
            <w:tcW w:w="18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0.01</w:t>
            </w:r>
          </w:p>
        </w:tc>
        <w:tc>
          <w:tcPr>
            <w:tcW w:w="15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0.77</w:t>
            </w:r>
          </w:p>
        </w:tc>
      </w:tr>
      <w:tr w:rsidR="00F53943" w:rsidRPr="00CE05DE" w:rsidTr="000A6E34">
        <w:trPr>
          <w:jc w:val="center"/>
        </w:trPr>
        <w:tc>
          <w:tcPr>
            <w:tcW w:w="1632" w:type="pct"/>
            <w:noWrap/>
            <w:hideMark/>
          </w:tcPr>
          <w:p w:rsidR="00F53943" w:rsidRPr="00CE05DE" w:rsidRDefault="000A6E34" w:rsidP="000A6E34">
            <w:r>
              <w:t>n</w:t>
            </w:r>
            <w:r w:rsidR="00F53943" w:rsidRPr="00CE05DE">
              <w:t>ornge</w:t>
            </w:r>
          </w:p>
        </w:tc>
        <w:tc>
          <w:tcPr>
            <w:tcW w:w="18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0.50</w:t>
            </w:r>
          </w:p>
        </w:tc>
        <w:tc>
          <w:tcPr>
            <w:tcW w:w="1534" w:type="pct"/>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3.36*10</w:t>
            </w:r>
            <w:r w:rsidRPr="00CE05DE">
              <w:rPr>
                <w:rFonts w:ascii="Times New Roman" w:hAnsi="Times New Roman" w:cs="Times New Roman"/>
                <w:sz w:val="24"/>
                <w:szCs w:val="24"/>
                <w:vertAlign w:val="superscript"/>
              </w:rPr>
              <w:t>-3</w:t>
            </w:r>
          </w:p>
          <w:p w:rsidR="00F53943" w:rsidRPr="00CE05DE" w:rsidRDefault="00F53943" w:rsidP="000A6E34">
            <w:pPr>
              <w:pStyle w:val="DecimalAligned"/>
              <w:spacing w:line="240" w:lineRule="auto"/>
              <w:rPr>
                <w:rFonts w:ascii="Times New Roman" w:hAnsi="Times New Roman" w:cs="Times New Roman"/>
                <w:sz w:val="24"/>
                <w:szCs w:val="24"/>
              </w:rPr>
            </w:pPr>
          </w:p>
        </w:tc>
      </w:tr>
      <w:tr w:rsidR="00F53943" w:rsidRPr="00CE05DE" w:rsidTr="000A6E34">
        <w:trPr>
          <w:trHeight w:val="562"/>
          <w:jc w:val="center"/>
        </w:trPr>
        <w:tc>
          <w:tcPr>
            <w:tcW w:w="1632" w:type="pct"/>
            <w:noWrap/>
            <w:hideMark/>
          </w:tcPr>
          <w:p w:rsidR="00F53943" w:rsidRPr="00CE05DE" w:rsidRDefault="000A6E34" w:rsidP="000A6E34">
            <w:r>
              <w:t>n</w:t>
            </w:r>
            <w:r w:rsidR="00F53943" w:rsidRPr="00CE05DE">
              <w:t>oag</w:t>
            </w:r>
          </w:p>
        </w:tc>
        <w:tc>
          <w:tcPr>
            <w:tcW w:w="1834" w:type="pct"/>
            <w:hideMark/>
          </w:tcPr>
          <w:p w:rsidR="00F53943" w:rsidRPr="00CE05DE" w:rsidRDefault="00F53943" w:rsidP="000A6E34">
            <w:pPr>
              <w:pStyle w:val="DecimalAligned"/>
              <w:spacing w:line="240" w:lineRule="auto"/>
              <w:rPr>
                <w:rFonts w:ascii="Times New Roman" w:hAnsi="Times New Roman" w:cs="Times New Roman"/>
                <w:b/>
                <w:sz w:val="24"/>
                <w:szCs w:val="24"/>
              </w:rPr>
            </w:pPr>
            <w:r w:rsidRPr="00CE05DE">
              <w:rPr>
                <w:rFonts w:ascii="Times New Roman" w:hAnsi="Times New Roman" w:cs="Times New Roman"/>
                <w:sz w:val="24"/>
                <w:szCs w:val="24"/>
              </w:rPr>
              <w:t>0.47</w:t>
            </w:r>
          </w:p>
        </w:tc>
        <w:tc>
          <w:tcPr>
            <w:tcW w:w="1534" w:type="pct"/>
            <w:hideMark/>
          </w:tcPr>
          <w:p w:rsidR="00F53943" w:rsidRPr="00CE05DE" w:rsidRDefault="00F53943" w:rsidP="000A6E34">
            <w:pPr>
              <w:pStyle w:val="DecimalAligned"/>
              <w:spacing w:line="240" w:lineRule="auto"/>
              <w:rPr>
                <w:rFonts w:ascii="Times New Roman" w:hAnsi="Times New Roman" w:cs="Times New Roman"/>
                <w:b/>
                <w:sz w:val="24"/>
                <w:szCs w:val="24"/>
              </w:rPr>
            </w:pPr>
            <w:r w:rsidRPr="00CE05DE">
              <w:rPr>
                <w:rFonts w:ascii="Times New Roman" w:hAnsi="Times New Roman" w:cs="Times New Roman"/>
                <w:sz w:val="24"/>
                <w:szCs w:val="24"/>
              </w:rPr>
              <w:t>0.0047</w:t>
            </w:r>
          </w:p>
        </w:tc>
      </w:tr>
      <w:tr w:rsidR="00F53943" w:rsidRPr="00CE05DE" w:rsidTr="000A6E34">
        <w:trPr>
          <w:trHeight w:val="562"/>
          <w:jc w:val="center"/>
        </w:trPr>
        <w:tc>
          <w:tcPr>
            <w:tcW w:w="1632" w:type="pct"/>
            <w:noWrap/>
            <w:hideMark/>
          </w:tcPr>
          <w:p w:rsidR="00F53943" w:rsidRPr="00CE05DE" w:rsidRDefault="000A6E34" w:rsidP="000A6E34">
            <w:r>
              <w:t>f</w:t>
            </w:r>
            <w:r w:rsidR="00F53943" w:rsidRPr="00CE05DE">
              <w:t>ert</w:t>
            </w:r>
          </w:p>
        </w:tc>
        <w:tc>
          <w:tcPr>
            <w:tcW w:w="18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0.48</w:t>
            </w:r>
          </w:p>
        </w:tc>
        <w:tc>
          <w:tcPr>
            <w:tcW w:w="1534" w:type="pct"/>
            <w:hideMark/>
          </w:tcPr>
          <w:p w:rsidR="00F53943" w:rsidRPr="00CE05DE" w:rsidRDefault="00F53943" w:rsidP="000A6E34">
            <w:pPr>
              <w:pStyle w:val="DecimalAligned"/>
              <w:spacing w:line="240" w:lineRule="auto"/>
              <w:rPr>
                <w:rFonts w:ascii="Times New Roman" w:hAnsi="Times New Roman" w:cs="Times New Roman"/>
                <w:sz w:val="24"/>
                <w:szCs w:val="24"/>
              </w:rPr>
            </w:pPr>
            <w:r w:rsidRPr="00CE05DE">
              <w:rPr>
                <w:rFonts w:ascii="Times New Roman" w:hAnsi="Times New Roman" w:cs="Times New Roman"/>
                <w:sz w:val="24"/>
                <w:szCs w:val="24"/>
              </w:rPr>
              <w:t>0.004</w:t>
            </w:r>
          </w:p>
        </w:tc>
      </w:tr>
    </w:tbl>
    <w:p w:rsidR="009F4FFA" w:rsidRDefault="009F4FFA" w:rsidP="00CD20B4">
      <w:pPr>
        <w:pStyle w:val="Heading2"/>
      </w:pPr>
      <w:bookmarkStart w:id="145" w:name="_Toc364501649"/>
      <w:bookmarkEnd w:id="144"/>
    </w:p>
    <w:p w:rsidR="00CD20B4" w:rsidRPr="00CE05DE" w:rsidRDefault="006A0B69" w:rsidP="00CD20B4">
      <w:pPr>
        <w:pStyle w:val="Heading2"/>
        <w:rPr>
          <w:b w:val="0"/>
        </w:rPr>
      </w:pPr>
      <w:bookmarkStart w:id="146" w:name="_Toc368046180"/>
      <w:r>
        <w:lastRenderedPageBreak/>
        <w:t>3.5:</w:t>
      </w:r>
      <w:r w:rsidR="005D2319">
        <w:t xml:space="preserve"> </w:t>
      </w:r>
      <w:r w:rsidR="004F3E6F">
        <w:t>Conclusions</w:t>
      </w:r>
      <w:bookmarkEnd w:id="145"/>
      <w:bookmarkEnd w:id="146"/>
    </w:p>
    <w:p w:rsidR="00CD20B4" w:rsidRPr="00C34BB3" w:rsidRDefault="00CD20B4" w:rsidP="00CD20B4">
      <w:pPr>
        <w:spacing w:line="480" w:lineRule="auto"/>
      </w:pPr>
      <w:r>
        <w:t xml:space="preserve">     </w:t>
      </w:r>
      <w:r w:rsidRPr="00C34BB3">
        <w:t xml:space="preserve">The current interest in biofuel crops is likely to lead to major land use changes in some watersheds with major impacts on regional hydrology.  However, owing to the still evolving nature of the so-called biofuel hydrology, the dynamics and magnitudes of the possible hydrologic responses in different bioclimatic zones as well as management practices are not yet fully understood.  Efforts toward achieving that understanding have tended to adopt a </w:t>
      </w:r>
      <w:r w:rsidR="00C225B7">
        <w:t>modeling</w:t>
      </w:r>
      <w:r w:rsidRPr="00C34BB3">
        <w:t xml:space="preserve"> approach because of the complexity and futuristic nature of the processes involved.  Even though one of the largest experimental switchgrass plots is located in Guymon, Oklahoma, USA in the shortgrass prairies, few studies have investigated the hydrologic response to switchgrass cultivation in a semiarid environment.  This study was carried out to help fill that gap and to contribute to the emerging literature on the possible environmental effects of biofuel production in various regions.</w:t>
      </w:r>
    </w:p>
    <w:p w:rsidR="00CD20B4" w:rsidRPr="00C34BB3" w:rsidRDefault="00CD20B4" w:rsidP="00CD20B4">
      <w:pPr>
        <w:spacing w:line="480" w:lineRule="auto"/>
      </w:pPr>
      <w:r w:rsidRPr="00C34BB3">
        <w:t xml:space="preserve">     A  SWAT model of the 1,649 km</w:t>
      </w:r>
      <w:r w:rsidRPr="00C34BB3">
        <w:rPr>
          <w:vertAlign w:val="superscript"/>
        </w:rPr>
        <w:t>2</w:t>
      </w:r>
      <w:r w:rsidRPr="00C34BB3">
        <w:t xml:space="preserve"> MNCR watershed was developed.  Model calibration resulted in excellent agreement between total simulated and observed discharges on three widely used model performance evaluation metrics (i.e. the NSE, PBIAS, and RSR).  At a seasonal scale, the evaluation yielded satisfactory simulations for the spring and summer seasons only.  Therefore, these seasons were used to explore the hydrologic impacts of replacing various current land use types with switchgrass under different management practices.  The major findings </w:t>
      </w:r>
      <w:r w:rsidR="00182C99">
        <w:t>of the study are the following:</w:t>
      </w:r>
    </w:p>
    <w:p w:rsidR="00CD20B4" w:rsidRPr="00C34BB3" w:rsidRDefault="00CD20B4" w:rsidP="00CD20B4">
      <w:pPr>
        <w:spacing w:line="480" w:lineRule="auto"/>
      </w:pPr>
      <w:r w:rsidRPr="00C34BB3">
        <w:lastRenderedPageBreak/>
        <w:t>(1) Replacing any land use type wit</w:t>
      </w:r>
      <w:r w:rsidR="00044BB3">
        <w:t>h switchgrass reduces stream</w:t>
      </w:r>
      <w:r w:rsidRPr="00C34BB3">
        <w:t xml:space="preserve"> discharge.  The decreases ranged from 6 to 21% (spring) and 6 to 31% (summer).  Overall, the reduction was greatest for the scenario in which native land uses were replaced by heavily-managed switchgrass.  The degree of the reduction is a function </w:t>
      </w:r>
      <w:r w:rsidR="00182C99">
        <w:t>of the amount of area replaced.</w:t>
      </w:r>
    </w:p>
    <w:p w:rsidR="00CD20B4" w:rsidRPr="00C34BB3" w:rsidRDefault="00CD20B4" w:rsidP="00CD20B4">
      <w:pPr>
        <w:spacing w:line="480" w:lineRule="auto"/>
      </w:pPr>
      <w:r w:rsidRPr="00C34BB3">
        <w:t xml:space="preserve">(2) Switchgrass substitution also leads to increased evapotranspiration relative to base period for all scenarios investigated.  The increases ranged from 3% - 32% (spring) and 2% - 19% (summer).  The scenario involving heavily-managed switchgrass produced the largest increase in </w:t>
      </w:r>
      <w:proofErr w:type="gramStart"/>
      <w:r w:rsidRPr="00C34BB3">
        <w:t>eT</w:t>
      </w:r>
      <w:proofErr w:type="gramEnd"/>
      <w:r w:rsidRPr="00C34BB3">
        <w:t xml:space="preserve">.  Since climactic inputs are identical in all scenarios, </w:t>
      </w:r>
      <w:r w:rsidR="00772BF2">
        <w:t>I</w:t>
      </w:r>
      <w:r w:rsidRPr="00C34BB3">
        <w:t xml:space="preserve"> hypothesize that increased </w:t>
      </w:r>
      <w:proofErr w:type="gramStart"/>
      <w:r w:rsidRPr="00C34BB3">
        <w:t>eT</w:t>
      </w:r>
      <w:proofErr w:type="gramEnd"/>
      <w:r w:rsidRPr="00C34BB3">
        <w:t xml:space="preserve"> is most likely the result of the quantity of s</w:t>
      </w:r>
      <w:r w:rsidR="00182C99">
        <w:t xml:space="preserve">witchgrass biomass generated.  </w:t>
      </w:r>
    </w:p>
    <w:p w:rsidR="003C652D" w:rsidRDefault="00CD20B4" w:rsidP="00F53943">
      <w:pPr>
        <w:spacing w:line="480" w:lineRule="auto"/>
      </w:pPr>
      <w:r w:rsidRPr="00C34BB3">
        <w:t>(3) The summer-time impacts of managed switchgrass scenario are the most acute in the MNCR.  This approach is responsible for a 31% decrease in discharge and 19% increase in evapotranspiration.  Such impacts are significant in semiarid areas where evaporative losses are already high and discharges are relatively low (baseline discharges of 7.4 cms and 5.03 cms during the spring and summer</w:t>
      </w:r>
      <w:r w:rsidR="00182C99">
        <w:t xml:space="preserve">, respectively, in the MNCR).  </w:t>
      </w:r>
    </w:p>
    <w:p w:rsidR="00CD20B4" w:rsidRPr="00C34BB3" w:rsidRDefault="003C652D" w:rsidP="00F53943">
      <w:pPr>
        <w:spacing w:line="480" w:lineRule="auto"/>
      </w:pPr>
      <w:r>
        <w:t xml:space="preserve">     </w:t>
      </w:r>
      <w:r w:rsidR="00CD20B4" w:rsidRPr="00C34BB3">
        <w:t xml:space="preserve">These results suggest that the hydrologic impacts of switchgrass cultivation may be non-trivial.  The possible effects of such impacts on the sustainability of the water supplies in a groundwater-dependent region already facing the effects of groundwater depletion deserve careful consideration.  </w:t>
      </w:r>
      <w:r w:rsidR="00772BF2">
        <w:t>I</w:t>
      </w:r>
      <w:r w:rsidR="00CD20B4" w:rsidRPr="00C34BB3">
        <w:t xml:space="preserve"> recognize that any decision about land use modification on the scale </w:t>
      </w:r>
      <w:r w:rsidRPr="00C34BB3">
        <w:t>analyzed</w:t>
      </w:r>
      <w:r w:rsidR="00CD20B4" w:rsidRPr="00C34BB3">
        <w:t xml:space="preserve"> here will likely involve a cost-benefit analysis that </w:t>
      </w:r>
      <w:r w:rsidR="00CD20B4" w:rsidRPr="00C34BB3">
        <w:lastRenderedPageBreak/>
        <w:t xml:space="preserve">includes many more variables than just the regional hydrology.  These results can be an important component of such a decision matrix.  The study highlights the need for further simulations that include a larger variety of biofuel crops, an analysis of all seasons, as well as investigations into the possible confounding effects of </w:t>
      </w:r>
      <w:r w:rsidR="00F53943">
        <w:t xml:space="preserve">the impact of climate change.  </w:t>
      </w:r>
    </w:p>
    <w:p w:rsidR="00CD20B4" w:rsidRPr="00C34BB3" w:rsidRDefault="004F3E6F" w:rsidP="00182C99">
      <w:pPr>
        <w:pStyle w:val="Heading1"/>
        <w:spacing w:line="480" w:lineRule="auto"/>
        <w:rPr>
          <w:sz w:val="24"/>
          <w:szCs w:val="24"/>
        </w:rPr>
      </w:pPr>
      <w:bookmarkStart w:id="147" w:name="_Toc364501650"/>
      <w:bookmarkStart w:id="148" w:name="_Toc368046181"/>
      <w:r>
        <w:rPr>
          <w:sz w:val="24"/>
          <w:szCs w:val="24"/>
        </w:rPr>
        <w:t>Acknowledgements</w:t>
      </w:r>
      <w:bookmarkEnd w:id="147"/>
      <w:bookmarkEnd w:id="148"/>
    </w:p>
    <w:p w:rsidR="00CD20B4" w:rsidRDefault="00CD20B4" w:rsidP="00182C99">
      <w:pPr>
        <w:spacing w:line="480" w:lineRule="auto"/>
      </w:pPr>
      <w:r w:rsidRPr="00C34BB3">
        <w:t xml:space="preserve">Dr. Brauer receives financial support from the Ogallala Aquifer Program, a research and education consortium consisting of ARS-USDA, Kansas State University, Texas AgriLife/ TAMU, Texas Tech University and West Texas A&amp;M University.  Additionally, </w:t>
      </w:r>
      <w:r w:rsidR="008A7834">
        <w:t>I express my gratitude</w:t>
      </w:r>
      <w:r w:rsidRPr="00C34BB3">
        <w:t xml:space="preserve"> to Dr. Raghavan Srinivasan (Texas A&amp;M University) for his insights into the SWAT model.  Finally, </w:t>
      </w:r>
      <w:r w:rsidR="008A7834">
        <w:t>I</w:t>
      </w:r>
      <w:r w:rsidRPr="00C34BB3">
        <w:t xml:space="preserve"> thank the two anonymous reviewers for providing insightful comments which improved the quality of this manuscript.  </w:t>
      </w:r>
    </w:p>
    <w:p w:rsidR="00CD20B4" w:rsidRPr="00CE05DE" w:rsidRDefault="004F3E6F" w:rsidP="00182C99">
      <w:pPr>
        <w:pStyle w:val="Heading1"/>
        <w:rPr>
          <w:b w:val="0"/>
          <w:sz w:val="24"/>
          <w:szCs w:val="24"/>
        </w:rPr>
      </w:pPr>
      <w:bookmarkStart w:id="149" w:name="_Toc364501651"/>
      <w:bookmarkStart w:id="150" w:name="_Toc368046182"/>
      <w:r>
        <w:rPr>
          <w:sz w:val="24"/>
          <w:szCs w:val="24"/>
        </w:rPr>
        <w:t>References</w:t>
      </w:r>
      <w:bookmarkEnd w:id="149"/>
      <w:bookmarkEnd w:id="150"/>
    </w:p>
    <w:p w:rsidR="00182C99" w:rsidRDefault="00CD20B4" w:rsidP="00CD20B4">
      <w:pPr>
        <w:rPr>
          <w:i/>
        </w:rPr>
      </w:pPr>
      <w:r w:rsidRPr="00C34BB3">
        <w:t>Adams, G.P., Runkle, D.L. &amp; Rea, A. 1997</w:t>
      </w:r>
      <w:r w:rsidRPr="00C34BB3">
        <w:rPr>
          <w:i/>
        </w:rPr>
        <w:t xml:space="preserve"> Digital D</w:t>
      </w:r>
      <w:r w:rsidR="00182C99">
        <w:rPr>
          <w:i/>
        </w:rPr>
        <w:t xml:space="preserve">ata Sets That Describe Aquifer </w:t>
      </w:r>
      <w:r w:rsidR="00182C99">
        <w:rPr>
          <w:i/>
        </w:rPr>
        <w:tab/>
      </w:r>
      <w:r w:rsidRPr="00C34BB3">
        <w:rPr>
          <w:i/>
        </w:rPr>
        <w:t xml:space="preserve">Characteristics of the Alluvial and Terrace Deposits </w:t>
      </w:r>
      <w:proofErr w:type="gramStart"/>
      <w:r w:rsidRPr="00C34BB3">
        <w:rPr>
          <w:i/>
        </w:rPr>
        <w:t>Along</w:t>
      </w:r>
      <w:proofErr w:type="gramEnd"/>
      <w:r w:rsidRPr="00C34BB3">
        <w:rPr>
          <w:i/>
        </w:rPr>
        <w:t xml:space="preserve"> the Beaver-North </w:t>
      </w:r>
      <w:r w:rsidR="00182C99">
        <w:rPr>
          <w:i/>
        </w:rPr>
        <w:tab/>
      </w:r>
      <w:r w:rsidRPr="00C34BB3">
        <w:rPr>
          <w:i/>
        </w:rPr>
        <w:t>Canadian River from the Panhandle to Canton Lake in Northwestern Oklahoma</w:t>
      </w:r>
      <w:r w:rsidRPr="00C34BB3">
        <w:t xml:space="preserve">. </w:t>
      </w:r>
      <w:r w:rsidR="00182C99">
        <w:tab/>
      </w:r>
      <w:r w:rsidRPr="00C34BB3">
        <w:t xml:space="preserve">Open-File Report 96-446. </w:t>
      </w:r>
      <w:proofErr w:type="gramStart"/>
      <w:r w:rsidRPr="00C34BB3">
        <w:t>U.S. Geological Survey, Oklahoma City, USA.</w:t>
      </w:r>
      <w:proofErr w:type="gramEnd"/>
    </w:p>
    <w:p w:rsidR="00CD20B4" w:rsidRPr="00182C99" w:rsidRDefault="00CD20B4" w:rsidP="00CD20B4">
      <w:pPr>
        <w:rPr>
          <w:i/>
        </w:rPr>
      </w:pPr>
      <w:r w:rsidRPr="00C34BB3">
        <w:t>Arnold, J.G., Srinivasan, R., Muttiah, R.S. &amp; Williams, J</w:t>
      </w:r>
      <w:r w:rsidR="00182C99">
        <w:t xml:space="preserve">.R. 1998 Large area hydrologic </w:t>
      </w:r>
      <w:r w:rsidR="00182C99">
        <w:tab/>
      </w:r>
      <w:r w:rsidRPr="00C34BB3">
        <w:t xml:space="preserve">modeling and assessment - part 1: model development. </w:t>
      </w:r>
      <w:r w:rsidRPr="00C34BB3">
        <w:rPr>
          <w:i/>
        </w:rPr>
        <w:t xml:space="preserve">J. Am. Water Resour. </w:t>
      </w:r>
      <w:proofErr w:type="gramStart"/>
      <w:r w:rsidRPr="00C34BB3">
        <w:rPr>
          <w:i/>
        </w:rPr>
        <w:t>As.</w:t>
      </w:r>
      <w:proofErr w:type="gramEnd"/>
      <w:r w:rsidRPr="00C34BB3">
        <w:t xml:space="preserve"> </w:t>
      </w:r>
      <w:r w:rsidR="00182C99">
        <w:tab/>
      </w:r>
      <w:r w:rsidRPr="00C34BB3">
        <w:rPr>
          <w:b/>
        </w:rPr>
        <w:t>34</w:t>
      </w:r>
      <w:r w:rsidR="00182C99">
        <w:t>, 73-89.</w:t>
      </w:r>
    </w:p>
    <w:p w:rsidR="00CD20B4" w:rsidRPr="00C34BB3" w:rsidRDefault="00CD20B4" w:rsidP="00CD20B4">
      <w:proofErr w:type="gramStart"/>
      <w:r w:rsidRPr="00C34BB3">
        <w:t xml:space="preserve">Baskaran, L., Jager, H.I., Schweizer, P.E. &amp; Srinivasan, R. 2010 Progress towards </w:t>
      </w:r>
      <w:r>
        <w:tab/>
      </w:r>
      <w:r w:rsidRPr="00C34BB3">
        <w:t xml:space="preserve">evaluating the sustainability of switchgrass as a bioenergy crop using the SWAT </w:t>
      </w:r>
      <w:r>
        <w:tab/>
      </w:r>
      <w:r w:rsidRPr="00C34BB3">
        <w:t>model.</w:t>
      </w:r>
      <w:proofErr w:type="gramEnd"/>
      <w:r w:rsidRPr="00C34BB3">
        <w:t xml:space="preserve"> </w:t>
      </w:r>
      <w:r w:rsidRPr="00C34BB3">
        <w:rPr>
          <w:i/>
        </w:rPr>
        <w:t xml:space="preserve">T. ASABE </w:t>
      </w:r>
      <w:r w:rsidRPr="00C34BB3">
        <w:rPr>
          <w:b/>
        </w:rPr>
        <w:t>53</w:t>
      </w:r>
      <w:r w:rsidR="00182C99">
        <w:t>, 1547-1556.</w:t>
      </w:r>
    </w:p>
    <w:p w:rsidR="00CD20B4" w:rsidRPr="00C34BB3" w:rsidRDefault="00CD20B4" w:rsidP="00CD20B4">
      <w:r w:rsidRPr="00C34BB3">
        <w:t xml:space="preserve">Bush, G. W. 2006.  </w:t>
      </w:r>
      <w:r w:rsidRPr="00C34BB3">
        <w:rPr>
          <w:i/>
        </w:rPr>
        <w:t xml:space="preserve">Address </w:t>
      </w:r>
      <w:proofErr w:type="gramStart"/>
      <w:r w:rsidRPr="00C34BB3">
        <w:rPr>
          <w:i/>
        </w:rPr>
        <w:t>Before</w:t>
      </w:r>
      <w:proofErr w:type="gramEnd"/>
      <w:r w:rsidRPr="00C34BB3">
        <w:rPr>
          <w:i/>
        </w:rPr>
        <w:t xml:space="preserve"> a Joint Session of the Congress on the State of the </w:t>
      </w:r>
      <w:r>
        <w:rPr>
          <w:i/>
        </w:rPr>
        <w:tab/>
      </w:r>
      <w:r w:rsidRPr="00C34BB3">
        <w:rPr>
          <w:i/>
        </w:rPr>
        <w:t>Union</w:t>
      </w:r>
      <w:r w:rsidRPr="00C34BB3">
        <w:t xml:space="preserve">.  </w:t>
      </w:r>
      <w:proofErr w:type="gramStart"/>
      <w:r w:rsidRPr="00C34BB3">
        <w:t>Government Printing O</w:t>
      </w:r>
      <w:r w:rsidR="00182C99">
        <w:t>ffice, Washington, D.C., USA.</w:t>
      </w:r>
      <w:proofErr w:type="gramEnd"/>
      <w:r w:rsidR="00182C99">
        <w:t xml:space="preserve">  </w:t>
      </w:r>
    </w:p>
    <w:p w:rsidR="00CD20B4" w:rsidRPr="00C34BB3" w:rsidRDefault="00CE36A8" w:rsidP="00182C99">
      <w:pPr>
        <w:rPr>
          <w:color w:val="00B050"/>
        </w:rPr>
      </w:pPr>
      <w:proofErr w:type="gramStart"/>
      <w:r>
        <w:lastRenderedPageBreak/>
        <w:t>Chamberlain,</w:t>
      </w:r>
      <w:r w:rsidR="00CD20B4" w:rsidRPr="00C34BB3">
        <w:t xml:space="preserve"> J.F., Miller, S.A. &amp; Frederick.</w:t>
      </w:r>
      <w:proofErr w:type="gramEnd"/>
      <w:r w:rsidR="00CD20B4" w:rsidRPr="00C34BB3">
        <w:t xml:space="preserve"> J.R. 2011 Using DAYCENT to quantify </w:t>
      </w:r>
      <w:r w:rsidR="00CD20B4">
        <w:tab/>
      </w:r>
      <w:r w:rsidR="00CD20B4" w:rsidRPr="00C34BB3">
        <w:t xml:space="preserve">on-farm GHG emissions and N dynamics of land use conversion to N-managed </w:t>
      </w:r>
      <w:r w:rsidR="00CD20B4">
        <w:tab/>
      </w:r>
      <w:r w:rsidR="00CD20B4" w:rsidRPr="00C34BB3">
        <w:t xml:space="preserve">switchgrass in the Southern U.S. </w:t>
      </w:r>
      <w:r w:rsidR="00CD20B4" w:rsidRPr="00C34BB3">
        <w:rPr>
          <w:i/>
        </w:rPr>
        <w:t xml:space="preserve">Agr. </w:t>
      </w:r>
      <w:proofErr w:type="gramStart"/>
      <w:r w:rsidR="00CD20B4" w:rsidRPr="00C34BB3">
        <w:rPr>
          <w:i/>
        </w:rPr>
        <w:t>Ecosyst.</w:t>
      </w:r>
      <w:proofErr w:type="gramEnd"/>
      <w:r w:rsidR="00CD20B4" w:rsidRPr="00C34BB3">
        <w:rPr>
          <w:i/>
        </w:rPr>
        <w:t xml:space="preserve"> Environ. </w:t>
      </w:r>
      <w:r w:rsidR="00CD20B4" w:rsidRPr="00C34BB3">
        <w:rPr>
          <w:b/>
        </w:rPr>
        <w:t>141</w:t>
      </w:r>
      <w:r w:rsidR="00CD20B4" w:rsidRPr="00C34BB3">
        <w:t>, 332-341</w:t>
      </w:r>
      <w:r w:rsidR="00182C99">
        <w:rPr>
          <w:color w:val="00B050"/>
        </w:rPr>
        <w:t xml:space="preserve">. </w:t>
      </w:r>
      <w:r w:rsidR="00CD20B4" w:rsidRPr="00C34BB3">
        <w:rPr>
          <w:color w:val="00B050"/>
        </w:rPr>
        <w:t xml:space="preserve"> </w:t>
      </w:r>
    </w:p>
    <w:p w:rsidR="00CD20B4" w:rsidRPr="00182C99" w:rsidRDefault="00CD20B4" w:rsidP="00CD20B4">
      <w:pPr>
        <w:rPr>
          <w:i/>
        </w:rPr>
      </w:pPr>
      <w:r w:rsidRPr="00C34BB3">
        <w:t xml:space="preserve">Davis, R.E. &amp; Christenson, S.C. 1981 </w:t>
      </w:r>
      <w:r w:rsidRPr="00C34BB3">
        <w:rPr>
          <w:i/>
        </w:rPr>
        <w:t>Geohydrology a</w:t>
      </w:r>
      <w:r w:rsidR="00182C99">
        <w:rPr>
          <w:i/>
        </w:rPr>
        <w:t xml:space="preserve">nd Numerical Simulation of the </w:t>
      </w:r>
      <w:r w:rsidR="00182C99">
        <w:rPr>
          <w:i/>
        </w:rPr>
        <w:tab/>
      </w:r>
      <w:r w:rsidRPr="00C34BB3">
        <w:rPr>
          <w:i/>
        </w:rPr>
        <w:t xml:space="preserve">Alluvium and Terrace Aquifer along the Beaver-North Canadian River from the </w:t>
      </w:r>
      <w:r w:rsidR="00182C99">
        <w:rPr>
          <w:i/>
        </w:rPr>
        <w:tab/>
      </w:r>
      <w:r w:rsidRPr="00C34BB3">
        <w:rPr>
          <w:i/>
        </w:rPr>
        <w:t>Panhandle to Canton Lake, Northwestern Oklahoma</w:t>
      </w:r>
      <w:r w:rsidRPr="00C34BB3">
        <w:t xml:space="preserve">. </w:t>
      </w:r>
      <w:proofErr w:type="gramStart"/>
      <w:r w:rsidRPr="00C34BB3">
        <w:t>Open-file Report 81-483.</w:t>
      </w:r>
      <w:proofErr w:type="gramEnd"/>
      <w:r w:rsidRPr="00C34BB3">
        <w:t xml:space="preserve"> </w:t>
      </w:r>
      <w:r w:rsidR="00182C99">
        <w:tab/>
      </w:r>
      <w:proofErr w:type="gramStart"/>
      <w:r w:rsidRPr="00C34BB3">
        <w:t>U.S. Geological Survey, Oklahoma City, USA.</w:t>
      </w:r>
      <w:proofErr w:type="gramEnd"/>
    </w:p>
    <w:p w:rsidR="00CD20B4" w:rsidRPr="00C34BB3" w:rsidRDefault="00CD20B4" w:rsidP="00CD20B4">
      <w:proofErr w:type="gramStart"/>
      <w:r w:rsidRPr="00C34BB3">
        <w:t>Douglas-Mankin K.R., Srinivasan, R. &amp; Arnold.</w:t>
      </w:r>
      <w:proofErr w:type="gramEnd"/>
      <w:r w:rsidRPr="00C34BB3">
        <w:t xml:space="preserve"> J.G. 2010 Soil and water assessment </w:t>
      </w:r>
      <w:r>
        <w:tab/>
      </w:r>
      <w:r w:rsidRPr="00C34BB3">
        <w:t xml:space="preserve">tool (SWAT) model: current developments and applications. </w:t>
      </w:r>
      <w:r w:rsidRPr="00C34BB3">
        <w:rPr>
          <w:i/>
        </w:rPr>
        <w:t xml:space="preserve">T. ASABE </w:t>
      </w:r>
      <w:r w:rsidRPr="00C34BB3">
        <w:rPr>
          <w:b/>
        </w:rPr>
        <w:t>53</w:t>
      </w:r>
      <w:r w:rsidRPr="00C34BB3">
        <w:t xml:space="preserve">, </w:t>
      </w:r>
      <w:r>
        <w:tab/>
      </w:r>
      <w:r w:rsidR="00182C99">
        <w:t>1423-1431.</w:t>
      </w:r>
    </w:p>
    <w:p w:rsidR="00CD20B4" w:rsidRPr="00C34BB3" w:rsidRDefault="00CD20B4" w:rsidP="00CD20B4">
      <w:r w:rsidRPr="00C34BB3">
        <w:t xml:space="preserve">Du, J., Qian, L., Rui, H., Zuo, T., Zheng, D., Xu, Y. &amp; Xu, C.Y. 2012 Assessing the </w:t>
      </w:r>
      <w:r>
        <w:tab/>
      </w:r>
      <w:r w:rsidRPr="00C34BB3">
        <w:t xml:space="preserve">effects </w:t>
      </w:r>
      <w:r>
        <w:tab/>
      </w:r>
      <w:r w:rsidRPr="00C34BB3">
        <w:t xml:space="preserve">of urbanization on annual runoff and flood events using an integrated </w:t>
      </w:r>
      <w:r>
        <w:tab/>
      </w:r>
      <w:r w:rsidRPr="00C34BB3">
        <w:t xml:space="preserve">hydrological modeling system for </w:t>
      </w:r>
      <w:r>
        <w:t xml:space="preserve">Qinhuai River </w:t>
      </w:r>
      <w:r w:rsidRPr="00C34BB3">
        <w:t xml:space="preserve">basin, China. </w:t>
      </w:r>
      <w:r w:rsidRPr="00C34BB3">
        <w:rPr>
          <w:i/>
        </w:rPr>
        <w:t>J. Hydrol.</w:t>
      </w:r>
      <w:r w:rsidRPr="00C34BB3">
        <w:t xml:space="preserve"> </w:t>
      </w:r>
      <w:r w:rsidRPr="00C34BB3">
        <w:rPr>
          <w:b/>
        </w:rPr>
        <w:t>464</w:t>
      </w:r>
      <w:r w:rsidRPr="00C34BB3">
        <w:t xml:space="preserve">, </w:t>
      </w:r>
      <w:r>
        <w:tab/>
      </w:r>
      <w:r w:rsidR="00182C99">
        <w:t>127-139.</w:t>
      </w:r>
    </w:p>
    <w:p w:rsidR="00CD20B4" w:rsidRPr="00C34BB3" w:rsidRDefault="00CD20B4" w:rsidP="00CD20B4">
      <w:r w:rsidRPr="00C34BB3">
        <w:t xml:space="preserve">Foley, J.A., DeFries, R., Asner, G.P., Barford, C., Bonan, G., Carpenter, S.R., Chapin, </w:t>
      </w:r>
      <w:r>
        <w:tab/>
      </w:r>
      <w:r w:rsidRPr="00C34BB3">
        <w:t xml:space="preserve">F.S., Coe, M.T., Daily, G.C., Gibbs, H.K., Helkowski, J.H., Holloway, T., </w:t>
      </w:r>
      <w:r>
        <w:tab/>
      </w:r>
      <w:r w:rsidRPr="00C34BB3">
        <w:t xml:space="preserve">Howard, E.A., Kucharik, C.J., Monfreda, C., Patz, J.A., Prentice, I.C., </w:t>
      </w:r>
      <w:r>
        <w:tab/>
      </w:r>
      <w:r w:rsidRPr="00C34BB3">
        <w:t xml:space="preserve">Ramankutty, N. and Snyder, P.K. 2005 Global consequences of land use. </w:t>
      </w:r>
      <w:r>
        <w:tab/>
      </w:r>
      <w:r w:rsidRPr="00C34BB3">
        <w:rPr>
          <w:i/>
        </w:rPr>
        <w:t>Science</w:t>
      </w:r>
      <w:r w:rsidRPr="00C34BB3">
        <w:t xml:space="preserve"> </w:t>
      </w:r>
      <w:r w:rsidRPr="00C34BB3">
        <w:rPr>
          <w:b/>
        </w:rPr>
        <w:t>309</w:t>
      </w:r>
      <w:r w:rsidR="00182C99">
        <w:t>, 570-574.</w:t>
      </w:r>
    </w:p>
    <w:p w:rsidR="00CD20B4" w:rsidRPr="00C34BB3" w:rsidRDefault="00CD20B4" w:rsidP="00CD20B4">
      <w:r w:rsidRPr="00C34BB3">
        <w:t xml:space="preserve">Franczyk, J. &amp; Chang, H. 2009 </w:t>
      </w:r>
      <w:proofErr w:type="gramStart"/>
      <w:r w:rsidRPr="00C34BB3">
        <w:t>The</w:t>
      </w:r>
      <w:proofErr w:type="gramEnd"/>
      <w:r w:rsidRPr="00C34BB3">
        <w:t xml:space="preserve"> effects of climate change and urbanization o</w:t>
      </w:r>
      <w:r>
        <w:t xml:space="preserve">n the </w:t>
      </w:r>
      <w:r>
        <w:tab/>
        <w:t xml:space="preserve">runoff </w:t>
      </w:r>
      <w:r>
        <w:tab/>
        <w:t xml:space="preserve">of the Rock Creek </w:t>
      </w:r>
      <w:r w:rsidRPr="00C34BB3">
        <w:t xml:space="preserve">basin in the Portland metropolitan area, Oregon, USA. </w:t>
      </w:r>
      <w:r>
        <w:tab/>
      </w:r>
      <w:proofErr w:type="gramStart"/>
      <w:r w:rsidRPr="00C34BB3">
        <w:rPr>
          <w:i/>
        </w:rPr>
        <w:t>Hydrol.</w:t>
      </w:r>
      <w:proofErr w:type="gramEnd"/>
      <w:r w:rsidRPr="00C34BB3">
        <w:rPr>
          <w:i/>
        </w:rPr>
        <w:t xml:space="preserve"> </w:t>
      </w:r>
      <w:proofErr w:type="gramStart"/>
      <w:r w:rsidRPr="00C34BB3">
        <w:rPr>
          <w:i/>
        </w:rPr>
        <w:t>Process.</w:t>
      </w:r>
      <w:proofErr w:type="gramEnd"/>
      <w:r w:rsidRPr="00C34BB3">
        <w:t xml:space="preserve"> </w:t>
      </w:r>
      <w:r w:rsidRPr="00C34BB3">
        <w:rPr>
          <w:b/>
        </w:rPr>
        <w:t>23</w:t>
      </w:r>
      <w:r w:rsidR="00182C99">
        <w:t>, 805-815.</w:t>
      </w:r>
    </w:p>
    <w:p w:rsidR="00CD20B4" w:rsidRPr="00C34BB3" w:rsidRDefault="00CD20B4" w:rsidP="00CD20B4">
      <w:r w:rsidRPr="00C34BB3">
        <w:t xml:space="preserve">Garoma, T., Ben-Khaled, M. &amp; Beyene, A. 2012 Comparative resource analyses for </w:t>
      </w:r>
      <w:r>
        <w:tab/>
      </w:r>
      <w:r w:rsidRPr="00C34BB3">
        <w:t xml:space="preserve">ethanol produced from corn and sugarcane in different climatic zones. </w:t>
      </w:r>
      <w:r w:rsidRPr="00C34BB3">
        <w:rPr>
          <w:i/>
        </w:rPr>
        <w:t xml:space="preserve">Int. J. </w:t>
      </w:r>
      <w:r>
        <w:rPr>
          <w:i/>
        </w:rPr>
        <w:tab/>
      </w:r>
      <w:proofErr w:type="gramStart"/>
      <w:r w:rsidRPr="00C34BB3">
        <w:rPr>
          <w:i/>
        </w:rPr>
        <w:t>Energ.</w:t>
      </w:r>
      <w:proofErr w:type="gramEnd"/>
      <w:r w:rsidRPr="00C34BB3">
        <w:rPr>
          <w:i/>
        </w:rPr>
        <w:t xml:space="preserve"> Res. </w:t>
      </w:r>
      <w:r w:rsidRPr="00C34BB3">
        <w:rPr>
          <w:b/>
        </w:rPr>
        <w:t>36</w:t>
      </w:r>
      <w:r w:rsidR="00182C99">
        <w:t>, 1065-1076.</w:t>
      </w:r>
    </w:p>
    <w:p w:rsidR="00CD20B4" w:rsidRPr="00C34BB3" w:rsidRDefault="00CD20B4" w:rsidP="00CD20B4">
      <w:r w:rsidRPr="00C34BB3">
        <w:t>Gassman, P. W., M. R. Reyes, C.H. Green &amp; Arnold</w:t>
      </w:r>
      <w:r w:rsidR="00182C99">
        <w:t xml:space="preserve">, J.G. 2007 The </w:t>
      </w:r>
      <w:r w:rsidR="003E57C2">
        <w:t>S</w:t>
      </w:r>
      <w:r w:rsidR="00182C99">
        <w:t xml:space="preserve">oil and </w:t>
      </w:r>
      <w:r w:rsidR="003E57C2">
        <w:t>W</w:t>
      </w:r>
      <w:r w:rsidR="00182C99">
        <w:t xml:space="preserve">ater </w:t>
      </w:r>
      <w:r w:rsidR="00182C99">
        <w:tab/>
      </w:r>
      <w:r w:rsidR="003E57C2">
        <w:t>Assessment T</w:t>
      </w:r>
      <w:r w:rsidRPr="00C34BB3">
        <w:t xml:space="preserve">ool: historical development, applications, and future research </w:t>
      </w:r>
      <w:r w:rsidR="00182C99">
        <w:tab/>
      </w:r>
      <w:r w:rsidRPr="00C34BB3">
        <w:t xml:space="preserve">directions. </w:t>
      </w:r>
      <w:r w:rsidRPr="00C34BB3">
        <w:rPr>
          <w:i/>
        </w:rPr>
        <w:t xml:space="preserve">T. ASABE </w:t>
      </w:r>
      <w:r w:rsidRPr="00C34BB3">
        <w:rPr>
          <w:b/>
        </w:rPr>
        <w:t>50</w:t>
      </w:r>
      <w:r w:rsidR="00182C99">
        <w:t>, 1211-1250.</w:t>
      </w:r>
    </w:p>
    <w:p w:rsidR="00CD20B4" w:rsidRPr="00C34BB3" w:rsidRDefault="00CD20B4" w:rsidP="00CD20B4">
      <w:r w:rsidRPr="00C34BB3">
        <w:t xml:space="preserve">Gerbens-Leenes, W., Hoekstra, A.Y. &amp; van der Meer, T. </w:t>
      </w:r>
      <w:r w:rsidR="00182C99">
        <w:t xml:space="preserve">H. 2009 </w:t>
      </w:r>
      <w:proofErr w:type="gramStart"/>
      <w:r w:rsidR="00182C99">
        <w:t>The</w:t>
      </w:r>
      <w:proofErr w:type="gramEnd"/>
      <w:r w:rsidR="00182C99">
        <w:t xml:space="preserve"> water footprint of </w:t>
      </w:r>
      <w:r w:rsidR="00182C99">
        <w:tab/>
      </w:r>
      <w:r>
        <w:t>b</w:t>
      </w:r>
      <w:r w:rsidRPr="00C34BB3">
        <w:t xml:space="preserve">ioenergy. </w:t>
      </w:r>
      <w:r w:rsidRPr="00C34BB3">
        <w:rPr>
          <w:i/>
        </w:rPr>
        <w:t>P. Natl. Acad. Sci. USA</w:t>
      </w:r>
      <w:r w:rsidRPr="00C34BB3">
        <w:t xml:space="preserve"> </w:t>
      </w:r>
      <w:r w:rsidRPr="00C34BB3">
        <w:rPr>
          <w:b/>
        </w:rPr>
        <w:t>106</w:t>
      </w:r>
      <w:r w:rsidR="00182C99">
        <w:t>, 10219-10223.</w:t>
      </w:r>
    </w:p>
    <w:p w:rsidR="00CD20B4" w:rsidRPr="00C34BB3" w:rsidRDefault="00CD20B4" w:rsidP="00CD20B4">
      <w:r w:rsidRPr="00C34BB3">
        <w:t xml:space="preserve">Glennon, R.J. 2009 </w:t>
      </w:r>
      <w:r w:rsidRPr="00C34BB3">
        <w:rPr>
          <w:i/>
        </w:rPr>
        <w:t>Unquenchable: America's Water Crisis and What to Do About It</w:t>
      </w:r>
      <w:r>
        <w:t xml:space="preserve">.  </w:t>
      </w:r>
      <w:r>
        <w:tab/>
      </w:r>
      <w:proofErr w:type="gramStart"/>
      <w:r w:rsidRPr="00C34BB3">
        <w:t>Island</w:t>
      </w:r>
      <w:r>
        <w:t xml:space="preserve"> </w:t>
      </w:r>
      <w:r w:rsidR="00182C99">
        <w:t>Press, Washington, D.C.</w:t>
      </w:r>
      <w:proofErr w:type="gramEnd"/>
    </w:p>
    <w:p w:rsidR="00CD20B4" w:rsidRPr="00C34BB3" w:rsidRDefault="00CD20B4" w:rsidP="00CD20B4">
      <w:proofErr w:type="gramStart"/>
      <w:r w:rsidRPr="00C34BB3">
        <w:t>Georgescu, M. &amp; Lobell D. B. 2010, Perennial questions of hydrology and climate.</w:t>
      </w:r>
      <w:proofErr w:type="gramEnd"/>
      <w:r w:rsidRPr="00C34BB3">
        <w:t xml:space="preserve"> </w:t>
      </w:r>
      <w:r>
        <w:tab/>
      </w:r>
      <w:proofErr w:type="gramStart"/>
      <w:r w:rsidRPr="00C34BB3">
        <w:rPr>
          <w:i/>
        </w:rPr>
        <w:t>Science</w:t>
      </w:r>
      <w:r>
        <w:t xml:space="preserve"> </w:t>
      </w:r>
      <w:r w:rsidRPr="00C34BB3">
        <w:rPr>
          <w:b/>
        </w:rPr>
        <w:t>330</w:t>
      </w:r>
      <w:r w:rsidR="00182C99">
        <w:t>, 33.</w:t>
      </w:r>
      <w:proofErr w:type="gramEnd"/>
    </w:p>
    <w:p w:rsidR="00CD20B4" w:rsidRPr="00C34BB3" w:rsidRDefault="00CD20B4" w:rsidP="00CD20B4">
      <w:r w:rsidRPr="00C34BB3">
        <w:t xml:space="preserve">Graham, R.L., Downing, M. &amp; Walsh, M.E. 1996 </w:t>
      </w:r>
      <w:proofErr w:type="gramStart"/>
      <w:r w:rsidR="00182C99">
        <w:t>A</w:t>
      </w:r>
      <w:proofErr w:type="gramEnd"/>
      <w:r w:rsidR="00182C99">
        <w:t xml:space="preserve"> framework to assess regional </w:t>
      </w:r>
      <w:r w:rsidR="00182C99">
        <w:tab/>
      </w:r>
      <w:r w:rsidRPr="00C34BB3">
        <w:t xml:space="preserve">environmental impacts of dedicated energy crop production. </w:t>
      </w:r>
      <w:r w:rsidRPr="00C34BB3">
        <w:rPr>
          <w:i/>
        </w:rPr>
        <w:t xml:space="preserve">Environ. Manage. </w:t>
      </w:r>
      <w:r w:rsidR="00182C99">
        <w:rPr>
          <w:i/>
        </w:rPr>
        <w:tab/>
      </w:r>
      <w:r w:rsidRPr="00C34BB3">
        <w:rPr>
          <w:b/>
        </w:rPr>
        <w:t>20</w:t>
      </w:r>
      <w:r w:rsidRPr="00C34BB3">
        <w:t xml:space="preserve">, 475-485. </w:t>
      </w:r>
    </w:p>
    <w:p w:rsidR="00CD20B4" w:rsidRPr="00C34BB3" w:rsidRDefault="00CD20B4" w:rsidP="00CD20B4">
      <w:proofErr w:type="gramStart"/>
      <w:r w:rsidRPr="00C34BB3">
        <w:lastRenderedPageBreak/>
        <w:t>Goins, C.R. &amp; Anderson, J.H. 2006 Geomorphic provinces.</w:t>
      </w:r>
      <w:proofErr w:type="gramEnd"/>
      <w:r w:rsidRPr="00C34BB3">
        <w:t xml:space="preserve">  In: </w:t>
      </w:r>
      <w:r w:rsidRPr="00C34BB3">
        <w:rPr>
          <w:i/>
        </w:rPr>
        <w:t xml:space="preserve">Historical Atlas of </w:t>
      </w:r>
      <w:r>
        <w:rPr>
          <w:i/>
        </w:rPr>
        <w:tab/>
      </w:r>
      <w:r w:rsidRPr="00C34BB3">
        <w:rPr>
          <w:i/>
        </w:rPr>
        <w:t>Oklahoma 4</w:t>
      </w:r>
      <w:r w:rsidRPr="00C34BB3">
        <w:rPr>
          <w:i/>
          <w:vertAlign w:val="superscript"/>
        </w:rPr>
        <w:t>th</w:t>
      </w:r>
      <w:r w:rsidRPr="00C34BB3">
        <w:rPr>
          <w:i/>
        </w:rPr>
        <w:t xml:space="preserve"> edition </w:t>
      </w:r>
      <w:r w:rsidRPr="00C34BB3">
        <w:t xml:space="preserve">(C.R. Goins &amp; D. Goble, </w:t>
      </w:r>
      <w:proofErr w:type="gramStart"/>
      <w:r w:rsidRPr="00C34BB3">
        <w:t>eds</w:t>
      </w:r>
      <w:proofErr w:type="gramEnd"/>
      <w:r w:rsidRPr="00C34BB3">
        <w:t>.).  Univer</w:t>
      </w:r>
      <w:r>
        <w:t xml:space="preserve">sity of Oklahoma </w:t>
      </w:r>
      <w:r>
        <w:tab/>
        <w:t>Press, Norman</w:t>
      </w:r>
      <w:r w:rsidR="00182C99">
        <w:t xml:space="preserve">, USA, pp. 5.  </w:t>
      </w:r>
    </w:p>
    <w:p w:rsidR="00CD20B4" w:rsidRPr="00C34BB3" w:rsidRDefault="00CD20B4" w:rsidP="00182C99">
      <w:r w:rsidRPr="00C34BB3">
        <w:t xml:space="preserve">Gupta, H.V., Sorooshian, S. &amp; Yapo, P.O. 1999 Status of automatic calibration for </w:t>
      </w:r>
      <w:r>
        <w:tab/>
      </w:r>
      <w:r w:rsidRPr="00C34BB3">
        <w:t xml:space="preserve">hydrologic models: comparison with multilevel expert calibration. </w:t>
      </w:r>
      <w:r w:rsidRPr="00C34BB3">
        <w:rPr>
          <w:i/>
        </w:rPr>
        <w:t>J. Hydrol.</w:t>
      </w:r>
      <w:r>
        <w:rPr>
          <w:i/>
        </w:rPr>
        <w:tab/>
      </w:r>
      <w:r w:rsidRPr="00C34BB3">
        <w:rPr>
          <w:i/>
        </w:rPr>
        <w:t xml:space="preserve"> Eng. </w:t>
      </w:r>
      <w:r w:rsidRPr="00C34BB3">
        <w:rPr>
          <w:b/>
        </w:rPr>
        <w:t>4</w:t>
      </w:r>
      <w:r w:rsidRPr="00C34BB3">
        <w:t xml:space="preserve">, </w:t>
      </w:r>
      <w:r w:rsidR="00182C99">
        <w:t>135-143.</w:t>
      </w:r>
    </w:p>
    <w:p w:rsidR="00CD20B4" w:rsidRPr="00C34BB3" w:rsidRDefault="00CD20B4" w:rsidP="00CD20B4">
      <w:r w:rsidRPr="00C34BB3">
        <w:t xml:space="preserve">Jiang, S., Ren, L., Yong, B., Fu, C. &amp; Yang, X. 2012 Analyzing the effects of climate </w:t>
      </w:r>
      <w:r>
        <w:tab/>
      </w:r>
      <w:r w:rsidRPr="00C34BB3">
        <w:t>variability and human activities on runoff from the La</w:t>
      </w:r>
      <w:r>
        <w:t xml:space="preserve">ohahe basin in northern </w:t>
      </w:r>
      <w:r>
        <w:tab/>
        <w:t xml:space="preserve">China.  </w:t>
      </w:r>
      <w:proofErr w:type="gramStart"/>
      <w:r w:rsidRPr="00C34BB3">
        <w:rPr>
          <w:i/>
        </w:rPr>
        <w:t>Hydrol.</w:t>
      </w:r>
      <w:proofErr w:type="gramEnd"/>
      <w:r w:rsidRPr="00C34BB3">
        <w:rPr>
          <w:i/>
        </w:rPr>
        <w:t xml:space="preserve"> Res.</w:t>
      </w:r>
      <w:r w:rsidRPr="00C34BB3">
        <w:t xml:space="preserve"> </w:t>
      </w:r>
      <w:r w:rsidRPr="00C34BB3">
        <w:rPr>
          <w:b/>
        </w:rPr>
        <w:t>43</w:t>
      </w:r>
      <w:r w:rsidR="00182C99">
        <w:t>, 3-13.</w:t>
      </w:r>
    </w:p>
    <w:p w:rsidR="00CD20B4" w:rsidRPr="00C34BB3" w:rsidRDefault="00CD20B4" w:rsidP="00CD20B4">
      <w:r w:rsidRPr="00C34BB3">
        <w:t xml:space="preserve">Kustu, M. D., Fan, Y. &amp; Robock, A. 2010 Large-scale water cycle perturbation due to </w:t>
      </w:r>
      <w:r>
        <w:tab/>
      </w:r>
      <w:r w:rsidRPr="00C34BB3">
        <w:t xml:space="preserve">irrigation pumping in </w:t>
      </w:r>
      <w:r w:rsidRPr="00C34BB3">
        <w:tab/>
        <w:t xml:space="preserve">the US High Plains: a synthesis of observed streamflow </w:t>
      </w:r>
      <w:r>
        <w:tab/>
      </w:r>
      <w:r w:rsidRPr="00C34BB3">
        <w:t xml:space="preserve">changes. </w:t>
      </w:r>
      <w:r w:rsidRPr="00C34BB3">
        <w:rPr>
          <w:i/>
        </w:rPr>
        <w:t>J. Hydrol.</w:t>
      </w:r>
      <w:r w:rsidRPr="00C34BB3">
        <w:t xml:space="preserve"> </w:t>
      </w:r>
      <w:r w:rsidRPr="00C34BB3">
        <w:rPr>
          <w:b/>
        </w:rPr>
        <w:t>390</w:t>
      </w:r>
      <w:r w:rsidR="00182C99">
        <w:t>, 222-244.</w:t>
      </w:r>
    </w:p>
    <w:p w:rsidR="00CD20B4" w:rsidRPr="00C34BB3" w:rsidRDefault="00CD20B4" w:rsidP="00CD20B4">
      <w:r w:rsidRPr="00C34BB3">
        <w:t xml:space="preserve">Lakshmi, V., Hong, S., Small, E.E. &amp; Chen, F. 2011 </w:t>
      </w:r>
      <w:proofErr w:type="gramStart"/>
      <w:r w:rsidRPr="00C34BB3">
        <w:t>The</w:t>
      </w:r>
      <w:proofErr w:type="gramEnd"/>
      <w:r w:rsidRPr="00C34BB3">
        <w:t xml:space="preserve"> influence of the land surface </w:t>
      </w:r>
      <w:r>
        <w:tab/>
      </w:r>
      <w:r w:rsidRPr="00C34BB3">
        <w:t xml:space="preserve">on hydrometeorology and ecology: new advances from modeling and satellite </w:t>
      </w:r>
      <w:r>
        <w:tab/>
      </w:r>
      <w:r w:rsidRPr="00C34BB3">
        <w:t xml:space="preserve">remote sensing. </w:t>
      </w:r>
      <w:proofErr w:type="gramStart"/>
      <w:r w:rsidRPr="00C34BB3">
        <w:rPr>
          <w:i/>
        </w:rPr>
        <w:t>Hydrol.</w:t>
      </w:r>
      <w:proofErr w:type="gramEnd"/>
      <w:r w:rsidRPr="00C34BB3">
        <w:rPr>
          <w:i/>
        </w:rPr>
        <w:t xml:space="preserve"> Res</w:t>
      </w:r>
      <w:r w:rsidRPr="00C34BB3">
        <w:t xml:space="preserve">. </w:t>
      </w:r>
      <w:r w:rsidRPr="00C34BB3">
        <w:rPr>
          <w:b/>
        </w:rPr>
        <w:t>42</w:t>
      </w:r>
      <w:r w:rsidR="00182C99">
        <w:t>, 95-112.</w:t>
      </w:r>
    </w:p>
    <w:p w:rsidR="00CD20B4" w:rsidRPr="00C34BB3" w:rsidRDefault="00CD20B4" w:rsidP="00CD20B4">
      <w:proofErr w:type="gramStart"/>
      <w:r w:rsidRPr="00C34BB3">
        <w:t>Ma, X., Xu, J.C., Luo, Y., Aggarwal, S.P. &amp; Li, J.T.</w:t>
      </w:r>
      <w:proofErr w:type="gramEnd"/>
      <w:r>
        <w:t xml:space="preserve">  </w:t>
      </w:r>
      <w:r w:rsidRPr="00C34BB3">
        <w:t xml:space="preserve">2009 Response of hydrological </w:t>
      </w:r>
      <w:r>
        <w:tab/>
      </w:r>
      <w:r w:rsidRPr="00C34BB3">
        <w:t xml:space="preserve">processes to land-cover and climate changes in Kejie watershed, south-west </w:t>
      </w:r>
      <w:r>
        <w:tab/>
      </w:r>
      <w:r w:rsidRPr="00C34BB3">
        <w:t xml:space="preserve">China.  </w:t>
      </w:r>
      <w:proofErr w:type="gramStart"/>
      <w:r w:rsidRPr="00C34BB3">
        <w:rPr>
          <w:i/>
        </w:rPr>
        <w:t>Hydrol.</w:t>
      </w:r>
      <w:proofErr w:type="gramEnd"/>
      <w:r w:rsidRPr="00C34BB3">
        <w:rPr>
          <w:i/>
        </w:rPr>
        <w:t xml:space="preserve"> </w:t>
      </w:r>
      <w:proofErr w:type="gramStart"/>
      <w:r w:rsidRPr="00C34BB3">
        <w:rPr>
          <w:i/>
        </w:rPr>
        <w:t>Process.</w:t>
      </w:r>
      <w:proofErr w:type="gramEnd"/>
      <w:r w:rsidRPr="00C34BB3">
        <w:t xml:space="preserve"> </w:t>
      </w:r>
      <w:r w:rsidRPr="00C34BB3">
        <w:rPr>
          <w:b/>
        </w:rPr>
        <w:t>23</w:t>
      </w:r>
      <w:r w:rsidR="00182C99">
        <w:t>, 1179-1191.</w:t>
      </w:r>
    </w:p>
    <w:p w:rsidR="00CD20B4" w:rsidRPr="00C34BB3" w:rsidRDefault="00CD20B4" w:rsidP="00CD20B4">
      <w:r w:rsidRPr="00C34BB3">
        <w:t xml:space="preserve">McGuire, V.L. 2011 </w:t>
      </w:r>
      <w:r w:rsidRPr="00C34BB3">
        <w:rPr>
          <w:i/>
        </w:rPr>
        <w:t xml:space="preserve">Water-level Changes in the High Plains Aquifer, Predevelopment </w:t>
      </w:r>
      <w:r>
        <w:rPr>
          <w:i/>
        </w:rPr>
        <w:tab/>
      </w:r>
      <w:r w:rsidRPr="00C34BB3">
        <w:rPr>
          <w:i/>
        </w:rPr>
        <w:t xml:space="preserve">to 2009, 2007–08, and 2008–09, and Change in Water in Storage, </w:t>
      </w:r>
      <w:r>
        <w:rPr>
          <w:i/>
        </w:rPr>
        <w:tab/>
      </w:r>
      <w:r w:rsidRPr="00C34BB3">
        <w:rPr>
          <w:i/>
        </w:rPr>
        <w:t xml:space="preserve">Predevelopment to 2009: U.S. Geological Survey Scientific Investigations </w:t>
      </w:r>
      <w:r>
        <w:rPr>
          <w:i/>
        </w:rPr>
        <w:tab/>
      </w:r>
      <w:r w:rsidRPr="00C34BB3">
        <w:rPr>
          <w:i/>
        </w:rPr>
        <w:t>Report 2011–5089</w:t>
      </w:r>
      <w:r w:rsidRPr="00C34BB3">
        <w:t xml:space="preserve">.  </w:t>
      </w:r>
      <w:proofErr w:type="gramStart"/>
      <w:r w:rsidRPr="00C34BB3">
        <w:t>U.S. Geological Survey, Reston, USA.</w:t>
      </w:r>
      <w:proofErr w:type="gramEnd"/>
      <w:r w:rsidRPr="00C34BB3">
        <w:t xml:space="preserve">  </w:t>
      </w:r>
    </w:p>
    <w:p w:rsidR="00CD20B4" w:rsidRPr="00C34BB3" w:rsidRDefault="00CD20B4" w:rsidP="00CD20B4">
      <w:r w:rsidRPr="00C34BB3">
        <w:t xml:space="preserve">McIsaac, G.F., David, M.B. &amp; Mitchell, C.A. 2010 Miscanthus and switchgrass </w:t>
      </w:r>
      <w:r>
        <w:tab/>
      </w:r>
      <w:r w:rsidRPr="00C34BB3">
        <w:t xml:space="preserve">production in central Illinois: impacts on hydrology and inorganic nitrogen </w:t>
      </w:r>
      <w:r>
        <w:tab/>
      </w:r>
      <w:r w:rsidRPr="00C34BB3">
        <w:t xml:space="preserve">leaching. </w:t>
      </w:r>
      <w:r w:rsidRPr="00C34BB3">
        <w:rPr>
          <w:i/>
        </w:rPr>
        <w:t xml:space="preserve">J. Environ. Qual. </w:t>
      </w:r>
      <w:r w:rsidRPr="00C34BB3">
        <w:rPr>
          <w:b/>
        </w:rPr>
        <w:t>39</w:t>
      </w:r>
      <w:r w:rsidR="00182C99">
        <w:t>, 1790-1799.</w:t>
      </w:r>
    </w:p>
    <w:p w:rsidR="00CD20B4" w:rsidRPr="00182C99" w:rsidRDefault="00CD20B4" w:rsidP="00CD20B4">
      <w:pPr>
        <w:rPr>
          <w:i/>
        </w:rPr>
      </w:pPr>
      <w:r w:rsidRPr="00C34BB3">
        <w:t xml:space="preserve">Mitchell, R., Wallace, L., Wilhelm, W., Varvel, G. &amp; Wienold, B. 2010. </w:t>
      </w:r>
      <w:proofErr w:type="gramStart"/>
      <w:r w:rsidRPr="00C34BB3">
        <w:rPr>
          <w:i/>
        </w:rPr>
        <w:t xml:space="preserve">Grasslands, </w:t>
      </w:r>
      <w:r>
        <w:rPr>
          <w:i/>
        </w:rPr>
        <w:tab/>
      </w:r>
      <w:r w:rsidRPr="00C34BB3">
        <w:rPr>
          <w:i/>
        </w:rPr>
        <w:t>Rangelands, and Agricultural Systems.</w:t>
      </w:r>
      <w:proofErr w:type="gramEnd"/>
      <w:r w:rsidRPr="00C34BB3">
        <w:t xml:space="preserve">  Biofuels and Sustainability Reports: </w:t>
      </w:r>
      <w:r>
        <w:tab/>
      </w:r>
      <w:r w:rsidRPr="00C34BB3">
        <w:t>Ecological Society of America, Washington, D.C., USA.</w:t>
      </w:r>
    </w:p>
    <w:p w:rsidR="00CD20B4" w:rsidRPr="00C34BB3" w:rsidRDefault="00CD20B4" w:rsidP="00CD20B4">
      <w:r w:rsidRPr="00C34BB3">
        <w:t xml:space="preserve">Moriasi, D.N., Arnold. </w:t>
      </w:r>
      <w:proofErr w:type="gramStart"/>
      <w:r w:rsidRPr="00C34BB3">
        <w:t xml:space="preserve">J.G., Van Liew, M.W., Bingner, R.L., Harmel, R.D. &amp; Veith, </w:t>
      </w:r>
      <w:r>
        <w:tab/>
      </w:r>
      <w:r w:rsidRPr="00C34BB3">
        <w:t>T.L. 2007.</w:t>
      </w:r>
      <w:proofErr w:type="gramEnd"/>
      <w:r w:rsidRPr="00C34BB3">
        <w:t xml:space="preserve">  </w:t>
      </w:r>
      <w:proofErr w:type="gramStart"/>
      <w:r w:rsidRPr="00C34BB3">
        <w:t xml:space="preserve">Model evaluation guidelines for systematic quantification of </w:t>
      </w:r>
      <w:r>
        <w:tab/>
      </w:r>
      <w:r w:rsidRPr="00C34BB3">
        <w:t>accuracy in watershed simulations.</w:t>
      </w:r>
      <w:proofErr w:type="gramEnd"/>
      <w:r w:rsidRPr="00C34BB3">
        <w:t xml:space="preserve"> </w:t>
      </w:r>
      <w:r w:rsidRPr="00C34BB3">
        <w:rPr>
          <w:i/>
        </w:rPr>
        <w:t xml:space="preserve">T. ASABE </w:t>
      </w:r>
      <w:r w:rsidRPr="00C34BB3">
        <w:rPr>
          <w:b/>
        </w:rPr>
        <w:t>50</w:t>
      </w:r>
      <w:r w:rsidR="00182C99">
        <w:t>, 885-900.</w:t>
      </w:r>
    </w:p>
    <w:p w:rsidR="00CD20B4" w:rsidRPr="00C34BB3" w:rsidRDefault="00CD20B4" w:rsidP="00CD20B4">
      <w:proofErr w:type="gramStart"/>
      <w:r w:rsidRPr="00C34BB3">
        <w:t>Nash, J.E. &amp; Sutcliffe.</w:t>
      </w:r>
      <w:proofErr w:type="gramEnd"/>
      <w:r w:rsidRPr="00C34BB3">
        <w:t xml:space="preserve"> J.V. 1970 River flow forecasting through conceptual models: </w:t>
      </w:r>
      <w:r>
        <w:tab/>
      </w:r>
      <w:r w:rsidRPr="00C34BB3">
        <w:t xml:space="preserve">part 1 – a discussion of principles. </w:t>
      </w:r>
      <w:r w:rsidRPr="00C34BB3">
        <w:rPr>
          <w:i/>
        </w:rPr>
        <w:t xml:space="preserve">J. Hydrol. </w:t>
      </w:r>
      <w:r w:rsidRPr="00C34BB3">
        <w:rPr>
          <w:b/>
        </w:rPr>
        <w:t>10</w:t>
      </w:r>
      <w:r w:rsidR="00182C99">
        <w:t>, 282-290.</w:t>
      </w:r>
    </w:p>
    <w:p w:rsidR="00CD20B4" w:rsidRPr="00182C99" w:rsidRDefault="00CD20B4" w:rsidP="00CD20B4">
      <w:pPr>
        <w:rPr>
          <w:i/>
        </w:rPr>
      </w:pPr>
      <w:proofErr w:type="gramStart"/>
      <w:r w:rsidRPr="00C34BB3">
        <w:t xml:space="preserve">National Research Council 2008 </w:t>
      </w:r>
      <w:r w:rsidRPr="00C34BB3">
        <w:rPr>
          <w:i/>
        </w:rPr>
        <w:t xml:space="preserve">Water Implications of Biofuel Production in the United </w:t>
      </w:r>
      <w:r>
        <w:rPr>
          <w:i/>
        </w:rPr>
        <w:tab/>
      </w:r>
      <w:r w:rsidRPr="00C34BB3">
        <w:rPr>
          <w:i/>
        </w:rPr>
        <w:t>States</w:t>
      </w:r>
      <w:r w:rsidRPr="00C34BB3">
        <w:t>.</w:t>
      </w:r>
      <w:proofErr w:type="gramEnd"/>
      <w:r w:rsidRPr="00C34BB3">
        <w:t xml:space="preserve">  </w:t>
      </w:r>
      <w:proofErr w:type="gramStart"/>
      <w:r w:rsidRPr="00C34BB3">
        <w:t>National Academy Press, Washington, D.C, USA.</w:t>
      </w:r>
      <w:proofErr w:type="gramEnd"/>
      <w:r w:rsidRPr="00C34BB3">
        <w:t xml:space="preserve">  </w:t>
      </w:r>
    </w:p>
    <w:p w:rsidR="00CD20B4" w:rsidRPr="00C34BB3" w:rsidRDefault="00CD20B4" w:rsidP="00CD20B4">
      <w:r w:rsidRPr="00C34BB3">
        <w:lastRenderedPageBreak/>
        <w:t xml:space="preserve">Nelson, R.G., Ascough. </w:t>
      </w:r>
      <w:proofErr w:type="gramStart"/>
      <w:r w:rsidRPr="00C34BB3">
        <w:t xml:space="preserve">J.C. &amp; Langemeier, M.R. 2006 Environmental and economic </w:t>
      </w:r>
      <w:r>
        <w:tab/>
      </w:r>
      <w:r w:rsidRPr="00C34BB3">
        <w:t xml:space="preserve">analysis of switchgrass production for water quality improvement in Northeast </w:t>
      </w:r>
      <w:r>
        <w:tab/>
      </w:r>
      <w:r w:rsidRPr="00C34BB3">
        <w:t>Kansas</w:t>
      </w:r>
      <w:r>
        <w:t>.</w:t>
      </w:r>
      <w:proofErr w:type="gramEnd"/>
      <w:r>
        <w:t xml:space="preserve">  </w:t>
      </w:r>
      <w:r w:rsidRPr="00C34BB3">
        <w:rPr>
          <w:i/>
        </w:rPr>
        <w:t>J. Environ. Manage.</w:t>
      </w:r>
      <w:r w:rsidRPr="00C34BB3">
        <w:t xml:space="preserve"> </w:t>
      </w:r>
      <w:r w:rsidRPr="00C34BB3">
        <w:rPr>
          <w:b/>
        </w:rPr>
        <w:t>79,</w:t>
      </w:r>
      <w:r w:rsidR="00182C99">
        <w:t xml:space="preserve"> 336-347.</w:t>
      </w:r>
    </w:p>
    <w:p w:rsidR="00CD20B4" w:rsidRPr="00182C99" w:rsidRDefault="00CD20B4" w:rsidP="00CD20B4">
      <w:r w:rsidRPr="00C34BB3">
        <w:t xml:space="preserve">Ng, T.L., Eheart, J.W., </w:t>
      </w:r>
      <w:proofErr w:type="gramStart"/>
      <w:r w:rsidRPr="00C34BB3">
        <w:t>Cai</w:t>
      </w:r>
      <w:proofErr w:type="gramEnd"/>
      <w:r w:rsidRPr="00C34BB3">
        <w:t xml:space="preserve">, X. &amp; Miguez, F. 2010 Modeling miscanthus in the soil and </w:t>
      </w:r>
      <w:r>
        <w:tab/>
      </w:r>
      <w:r w:rsidRPr="00C34BB3">
        <w:t xml:space="preserve">water assessment tool. </w:t>
      </w:r>
      <w:r>
        <w:t xml:space="preserve">  </w:t>
      </w:r>
      <w:r w:rsidRPr="00C34BB3">
        <w:rPr>
          <w:i/>
        </w:rPr>
        <w:t xml:space="preserve">Environ. </w:t>
      </w:r>
      <w:proofErr w:type="gramStart"/>
      <w:r w:rsidRPr="00C34BB3">
        <w:rPr>
          <w:i/>
        </w:rPr>
        <w:t>Sci. Technol.</w:t>
      </w:r>
      <w:r w:rsidRPr="00C34BB3">
        <w:t xml:space="preserve"> </w:t>
      </w:r>
      <w:r w:rsidRPr="00C34BB3">
        <w:rPr>
          <w:b/>
        </w:rPr>
        <w:t>44</w:t>
      </w:r>
      <w:r w:rsidR="00182C99">
        <w:t>, 7138–7144.</w:t>
      </w:r>
      <w:proofErr w:type="gramEnd"/>
      <w:r w:rsidR="00182C99">
        <w:t xml:space="preserve">  </w:t>
      </w:r>
    </w:p>
    <w:p w:rsidR="00CD20B4" w:rsidRPr="00C34BB3" w:rsidRDefault="00CD20B4" w:rsidP="00CD20B4">
      <w:r w:rsidRPr="00C34BB3">
        <w:t xml:space="preserve">Nyakatawa, E.Z., Mays, D.A., Tolbert, V.R., Green, T.H. &amp; Bingham, L. 2006 Runoff, </w:t>
      </w:r>
      <w:r>
        <w:tab/>
      </w:r>
      <w:r w:rsidRPr="00C34BB3">
        <w:t xml:space="preserve">sediment, nitrogen, and phosphorus losses from agricultural land converted to </w:t>
      </w:r>
      <w:r>
        <w:tab/>
      </w:r>
      <w:r w:rsidRPr="00C34BB3">
        <w:t xml:space="preserve">sweetgum and switchgrass bioenergy feedstock production in north Alabama. </w:t>
      </w:r>
      <w:r>
        <w:tab/>
      </w:r>
      <w:proofErr w:type="gramStart"/>
      <w:r w:rsidRPr="00C34BB3">
        <w:rPr>
          <w:i/>
        </w:rPr>
        <w:t>Biomass Bioenerg.</w:t>
      </w:r>
      <w:proofErr w:type="gramEnd"/>
      <w:r w:rsidRPr="00C34BB3">
        <w:rPr>
          <w:i/>
        </w:rPr>
        <w:t xml:space="preserve"> </w:t>
      </w:r>
      <w:r w:rsidRPr="00C34BB3">
        <w:rPr>
          <w:b/>
        </w:rPr>
        <w:t>30</w:t>
      </w:r>
      <w:r w:rsidR="00182C99">
        <w:t xml:space="preserve">, 655-664. </w:t>
      </w:r>
    </w:p>
    <w:p w:rsidR="00CD20B4" w:rsidRPr="00182C99" w:rsidRDefault="00CD20B4" w:rsidP="00CD20B4">
      <w:pPr>
        <w:rPr>
          <w:i/>
        </w:rPr>
      </w:pPr>
      <w:r w:rsidRPr="00C34BB3">
        <w:t xml:space="preserve">One-hundred Tenth Congress of the United States of America 2007 </w:t>
      </w:r>
      <w:r w:rsidRPr="00C34BB3">
        <w:rPr>
          <w:i/>
        </w:rPr>
        <w:t xml:space="preserve">Energy </w:t>
      </w:r>
      <w:r>
        <w:rPr>
          <w:i/>
        </w:rPr>
        <w:tab/>
      </w:r>
      <w:r w:rsidRPr="00C34BB3">
        <w:rPr>
          <w:i/>
        </w:rPr>
        <w:t xml:space="preserve">Independence </w:t>
      </w:r>
      <w:r>
        <w:rPr>
          <w:i/>
        </w:rPr>
        <w:tab/>
      </w:r>
      <w:r w:rsidRPr="00C34BB3">
        <w:rPr>
          <w:i/>
        </w:rPr>
        <w:t>and Security Act</w:t>
      </w:r>
      <w:r>
        <w:t xml:space="preserve">.  </w:t>
      </w:r>
      <w:proofErr w:type="gramStart"/>
      <w:r w:rsidRPr="00C34BB3">
        <w:t xml:space="preserve">Government Printing Office, Washington, </w:t>
      </w:r>
      <w:r>
        <w:tab/>
      </w:r>
      <w:r w:rsidRPr="00C34BB3">
        <w:t>D.C., USA.</w:t>
      </w:r>
      <w:proofErr w:type="gramEnd"/>
    </w:p>
    <w:p w:rsidR="00CD20B4" w:rsidRPr="00182C99" w:rsidRDefault="00CD20B4" w:rsidP="00CD20B4">
      <w:pPr>
        <w:rPr>
          <w:i/>
        </w:rPr>
      </w:pPr>
      <w:proofErr w:type="gramStart"/>
      <w:r w:rsidRPr="00C34BB3">
        <w:t>Parrish, D.J. &amp; Fike.</w:t>
      </w:r>
      <w:proofErr w:type="gramEnd"/>
      <w:r w:rsidRPr="00C34BB3">
        <w:t xml:space="preserve"> </w:t>
      </w:r>
      <w:proofErr w:type="gramStart"/>
      <w:r w:rsidRPr="00C34BB3">
        <w:t>J.H. 2005 The biology and agronomy of switchgrass for biofuels.</w:t>
      </w:r>
      <w:proofErr w:type="gramEnd"/>
      <w:r w:rsidRPr="00C34BB3">
        <w:t xml:space="preserve">  </w:t>
      </w:r>
      <w:r>
        <w:tab/>
      </w:r>
      <w:r w:rsidRPr="00C34BB3">
        <w:rPr>
          <w:i/>
        </w:rPr>
        <w:t xml:space="preserve">Crit. Rev. Plant Sci. </w:t>
      </w:r>
      <w:r w:rsidRPr="00C34BB3">
        <w:rPr>
          <w:b/>
        </w:rPr>
        <w:t>24</w:t>
      </w:r>
      <w:r w:rsidRPr="00C34BB3">
        <w:t>, 423-459.</w:t>
      </w:r>
    </w:p>
    <w:p w:rsidR="00CD20B4" w:rsidRPr="00C34BB3" w:rsidRDefault="00CD20B4" w:rsidP="00182C99">
      <w:r w:rsidRPr="00C34BB3">
        <w:t xml:space="preserve">PRISM Climate Group, Oregon State University.  Data available at: </w:t>
      </w:r>
      <w:r>
        <w:tab/>
      </w:r>
      <w:r w:rsidRPr="00C34BB3">
        <w:t>http://prism.oregonstate.edu</w:t>
      </w:r>
      <w:r w:rsidR="00182C99">
        <w:t xml:space="preserve">.  </w:t>
      </w:r>
      <w:proofErr w:type="gramStart"/>
      <w:r w:rsidR="00182C99">
        <w:t>Retrieved 13 September 2012.</w:t>
      </w:r>
      <w:proofErr w:type="gramEnd"/>
    </w:p>
    <w:p w:rsidR="00CD20B4" w:rsidRPr="00C34BB3" w:rsidRDefault="00CD20B4" w:rsidP="00CD20B4">
      <w:proofErr w:type="gramStart"/>
      <w:r w:rsidRPr="00C34BB3">
        <w:t xml:space="preserve">Raymond, P. A., Oh, N.-H., Turner, R. E. &amp; Broussard, W. 2008 Anthropogenically </w:t>
      </w:r>
      <w:r>
        <w:tab/>
      </w:r>
      <w:r w:rsidRPr="00C34BB3">
        <w:t>enhanced fluxes of water and carbon from the Mississippi River.</w:t>
      </w:r>
      <w:proofErr w:type="gramEnd"/>
      <w:r w:rsidRPr="00C34BB3">
        <w:t xml:space="preserve"> </w:t>
      </w:r>
      <w:r w:rsidRPr="00C34BB3">
        <w:rPr>
          <w:i/>
        </w:rPr>
        <w:t>Nature</w:t>
      </w:r>
      <w:r w:rsidRPr="00C34BB3">
        <w:t xml:space="preserve"> </w:t>
      </w:r>
      <w:r w:rsidRPr="00C34BB3">
        <w:rPr>
          <w:b/>
        </w:rPr>
        <w:t>451,</w:t>
      </w:r>
      <w:r w:rsidRPr="00C34BB3">
        <w:t xml:space="preserve"> </w:t>
      </w:r>
      <w:r>
        <w:tab/>
      </w:r>
      <w:r w:rsidRPr="00C34BB3">
        <w:t>449</w:t>
      </w:r>
      <w:r>
        <w:t>-</w:t>
      </w:r>
      <w:r w:rsidRPr="00C34BB3">
        <w:t>4</w:t>
      </w:r>
      <w:r w:rsidR="00182C99">
        <w:t>52.</w:t>
      </w:r>
    </w:p>
    <w:p w:rsidR="00CD20B4" w:rsidRPr="00C34BB3" w:rsidRDefault="00CD20B4" w:rsidP="00CD20B4">
      <w:r w:rsidRPr="00C34BB3">
        <w:t xml:space="preserve">Reisner, M. 1993 </w:t>
      </w:r>
      <w:r w:rsidRPr="00C34BB3">
        <w:rPr>
          <w:i/>
        </w:rPr>
        <w:t>Cadillac Desert: the American West and its Disappearing Water</w:t>
      </w:r>
      <w:r w:rsidRPr="00C34BB3">
        <w:t xml:space="preserve">.  </w:t>
      </w:r>
      <w:r>
        <w:tab/>
      </w:r>
      <w:proofErr w:type="gramStart"/>
      <w:r w:rsidRPr="00C34BB3">
        <w:t xml:space="preserve">Penguin </w:t>
      </w:r>
      <w:r w:rsidR="00182C99">
        <w:t>Books, New York, USA.</w:t>
      </w:r>
      <w:proofErr w:type="gramEnd"/>
    </w:p>
    <w:p w:rsidR="00CD20B4" w:rsidRPr="00C34BB3" w:rsidRDefault="00CD20B4" w:rsidP="00CD20B4">
      <w:proofErr w:type="gramStart"/>
      <w:r w:rsidRPr="00C34BB3">
        <w:t xml:space="preserve">Ren, L., Liu, X., Yuan, F., Xu, J. &amp; Liu, W. 2012 Quantitative analysis of runoff </w:t>
      </w:r>
      <w:r>
        <w:tab/>
      </w:r>
      <w:r w:rsidRPr="00C34BB3">
        <w:t xml:space="preserve">reduction </w:t>
      </w:r>
      <w:r>
        <w:t>in the Laohahe basin.</w:t>
      </w:r>
      <w:proofErr w:type="gramEnd"/>
      <w:r>
        <w:t xml:space="preserve">  </w:t>
      </w:r>
      <w:proofErr w:type="gramStart"/>
      <w:r w:rsidRPr="00C34BB3">
        <w:rPr>
          <w:i/>
        </w:rPr>
        <w:t>Hydrol.</w:t>
      </w:r>
      <w:proofErr w:type="gramEnd"/>
      <w:r w:rsidRPr="00C34BB3">
        <w:rPr>
          <w:i/>
        </w:rPr>
        <w:t xml:space="preserve"> Res.</w:t>
      </w:r>
      <w:r w:rsidRPr="00C34BB3">
        <w:t xml:space="preserve"> </w:t>
      </w:r>
      <w:r w:rsidRPr="00C34BB3">
        <w:rPr>
          <w:b/>
        </w:rPr>
        <w:t>43</w:t>
      </w:r>
      <w:r w:rsidRPr="00C34BB3">
        <w:t>, 38-</w:t>
      </w:r>
      <w:r w:rsidR="00182C99">
        <w:t>47.</w:t>
      </w:r>
    </w:p>
    <w:p w:rsidR="00CD20B4" w:rsidRPr="00C34BB3" w:rsidRDefault="00CD20B4" w:rsidP="00CD20B4">
      <w:proofErr w:type="gramStart"/>
      <w:r w:rsidRPr="00C34BB3">
        <w:t>Renewable Fuels Association.</w:t>
      </w:r>
      <w:proofErr w:type="gramEnd"/>
      <w:r w:rsidRPr="00C34BB3">
        <w:t xml:space="preserve">  Available from: http://www.ethanolrfa.org/.  </w:t>
      </w:r>
      <w:proofErr w:type="gramStart"/>
      <w:r w:rsidRPr="00C34BB3">
        <w:t xml:space="preserve">Retrieved </w:t>
      </w:r>
      <w:r>
        <w:tab/>
      </w:r>
      <w:r w:rsidRPr="00C34BB3">
        <w:t xml:space="preserve">12 </w:t>
      </w:r>
      <w:r w:rsidR="00182C99">
        <w:t>September 2012.</w:t>
      </w:r>
      <w:proofErr w:type="gramEnd"/>
    </w:p>
    <w:p w:rsidR="00CD20B4" w:rsidRPr="00C34BB3" w:rsidRDefault="00CD20B4" w:rsidP="00182C99">
      <w:r w:rsidRPr="00C34BB3">
        <w:t>Robertson, G.P., Hamilton, S.K., Del Grosso, S.J. &amp; Parton</w:t>
      </w:r>
      <w:proofErr w:type="gramStart"/>
      <w:r w:rsidRPr="00C34BB3">
        <w:t xml:space="preserve">, W.J. 2010 </w:t>
      </w:r>
      <w:r w:rsidRPr="00C34BB3">
        <w:rPr>
          <w:i/>
        </w:rPr>
        <w:t xml:space="preserve">Growing Plants </w:t>
      </w:r>
      <w:proofErr w:type="gramEnd"/>
      <w:r>
        <w:rPr>
          <w:i/>
        </w:rPr>
        <w:tab/>
      </w:r>
      <w:r w:rsidRPr="00C34BB3">
        <w:rPr>
          <w:i/>
        </w:rPr>
        <w:t>for Fuel: Predicting Effects on Water, Soil, and the Atmosphere</w:t>
      </w:r>
      <w:r w:rsidRPr="00C34BB3">
        <w:t xml:space="preserve">. Biofuels and </w:t>
      </w:r>
      <w:r>
        <w:tab/>
      </w:r>
      <w:r w:rsidRPr="00C34BB3">
        <w:t xml:space="preserve">Sustainability Reports: Ecological Society of </w:t>
      </w:r>
      <w:r w:rsidR="00182C99">
        <w:t>America, Washington, D.C., USA.</w:t>
      </w:r>
    </w:p>
    <w:p w:rsidR="00CD20B4" w:rsidRPr="00C34BB3" w:rsidRDefault="00CD20B4" w:rsidP="00CD20B4">
      <w:r w:rsidRPr="00C34BB3">
        <w:t>Sala, O.E., Chapin, F.S., Armesto, J.J., Berlow, E., Bloomfield, J., Dirzo, R., Huber-</w:t>
      </w:r>
      <w:r>
        <w:tab/>
      </w:r>
      <w:r w:rsidRPr="00C34BB3">
        <w:t xml:space="preserve">Sanwald, E., Huenneke, L.F., Jackson, R.B., Kinzig, A., Leemans, R., Lodge, </w:t>
      </w:r>
      <w:r>
        <w:tab/>
      </w:r>
      <w:r w:rsidRPr="00C34BB3">
        <w:t xml:space="preserve">D.M., Mooney, H.A., Oesterheld, M., Poff, N.L., Sykes, M.T., Walker, B.H., </w:t>
      </w:r>
      <w:r>
        <w:tab/>
      </w:r>
      <w:r w:rsidRPr="00C34BB3">
        <w:t xml:space="preserve">Walker, M. &amp; Wall,  D.H. 2000 Global biodiversity scenarios for the year 2100. </w:t>
      </w:r>
      <w:r>
        <w:tab/>
      </w:r>
      <w:r w:rsidRPr="00C34BB3">
        <w:rPr>
          <w:i/>
        </w:rPr>
        <w:t>Science</w:t>
      </w:r>
      <w:r w:rsidRPr="00C34BB3">
        <w:t xml:space="preserve"> </w:t>
      </w:r>
      <w:r w:rsidRPr="00C34BB3">
        <w:rPr>
          <w:b/>
        </w:rPr>
        <w:t>287</w:t>
      </w:r>
      <w:r w:rsidR="00182C99">
        <w:t>, 1770-1774.</w:t>
      </w:r>
    </w:p>
    <w:p w:rsidR="00CD20B4" w:rsidRPr="00182C99" w:rsidRDefault="00CD20B4" w:rsidP="00CD20B4">
      <w:proofErr w:type="gramStart"/>
      <w:r w:rsidRPr="00C34BB3">
        <w:t xml:space="preserve">Sarkar, S., Miller, S.A., Frederick, J.R. &amp; Chamberlain, J.F. 2011 Modeling nitrogen </w:t>
      </w:r>
      <w:r>
        <w:tab/>
      </w:r>
      <w:r w:rsidRPr="00C34BB3">
        <w:t>loss from switchgrass agricultural systems.</w:t>
      </w:r>
      <w:proofErr w:type="gramEnd"/>
      <w:r w:rsidRPr="00C34BB3">
        <w:t xml:space="preserve"> </w:t>
      </w:r>
      <w:proofErr w:type="gramStart"/>
      <w:r w:rsidRPr="00C34BB3">
        <w:rPr>
          <w:i/>
        </w:rPr>
        <w:t>Biomass Bioenerg.</w:t>
      </w:r>
      <w:proofErr w:type="gramEnd"/>
      <w:r w:rsidRPr="00C34BB3">
        <w:t xml:space="preserve"> </w:t>
      </w:r>
      <w:r w:rsidRPr="00C34BB3">
        <w:rPr>
          <w:b/>
        </w:rPr>
        <w:t>35</w:t>
      </w:r>
      <w:r w:rsidRPr="00C34BB3">
        <w:t xml:space="preserve">, 4381-4389. </w:t>
      </w:r>
      <w:r w:rsidRPr="00C34BB3">
        <w:rPr>
          <w:b/>
        </w:rPr>
        <w:t xml:space="preserve"> </w:t>
      </w:r>
    </w:p>
    <w:p w:rsidR="00CD20B4" w:rsidRPr="00182C99" w:rsidRDefault="00CD20B4" w:rsidP="00CD20B4">
      <w:r w:rsidRPr="00C34BB3">
        <w:lastRenderedPageBreak/>
        <w:t xml:space="preserve">Scanlon, B.R., Faunt, C.C., Longuevergne, L., Reedy, R.C., Alley, W.M., McGuire, </w:t>
      </w:r>
      <w:r>
        <w:tab/>
      </w:r>
      <w:r w:rsidRPr="00C34BB3">
        <w:t xml:space="preserve">V.L. &amp; McMahon, P.B. 2012.  </w:t>
      </w:r>
      <w:proofErr w:type="gramStart"/>
      <w:r w:rsidRPr="00C34BB3">
        <w:t xml:space="preserve">Groundwater depletion and sustainability of </w:t>
      </w:r>
      <w:r>
        <w:tab/>
      </w:r>
      <w:r w:rsidRPr="00C34BB3">
        <w:t>irrigation in the</w:t>
      </w:r>
      <w:r>
        <w:t xml:space="preserve"> US </w:t>
      </w:r>
      <w:r w:rsidRPr="00C34BB3">
        <w:t>High Plains and Central Valley.</w:t>
      </w:r>
      <w:proofErr w:type="gramEnd"/>
      <w:r w:rsidRPr="00C34BB3">
        <w:t xml:space="preserve"> </w:t>
      </w:r>
      <w:r w:rsidRPr="00C34BB3">
        <w:rPr>
          <w:i/>
        </w:rPr>
        <w:t>P. Natl. Acad. Sci. USA</w:t>
      </w:r>
      <w:r w:rsidRPr="00C34BB3">
        <w:t xml:space="preserve"> </w:t>
      </w:r>
      <w:r>
        <w:tab/>
      </w:r>
      <w:r w:rsidRPr="00C34BB3">
        <w:rPr>
          <w:b/>
        </w:rPr>
        <w:t>109</w:t>
      </w:r>
      <w:r w:rsidR="00182C99">
        <w:t>, 9320-9325.</w:t>
      </w:r>
    </w:p>
    <w:p w:rsidR="00CD20B4" w:rsidRPr="00C34BB3" w:rsidRDefault="00CD20B4" w:rsidP="00CD20B4">
      <w:r w:rsidRPr="00C34BB3">
        <w:t xml:space="preserve">Schilling, K.E., Jha, M.K., Zhang, Y.K., Gassman, P.W. &amp; Wolter, C.F. 2008 Impact of </w:t>
      </w:r>
      <w:r>
        <w:tab/>
      </w:r>
      <w:r w:rsidRPr="00C34BB3">
        <w:t xml:space="preserve">land use and land cover change on the water balance of a large agricultural </w:t>
      </w:r>
      <w:r>
        <w:tab/>
      </w:r>
      <w:r w:rsidRPr="00C34BB3">
        <w:t xml:space="preserve">watershed: historical effects and future </w:t>
      </w:r>
      <w:r>
        <w:t xml:space="preserve">directions.  </w:t>
      </w:r>
      <w:r w:rsidRPr="00C34BB3">
        <w:rPr>
          <w:i/>
        </w:rPr>
        <w:t xml:space="preserve">Water Resour. </w:t>
      </w:r>
      <w:proofErr w:type="gramStart"/>
      <w:r w:rsidRPr="00C34BB3">
        <w:rPr>
          <w:i/>
        </w:rPr>
        <w:t>Res.</w:t>
      </w:r>
      <w:r w:rsidRPr="00C34BB3">
        <w:t xml:space="preserve"> </w:t>
      </w:r>
      <w:r w:rsidRPr="00C34BB3">
        <w:rPr>
          <w:b/>
        </w:rPr>
        <w:t>44</w:t>
      </w:r>
      <w:r w:rsidRPr="00C34BB3">
        <w:t xml:space="preserve">, </w:t>
      </w:r>
      <w:r>
        <w:tab/>
      </w:r>
      <w:r w:rsidR="00182C99">
        <w:t>W00A09.</w:t>
      </w:r>
      <w:proofErr w:type="gramEnd"/>
    </w:p>
    <w:p w:rsidR="00CD20B4" w:rsidRPr="00C34BB3" w:rsidRDefault="00CD20B4" w:rsidP="00CD20B4">
      <w:proofErr w:type="gramStart"/>
      <w:r w:rsidRPr="00C34BB3">
        <w:t>-------------------, Chan, K.-S., Liu, H. &amp; Zhang, Y.-K.</w:t>
      </w:r>
      <w:proofErr w:type="gramEnd"/>
      <w:r w:rsidRPr="00C34BB3">
        <w:t xml:space="preserve"> </w:t>
      </w:r>
      <w:proofErr w:type="gramStart"/>
      <w:r w:rsidRPr="00C34BB3">
        <w:t xml:space="preserve">2010 Quantifying the effect of </w:t>
      </w:r>
      <w:r>
        <w:tab/>
      </w:r>
      <w:r w:rsidRPr="00C34BB3">
        <w:t xml:space="preserve">land use land cover change on increasing discharge in the Upper Mississippi </w:t>
      </w:r>
      <w:r>
        <w:tab/>
      </w:r>
      <w:r w:rsidRPr="00C34BB3">
        <w:t>River.</w:t>
      </w:r>
      <w:proofErr w:type="gramEnd"/>
      <w:r w:rsidRPr="00C34BB3">
        <w:t xml:space="preserve"> </w:t>
      </w:r>
      <w:r w:rsidRPr="00C34BB3">
        <w:rPr>
          <w:i/>
        </w:rPr>
        <w:t xml:space="preserve">J. Hydrol. </w:t>
      </w:r>
      <w:r w:rsidRPr="00C34BB3">
        <w:rPr>
          <w:b/>
        </w:rPr>
        <w:t>387</w:t>
      </w:r>
      <w:r w:rsidR="00182C99">
        <w:t>, 343-345.</w:t>
      </w:r>
    </w:p>
    <w:p w:rsidR="00CD20B4" w:rsidRDefault="00CD20B4" w:rsidP="00CD20B4">
      <w:proofErr w:type="gramStart"/>
      <w:r w:rsidRPr="00C34BB3">
        <w:t xml:space="preserve">Schmer, M.R., Vogel, K.P., Mitchell, R.B. &amp; Perrin, R.K. 2008 Net energy of cellulosic </w:t>
      </w:r>
      <w:r>
        <w:tab/>
      </w:r>
      <w:r w:rsidRPr="00C34BB3">
        <w:t>ethanol from switchgrass.</w:t>
      </w:r>
      <w:proofErr w:type="gramEnd"/>
      <w:r w:rsidRPr="00C34BB3">
        <w:t xml:space="preserve"> </w:t>
      </w:r>
      <w:r w:rsidRPr="00C34BB3">
        <w:rPr>
          <w:i/>
        </w:rPr>
        <w:t>P. Natl. Acad. Sci. USA</w:t>
      </w:r>
      <w:r w:rsidRPr="00C34BB3">
        <w:t xml:space="preserve"> </w:t>
      </w:r>
      <w:r w:rsidRPr="00C34BB3">
        <w:rPr>
          <w:b/>
        </w:rPr>
        <w:t>105</w:t>
      </w:r>
      <w:r w:rsidR="00182C99">
        <w:t>, 464-469.</w:t>
      </w:r>
    </w:p>
    <w:p w:rsidR="005B7693" w:rsidRPr="005B7693" w:rsidRDefault="005B7693" w:rsidP="00CD20B4">
      <w:proofErr w:type="gramStart"/>
      <w:r w:rsidRPr="005B7693">
        <w:t xml:space="preserve">Sheshukov, A.Y., Daggupati P., Lee M.-C., &amp; Douglas-Mankin, K. 2009 ArcMap Tool </w:t>
      </w:r>
      <w:r>
        <w:tab/>
      </w:r>
      <w:r w:rsidRPr="005B7693">
        <w:t>for Pre-processing S</w:t>
      </w:r>
      <w:r>
        <w:t>SURGO Soil Database for ArcSWAT.</w:t>
      </w:r>
      <w:proofErr w:type="gramEnd"/>
      <w:r>
        <w:t xml:space="preserve">  </w:t>
      </w:r>
      <w:r w:rsidRPr="005B7693">
        <w:rPr>
          <w:i/>
        </w:rPr>
        <w:t xml:space="preserve">Proceedings of the </w:t>
      </w:r>
      <w:r w:rsidRPr="005B7693">
        <w:rPr>
          <w:i/>
        </w:rPr>
        <w:tab/>
        <w:t>5th</w:t>
      </w:r>
      <w:r w:rsidRPr="005B7693">
        <w:rPr>
          <w:rFonts w:asciiTheme="majorHAnsi" w:hAnsiTheme="majorHAnsi" w:cstheme="majorHAnsi"/>
          <w:i/>
          <w:iCs/>
          <w:shd w:val="clear" w:color="auto" w:fill="DCE2EA"/>
        </w:rPr>
        <w:t xml:space="preserve"> </w:t>
      </w:r>
      <w:r w:rsidRPr="005B7693">
        <w:rPr>
          <w:i/>
        </w:rPr>
        <w:t>International SWAT Conference, Boulder, CO Aug 5-7, 2009</w:t>
      </w:r>
      <w:r>
        <w:t>.</w:t>
      </w:r>
    </w:p>
    <w:p w:rsidR="00CD20B4" w:rsidRPr="00C34BB3" w:rsidRDefault="00CD20B4" w:rsidP="00CD20B4">
      <w:r w:rsidRPr="005B7693">
        <w:t>Simpson, T.W., Sharpley, A.N., Howarth, R.W., Paerl</w:t>
      </w:r>
      <w:proofErr w:type="gramStart"/>
      <w:r w:rsidRPr="005B7693">
        <w:t xml:space="preserve">, H.W. &amp; Mankin, K.R. 2008 The </w:t>
      </w:r>
      <w:proofErr w:type="gramEnd"/>
      <w:r w:rsidRPr="005B7693">
        <w:tab/>
        <w:t xml:space="preserve">new gold rush: fueling ethanol production while protecting water quality. </w:t>
      </w:r>
      <w:r w:rsidRPr="005B7693">
        <w:rPr>
          <w:i/>
        </w:rPr>
        <w:t xml:space="preserve">J. </w:t>
      </w:r>
      <w:r>
        <w:rPr>
          <w:i/>
        </w:rPr>
        <w:tab/>
      </w:r>
      <w:r w:rsidRPr="00C34BB3">
        <w:rPr>
          <w:i/>
        </w:rPr>
        <w:t xml:space="preserve">Environ. </w:t>
      </w:r>
      <w:proofErr w:type="gramStart"/>
      <w:r w:rsidRPr="00C34BB3">
        <w:rPr>
          <w:i/>
        </w:rPr>
        <w:t>Qual.</w:t>
      </w:r>
      <w:proofErr w:type="gramEnd"/>
      <w:r w:rsidRPr="00C34BB3">
        <w:rPr>
          <w:i/>
        </w:rPr>
        <w:t xml:space="preserve"> </w:t>
      </w:r>
      <w:r w:rsidRPr="00C34BB3">
        <w:t xml:space="preserve"> </w:t>
      </w:r>
      <w:r w:rsidRPr="00C34BB3">
        <w:rPr>
          <w:b/>
        </w:rPr>
        <w:t>37</w:t>
      </w:r>
      <w:r w:rsidR="00182C99">
        <w:t>, 318-324.</w:t>
      </w:r>
    </w:p>
    <w:p w:rsidR="00CD20B4" w:rsidRPr="00182C99" w:rsidRDefault="00CD20B4" w:rsidP="00182C99">
      <w:pPr>
        <w:rPr>
          <w:i/>
        </w:rPr>
      </w:pPr>
      <w:proofErr w:type="gramStart"/>
      <w:r w:rsidRPr="00C34BB3">
        <w:t>Singh.</w:t>
      </w:r>
      <w:proofErr w:type="gramEnd"/>
      <w:r w:rsidRPr="00C34BB3">
        <w:t xml:space="preserve"> </w:t>
      </w:r>
      <w:proofErr w:type="gramStart"/>
      <w:r w:rsidRPr="00C34BB3">
        <w:t xml:space="preserve">J., Knapp, H.V. and Demissie, M. 2004 </w:t>
      </w:r>
      <w:r w:rsidRPr="00C34BB3">
        <w:rPr>
          <w:i/>
        </w:rPr>
        <w:t xml:space="preserve">Hydrologic Modeling of the Iroquois </w:t>
      </w:r>
      <w:r>
        <w:rPr>
          <w:i/>
        </w:rPr>
        <w:tab/>
      </w:r>
      <w:r w:rsidRPr="00C34BB3">
        <w:rPr>
          <w:i/>
        </w:rPr>
        <w:t>River Watershed Using HSPF and SWAT</w:t>
      </w:r>
      <w:r w:rsidRPr="00C34BB3">
        <w:t>.</w:t>
      </w:r>
      <w:proofErr w:type="gramEnd"/>
      <w:r w:rsidRPr="00C34BB3">
        <w:t xml:space="preserve">  CR 2004-08. </w:t>
      </w:r>
      <w:proofErr w:type="gramStart"/>
      <w:r w:rsidRPr="00C34BB3">
        <w:t xml:space="preserve">Illinois State Water </w:t>
      </w:r>
      <w:r>
        <w:tab/>
      </w:r>
      <w:r w:rsidRPr="00C34BB3">
        <w:t>Survey, Champaign, IL, USA.</w:t>
      </w:r>
      <w:proofErr w:type="gramEnd"/>
    </w:p>
    <w:p w:rsidR="00CD20B4" w:rsidRDefault="00CD20B4" w:rsidP="00182C99">
      <w:pPr>
        <w:pStyle w:val="HTMLPreformatted"/>
        <w:rPr>
          <w:rFonts w:ascii="Times New Roman" w:hAnsi="Times New Roman" w:cs="Times New Roman"/>
          <w:sz w:val="24"/>
          <w:szCs w:val="24"/>
        </w:rPr>
      </w:pPr>
      <w:proofErr w:type="gramStart"/>
      <w:r w:rsidRPr="00C34BB3">
        <w:rPr>
          <w:rFonts w:ascii="Times New Roman" w:hAnsi="Times New Roman" w:cs="Times New Roman"/>
          <w:sz w:val="24"/>
          <w:szCs w:val="24"/>
        </w:rPr>
        <w:t xml:space="preserve">Thomas, M.A., Engel, B.A. &amp; Chaubey, I. 2009 Water quality impacts of corn </w:t>
      </w:r>
      <w:r>
        <w:rPr>
          <w:rFonts w:ascii="Times New Roman" w:hAnsi="Times New Roman" w:cs="Times New Roman"/>
          <w:sz w:val="24"/>
          <w:szCs w:val="24"/>
        </w:rPr>
        <w:tab/>
      </w:r>
      <w:r w:rsidRPr="00C34BB3">
        <w:rPr>
          <w:rFonts w:ascii="Times New Roman" w:hAnsi="Times New Roman" w:cs="Times New Roman"/>
          <w:sz w:val="24"/>
          <w:szCs w:val="24"/>
        </w:rPr>
        <w:t>production to meet biofuel demands.</w:t>
      </w:r>
      <w:proofErr w:type="gramEnd"/>
      <w:r w:rsidRPr="00C34BB3">
        <w:rPr>
          <w:rFonts w:ascii="Times New Roman" w:hAnsi="Times New Roman" w:cs="Times New Roman"/>
          <w:sz w:val="24"/>
          <w:szCs w:val="24"/>
        </w:rPr>
        <w:t xml:space="preserve"> </w:t>
      </w:r>
      <w:r w:rsidRPr="00C34BB3">
        <w:rPr>
          <w:rFonts w:ascii="Times New Roman" w:hAnsi="Times New Roman" w:cs="Times New Roman"/>
          <w:i/>
          <w:sz w:val="24"/>
          <w:szCs w:val="24"/>
        </w:rPr>
        <w:t>J. Environ. Eng.-Asce</w:t>
      </w:r>
      <w:r w:rsidRPr="00C34BB3">
        <w:rPr>
          <w:rFonts w:ascii="Times New Roman" w:hAnsi="Times New Roman" w:cs="Times New Roman"/>
          <w:sz w:val="24"/>
          <w:szCs w:val="24"/>
        </w:rPr>
        <w:t xml:space="preserve"> </w:t>
      </w:r>
      <w:r w:rsidRPr="00C34BB3">
        <w:rPr>
          <w:rFonts w:ascii="Times New Roman" w:hAnsi="Times New Roman" w:cs="Times New Roman"/>
          <w:b/>
          <w:sz w:val="24"/>
          <w:szCs w:val="24"/>
        </w:rPr>
        <w:t>135</w:t>
      </w:r>
      <w:r w:rsidR="00182C99">
        <w:rPr>
          <w:rFonts w:ascii="Times New Roman" w:hAnsi="Times New Roman" w:cs="Times New Roman"/>
          <w:sz w:val="24"/>
          <w:szCs w:val="24"/>
        </w:rPr>
        <w:t>, 1123-1135.</w:t>
      </w:r>
    </w:p>
    <w:p w:rsidR="00182C99" w:rsidRPr="00182C99" w:rsidRDefault="00182C99" w:rsidP="00182C99">
      <w:pPr>
        <w:pStyle w:val="HTMLPreformatted"/>
        <w:rPr>
          <w:rFonts w:ascii="Times New Roman" w:hAnsi="Times New Roman" w:cs="Times New Roman"/>
          <w:sz w:val="24"/>
          <w:szCs w:val="24"/>
        </w:rPr>
      </w:pPr>
    </w:p>
    <w:p w:rsidR="00CD20B4" w:rsidRPr="00C34BB3" w:rsidRDefault="00CD20B4" w:rsidP="00CD20B4">
      <w:r w:rsidRPr="00C34BB3">
        <w:t xml:space="preserve">Tortorelli, R.L., 2009 </w:t>
      </w:r>
      <w:r w:rsidRPr="00C34BB3">
        <w:rPr>
          <w:i/>
        </w:rPr>
        <w:t>Water Use in Oklahoma 1950-2005</w:t>
      </w:r>
      <w:r w:rsidRPr="00C34BB3">
        <w:t xml:space="preserve"> Scientific Investigations </w:t>
      </w:r>
      <w:r>
        <w:tab/>
      </w:r>
      <w:r w:rsidRPr="00C34BB3">
        <w:t xml:space="preserve">Report 2009-5212. </w:t>
      </w:r>
      <w:proofErr w:type="gramStart"/>
      <w:r w:rsidRPr="00C34BB3">
        <w:t>U.S. Geological Survey, Reston, USA.</w:t>
      </w:r>
      <w:proofErr w:type="gramEnd"/>
    </w:p>
    <w:p w:rsidR="00CD20B4" w:rsidRPr="00C34BB3" w:rsidRDefault="00CD20B4" w:rsidP="00CD20B4">
      <w:r w:rsidRPr="00C34BB3">
        <w:t>Turner</w:t>
      </w:r>
      <w:r>
        <w:t xml:space="preserve"> II, B.L.</w:t>
      </w:r>
      <w:r w:rsidRPr="00C34BB3">
        <w:t xml:space="preserve">, Lambin, E.F. &amp; A. Reenberg 2007 The emergence of land change </w:t>
      </w:r>
      <w:r>
        <w:tab/>
      </w:r>
      <w:r w:rsidRPr="00C34BB3">
        <w:t xml:space="preserve">science for global environmental change and sustainability. </w:t>
      </w:r>
      <w:r w:rsidRPr="00C34BB3">
        <w:rPr>
          <w:i/>
        </w:rPr>
        <w:t xml:space="preserve">P. Natl. Acad. Sci. </w:t>
      </w:r>
      <w:r>
        <w:rPr>
          <w:i/>
        </w:rPr>
        <w:tab/>
      </w:r>
      <w:r w:rsidRPr="00C34BB3">
        <w:rPr>
          <w:i/>
        </w:rPr>
        <w:t>USA</w:t>
      </w:r>
      <w:r w:rsidRPr="00C34BB3">
        <w:t xml:space="preserve"> </w:t>
      </w:r>
      <w:r w:rsidRPr="00C34BB3">
        <w:rPr>
          <w:b/>
        </w:rPr>
        <w:t>104</w:t>
      </w:r>
      <w:r w:rsidRPr="00C34BB3">
        <w:t xml:space="preserve">, </w:t>
      </w:r>
      <w:r w:rsidR="00182C99">
        <w:t>20666-20671.</w:t>
      </w:r>
    </w:p>
    <w:p w:rsidR="00CD20B4" w:rsidRPr="00C34BB3" w:rsidRDefault="00CD20B4" w:rsidP="00CD20B4">
      <w:proofErr w:type="gramStart"/>
      <w:r w:rsidRPr="00C34BB3">
        <w:t>van</w:t>
      </w:r>
      <w:proofErr w:type="gramEnd"/>
      <w:r w:rsidRPr="00C34BB3">
        <w:t xml:space="preserve"> Griensven, A., Meixner, T., Grunwald, S., Bishop, T., Diluzio, A. &amp; Srinivasan, R. </w:t>
      </w:r>
      <w:r>
        <w:tab/>
      </w:r>
      <w:r w:rsidRPr="00C34BB3">
        <w:t xml:space="preserve">2006 A global sensitivity analysis tool for the parameters of multi-variable </w:t>
      </w:r>
      <w:r>
        <w:tab/>
      </w:r>
      <w:r w:rsidRPr="00C34BB3">
        <w:t xml:space="preserve">catchment models. </w:t>
      </w:r>
      <w:r w:rsidRPr="00C34BB3">
        <w:rPr>
          <w:i/>
        </w:rPr>
        <w:t>J. Hydrol.</w:t>
      </w:r>
      <w:r w:rsidRPr="00C34BB3">
        <w:t xml:space="preserve"> </w:t>
      </w:r>
      <w:r w:rsidRPr="00C34BB3">
        <w:rPr>
          <w:b/>
        </w:rPr>
        <w:t>324</w:t>
      </w:r>
      <w:r w:rsidR="00182C99">
        <w:t>, 10-23.</w:t>
      </w:r>
    </w:p>
    <w:p w:rsidR="00CD20B4" w:rsidRPr="00C34BB3" w:rsidRDefault="00CD20B4" w:rsidP="00182C99">
      <w:r w:rsidRPr="00C34BB3">
        <w:t xml:space="preserve">Vanlocke, A., Bernacchi, C.J. &amp; Twine, T.E. 2010 </w:t>
      </w:r>
      <w:proofErr w:type="gramStart"/>
      <w:r w:rsidRPr="00C34BB3">
        <w:t>The</w:t>
      </w:r>
      <w:proofErr w:type="gramEnd"/>
      <w:r w:rsidRPr="00C34BB3">
        <w:t xml:space="preserve"> impacts of Miscanthus x </w:t>
      </w:r>
      <w:r>
        <w:tab/>
      </w:r>
      <w:r w:rsidRPr="00C34BB3">
        <w:t xml:space="preserve">giganteus production on the midwest US hydrologic cycle. </w:t>
      </w:r>
      <w:proofErr w:type="gramStart"/>
      <w:r w:rsidRPr="00C34BB3">
        <w:rPr>
          <w:i/>
        </w:rPr>
        <w:t>Glob.</w:t>
      </w:r>
      <w:proofErr w:type="gramEnd"/>
      <w:r w:rsidRPr="00C34BB3">
        <w:rPr>
          <w:i/>
        </w:rPr>
        <w:t xml:space="preserve"> Change Biol. </w:t>
      </w:r>
      <w:r w:rsidR="00182C99">
        <w:rPr>
          <w:i/>
        </w:rPr>
        <w:tab/>
      </w:r>
      <w:r w:rsidRPr="00C34BB3">
        <w:rPr>
          <w:i/>
        </w:rPr>
        <w:t>Bioenergy</w:t>
      </w:r>
      <w:r w:rsidRPr="00C34BB3">
        <w:t xml:space="preserve"> </w:t>
      </w:r>
      <w:r w:rsidRPr="00C34BB3">
        <w:rPr>
          <w:b/>
        </w:rPr>
        <w:t>2</w:t>
      </w:r>
      <w:r w:rsidR="00182C99">
        <w:t>, 180-191.</w:t>
      </w:r>
    </w:p>
    <w:p w:rsidR="00CD20B4" w:rsidRPr="00C34BB3" w:rsidRDefault="00CD20B4" w:rsidP="00CD20B4">
      <w:r w:rsidRPr="00C34BB3">
        <w:lastRenderedPageBreak/>
        <w:t xml:space="preserve">Vorosmarty, C.J., Green, P., Salisbury, J. &amp; Lammers, R.B. 2000 Global water </w:t>
      </w:r>
      <w:r>
        <w:tab/>
      </w:r>
      <w:r w:rsidRPr="00C34BB3">
        <w:t>resources:</w:t>
      </w:r>
      <w:r>
        <w:t xml:space="preserve"> vu</w:t>
      </w:r>
      <w:r w:rsidRPr="00C34BB3">
        <w:t>lnerability from climat</w:t>
      </w:r>
      <w:r>
        <w:t xml:space="preserve">e change and population growth.  </w:t>
      </w:r>
      <w:r w:rsidRPr="00C34BB3">
        <w:rPr>
          <w:i/>
        </w:rPr>
        <w:t>Science</w:t>
      </w:r>
      <w:r w:rsidRPr="00C34BB3">
        <w:t xml:space="preserve"> </w:t>
      </w:r>
      <w:r>
        <w:tab/>
      </w:r>
      <w:r w:rsidRPr="00C34BB3">
        <w:rPr>
          <w:b/>
        </w:rPr>
        <w:t>289</w:t>
      </w:r>
      <w:r w:rsidR="00182C99">
        <w:t>, 284-288.</w:t>
      </w:r>
    </w:p>
    <w:p w:rsidR="00CD20B4" w:rsidRPr="00C34BB3" w:rsidRDefault="00CD20B4" w:rsidP="00CD20B4">
      <w:r w:rsidRPr="00C34BB3">
        <w:t xml:space="preserve">Wagener, T., Sivapalan, M., Troch, P.A., McGlynn, B.L., Harman, C.J., Gupta, H.V., </w:t>
      </w:r>
      <w:r>
        <w:tab/>
      </w:r>
      <w:r w:rsidRPr="00C34BB3">
        <w:t xml:space="preserve">Kumar, P., Rao, P.S.C., Basu, N.B. &amp; Wilson, J.S. 2010 The future of </w:t>
      </w:r>
      <w:r>
        <w:tab/>
      </w:r>
      <w:r w:rsidRPr="00C34BB3">
        <w:t xml:space="preserve">hydrology: an evolving science for a changing world. </w:t>
      </w:r>
      <w:r w:rsidRPr="00C34BB3">
        <w:rPr>
          <w:i/>
        </w:rPr>
        <w:t xml:space="preserve">Water Resour. </w:t>
      </w:r>
      <w:proofErr w:type="gramStart"/>
      <w:r w:rsidRPr="00C34BB3">
        <w:rPr>
          <w:i/>
        </w:rPr>
        <w:t>Res.</w:t>
      </w:r>
      <w:r w:rsidRPr="00C34BB3">
        <w:t xml:space="preserve"> </w:t>
      </w:r>
      <w:r w:rsidRPr="00C34BB3">
        <w:rPr>
          <w:b/>
        </w:rPr>
        <w:t>46</w:t>
      </w:r>
      <w:r w:rsidRPr="00C34BB3">
        <w:t xml:space="preserve">, </w:t>
      </w:r>
      <w:r>
        <w:tab/>
      </w:r>
      <w:r w:rsidR="00182C99">
        <w:t>W05301.</w:t>
      </w:r>
      <w:proofErr w:type="gramEnd"/>
    </w:p>
    <w:p w:rsidR="00CD20B4" w:rsidRPr="00C34BB3" w:rsidRDefault="00CD20B4" w:rsidP="00182C99">
      <w:r w:rsidRPr="00C34BB3">
        <w:t xml:space="preserve">Wahl, K.L. &amp; Tortorelli, R.L. 1997 </w:t>
      </w:r>
      <w:r w:rsidRPr="00C34BB3">
        <w:rPr>
          <w:i/>
        </w:rPr>
        <w:t xml:space="preserve">Changes in Flow in the Beaver-North Canadian </w:t>
      </w:r>
      <w:r>
        <w:rPr>
          <w:i/>
        </w:rPr>
        <w:tab/>
      </w:r>
      <w:r w:rsidRPr="00C34BB3">
        <w:rPr>
          <w:i/>
        </w:rPr>
        <w:t>River Basin Upstream From Canton Lake, Western Oklahoma</w:t>
      </w:r>
      <w:r w:rsidRPr="00C34BB3">
        <w:t xml:space="preserve">. Water-Resources </w:t>
      </w:r>
      <w:r>
        <w:tab/>
      </w:r>
      <w:r w:rsidRPr="00C34BB3">
        <w:t xml:space="preserve">Investigations Report 96–4304. </w:t>
      </w:r>
      <w:proofErr w:type="gramStart"/>
      <w:r w:rsidRPr="00C34BB3">
        <w:t>U.S. Geologi</w:t>
      </w:r>
      <w:r w:rsidR="00182C99">
        <w:t>cal Survey, Oklahoma City, USA.</w:t>
      </w:r>
      <w:proofErr w:type="gramEnd"/>
    </w:p>
    <w:p w:rsidR="00CD20B4" w:rsidRPr="00C34BB3" w:rsidRDefault="00CD20B4" w:rsidP="00CD20B4">
      <w:r w:rsidRPr="00C34BB3">
        <w:t xml:space="preserve">Yang, X., Ren, L., Singh, V. P., Liu, X.,  Yuan, F., Jiang, S. &amp; Yong, B. 2012 Impacts </w:t>
      </w:r>
      <w:r>
        <w:tab/>
      </w:r>
      <w:r w:rsidRPr="00C34BB3">
        <w:t xml:space="preserve">of land use and land cover changes on evapotranspiration and runoff at </w:t>
      </w:r>
      <w:r>
        <w:tab/>
      </w:r>
      <w:r w:rsidRPr="00C34BB3">
        <w:t xml:space="preserve">Shalamulun River watershed, China. </w:t>
      </w:r>
      <w:proofErr w:type="gramStart"/>
      <w:r w:rsidRPr="00C34BB3">
        <w:rPr>
          <w:i/>
        </w:rPr>
        <w:t>Hydrol.</w:t>
      </w:r>
      <w:proofErr w:type="gramEnd"/>
      <w:r w:rsidRPr="00C34BB3">
        <w:rPr>
          <w:i/>
        </w:rPr>
        <w:t xml:space="preserve"> Res.</w:t>
      </w:r>
      <w:r w:rsidRPr="00C34BB3">
        <w:t xml:space="preserve">, </w:t>
      </w:r>
      <w:r w:rsidRPr="00C34BB3">
        <w:rPr>
          <w:b/>
        </w:rPr>
        <w:t>43</w:t>
      </w:r>
      <w:r w:rsidRPr="00C34BB3">
        <w:t>, 2</w:t>
      </w:r>
      <w:r w:rsidR="00182C99">
        <w:t>3-37.</w:t>
      </w:r>
    </w:p>
    <w:p w:rsidR="00CD20B4" w:rsidRPr="00C34BB3" w:rsidRDefault="00CD20B4" w:rsidP="00CD20B4">
      <w:proofErr w:type="gramStart"/>
      <w:r w:rsidRPr="00C34BB3">
        <w:t>Zume.</w:t>
      </w:r>
      <w:proofErr w:type="gramEnd"/>
      <w:r w:rsidRPr="00C34BB3">
        <w:t xml:space="preserve"> </w:t>
      </w:r>
      <w:proofErr w:type="gramStart"/>
      <w:r w:rsidRPr="00C34BB3">
        <w:t>J.T. &amp; Tarhule, A. 2006 Precipitation and streamfl</w:t>
      </w:r>
      <w:r w:rsidR="00182C99">
        <w:t xml:space="preserve">ow variability in Northwestern </w:t>
      </w:r>
      <w:r w:rsidR="00182C99">
        <w:tab/>
      </w:r>
      <w:r w:rsidRPr="00C34BB3">
        <w:t>Oklahoma, 1894-2003.</w:t>
      </w:r>
      <w:proofErr w:type="gramEnd"/>
      <w:r w:rsidRPr="00C34BB3">
        <w:t xml:space="preserve"> </w:t>
      </w:r>
      <w:r w:rsidRPr="00C34BB3">
        <w:rPr>
          <w:i/>
        </w:rPr>
        <w:t>Phys. Geogr.</w:t>
      </w:r>
      <w:r w:rsidRPr="00C34BB3">
        <w:t xml:space="preserve"> </w:t>
      </w:r>
      <w:r w:rsidRPr="00C34BB3">
        <w:rPr>
          <w:b/>
        </w:rPr>
        <w:t>27</w:t>
      </w:r>
      <w:r w:rsidR="00182C99">
        <w:t>, 1-17.</w:t>
      </w:r>
    </w:p>
    <w:p w:rsidR="00CD20B4" w:rsidRPr="00C34BB3" w:rsidRDefault="00CD20B4" w:rsidP="00CD20B4">
      <w:r w:rsidRPr="00C34BB3">
        <w:t xml:space="preserve">-------------------------------- 2008 </w:t>
      </w:r>
      <w:proofErr w:type="gramStart"/>
      <w:r w:rsidRPr="00C34BB3">
        <w:t>Simulating</w:t>
      </w:r>
      <w:proofErr w:type="gramEnd"/>
      <w:r w:rsidRPr="00C34BB3">
        <w:t xml:space="preserve"> the impacts of groundwater pumping on </w:t>
      </w:r>
      <w:r>
        <w:tab/>
      </w:r>
      <w:r w:rsidRPr="00C34BB3">
        <w:t xml:space="preserve">stream–aquifer dynamics in semiarid Northwestern Oklahoma, USA. </w:t>
      </w:r>
      <w:r>
        <w:tab/>
      </w:r>
      <w:proofErr w:type="gramStart"/>
      <w:r w:rsidRPr="00C34BB3">
        <w:rPr>
          <w:i/>
        </w:rPr>
        <w:t>Hydrogeol.</w:t>
      </w:r>
      <w:proofErr w:type="gramEnd"/>
      <w:r w:rsidRPr="00C34BB3">
        <w:rPr>
          <w:i/>
        </w:rPr>
        <w:t xml:space="preserve"> J. </w:t>
      </w:r>
      <w:r w:rsidRPr="00C34BB3">
        <w:rPr>
          <w:b/>
        </w:rPr>
        <w:t>16</w:t>
      </w:r>
      <w:r w:rsidRPr="00C34BB3">
        <w:t>, 797-810.</w:t>
      </w:r>
    </w:p>
    <w:p w:rsidR="00CD20B4" w:rsidRPr="00182C99" w:rsidRDefault="00CD20B4" w:rsidP="00182C99">
      <w:pPr>
        <w:rPr>
          <w:rStyle w:val="BookTitle"/>
          <w:b w:val="0"/>
          <w:bCs w:val="0"/>
          <w:smallCaps w:val="0"/>
          <w:spacing w:val="0"/>
        </w:rPr>
      </w:pPr>
      <w:r w:rsidRPr="00C34BB3">
        <w:t>-------------------------------- 2011 Modelling the resp</w:t>
      </w:r>
      <w:r w:rsidR="00182C99">
        <w:t xml:space="preserve">onse of an alluvial aquifer to </w:t>
      </w:r>
      <w:r w:rsidR="00182C99">
        <w:tab/>
      </w:r>
      <w:r w:rsidRPr="00C34BB3">
        <w:t xml:space="preserve">anthropogenic and recharge stresses in the United States Southern Great Plains. </w:t>
      </w:r>
      <w:r w:rsidR="00182C99">
        <w:tab/>
      </w:r>
      <w:r w:rsidRPr="00C34BB3">
        <w:rPr>
          <w:i/>
        </w:rPr>
        <w:t xml:space="preserve">J. Earth </w:t>
      </w:r>
      <w:r>
        <w:rPr>
          <w:i/>
        </w:rPr>
        <w:t xml:space="preserve">Sys. </w:t>
      </w:r>
      <w:r w:rsidRPr="00C34BB3">
        <w:rPr>
          <w:i/>
        </w:rPr>
        <w:t>Sci.</w:t>
      </w:r>
      <w:r w:rsidRPr="00C34BB3">
        <w:t xml:space="preserve"> </w:t>
      </w:r>
      <w:r w:rsidRPr="00C34BB3">
        <w:rPr>
          <w:b/>
        </w:rPr>
        <w:t>120</w:t>
      </w:r>
      <w:r w:rsidRPr="00C34BB3">
        <w:t>, 557-572</w:t>
      </w:r>
      <w:bookmarkStart w:id="151" w:name="_Toc362784351"/>
      <w:r w:rsidR="00701100">
        <w:t>.</w:t>
      </w:r>
      <w:r>
        <w:rPr>
          <w:rStyle w:val="BookTitle"/>
        </w:rPr>
        <w:br w:type="page"/>
      </w:r>
    </w:p>
    <w:p w:rsidR="00CD20B4" w:rsidRDefault="00CD20B4" w:rsidP="00CD20B4">
      <w:pPr>
        <w:pStyle w:val="Heading1"/>
        <w:jc w:val="center"/>
        <w:rPr>
          <w:sz w:val="28"/>
          <w:szCs w:val="28"/>
        </w:rPr>
      </w:pPr>
      <w:bookmarkStart w:id="152" w:name="_Toc364501652"/>
      <w:bookmarkStart w:id="153" w:name="_Toc368046183"/>
      <w:bookmarkEnd w:id="151"/>
      <w:r w:rsidRPr="00CE05DE">
        <w:rPr>
          <w:sz w:val="28"/>
          <w:szCs w:val="28"/>
        </w:rPr>
        <w:lastRenderedPageBreak/>
        <w:t xml:space="preserve">Chapter </w:t>
      </w:r>
      <w:r>
        <w:rPr>
          <w:sz w:val="28"/>
          <w:szCs w:val="28"/>
        </w:rPr>
        <w:t>4</w:t>
      </w:r>
      <w:r w:rsidRPr="00CE05DE">
        <w:rPr>
          <w:sz w:val="28"/>
          <w:szCs w:val="28"/>
        </w:rPr>
        <w:t>: Evaluating the Impacts of Climate Change and Switchgrass Production on a Semiarid Basin</w:t>
      </w:r>
      <w:bookmarkEnd w:id="152"/>
      <w:bookmarkEnd w:id="153"/>
    </w:p>
    <w:p w:rsidR="00A72614" w:rsidRPr="00A72614" w:rsidRDefault="00A72614" w:rsidP="00005D41">
      <w:pPr>
        <w:jc w:val="center"/>
        <w:rPr>
          <w:bCs/>
        </w:rPr>
      </w:pPr>
      <w:r w:rsidRPr="00A72614">
        <w:t xml:space="preserve">(In-review </w:t>
      </w:r>
      <w:r>
        <w:t>with</w:t>
      </w:r>
      <w:r w:rsidRPr="00A72614">
        <w:t xml:space="preserve"> </w:t>
      </w:r>
      <w:r w:rsidRPr="00BE2DDB">
        <w:rPr>
          <w:i/>
        </w:rPr>
        <w:t>Hydrological Processes</w:t>
      </w:r>
      <w:r w:rsidRPr="00A72614">
        <w:t>)</w:t>
      </w:r>
    </w:p>
    <w:p w:rsidR="00CD20B4" w:rsidRDefault="00CD20B4" w:rsidP="00005D41">
      <w:pPr>
        <w:jc w:val="center"/>
        <w:rPr>
          <w:bCs/>
          <w:u w:val="single"/>
        </w:rPr>
      </w:pPr>
    </w:p>
    <w:p w:rsidR="00CD20B4" w:rsidRPr="00AE5824" w:rsidRDefault="00CD20B4" w:rsidP="00005D41">
      <w:pPr>
        <w:jc w:val="center"/>
        <w:rPr>
          <w:bCs/>
        </w:rPr>
      </w:pPr>
      <w:r w:rsidRPr="00AE5824">
        <w:rPr>
          <w:bCs/>
        </w:rPr>
        <w:t>By:</w:t>
      </w:r>
    </w:p>
    <w:p w:rsidR="00CD20B4" w:rsidRPr="008F7C23" w:rsidRDefault="00CD20B4" w:rsidP="00005D41">
      <w:pPr>
        <w:jc w:val="center"/>
        <w:rPr>
          <w:bCs/>
          <w:u w:val="single"/>
        </w:rPr>
      </w:pPr>
    </w:p>
    <w:p w:rsidR="00CD20B4" w:rsidRDefault="00CD20B4" w:rsidP="00005D41">
      <w:pPr>
        <w:jc w:val="center"/>
        <w:rPr>
          <w:bCs/>
          <w:vertAlign w:val="superscript"/>
        </w:rPr>
      </w:pPr>
      <w:r w:rsidRPr="005532C0">
        <w:rPr>
          <w:bCs/>
        </w:rPr>
        <w:t>Justin C. Goldstein</w:t>
      </w:r>
      <w:r w:rsidRPr="005532C0">
        <w:rPr>
          <w:bCs/>
          <w:vertAlign w:val="superscript"/>
        </w:rPr>
        <w:t>1*</w:t>
      </w:r>
      <w:r w:rsidRPr="005532C0">
        <w:rPr>
          <w:bCs/>
        </w:rPr>
        <w:t xml:space="preserve"> and Aondover Tarhule</w:t>
      </w:r>
      <w:r w:rsidRPr="005532C0">
        <w:rPr>
          <w:bCs/>
          <w:vertAlign w:val="superscript"/>
        </w:rPr>
        <w:t>1</w:t>
      </w:r>
    </w:p>
    <w:p w:rsidR="00CD20B4" w:rsidRPr="005532C0" w:rsidRDefault="00CD20B4" w:rsidP="00CD20B4">
      <w:pPr>
        <w:jc w:val="center"/>
        <w:rPr>
          <w:bCs/>
          <w:vertAlign w:val="superscript"/>
        </w:rPr>
      </w:pPr>
    </w:p>
    <w:p w:rsidR="00CD20B4" w:rsidRPr="005532C0" w:rsidRDefault="00CD20B4" w:rsidP="00CD20B4">
      <w:pPr>
        <w:jc w:val="center"/>
        <w:rPr>
          <w:b/>
          <w:bCs/>
          <w:vertAlign w:val="superscript"/>
        </w:rPr>
      </w:pPr>
    </w:p>
    <w:p w:rsidR="00CD20B4" w:rsidRPr="005532C0" w:rsidRDefault="00CD20B4" w:rsidP="00CD20B4">
      <w:pPr>
        <w:jc w:val="center"/>
        <w:rPr>
          <w:bCs/>
          <w:i/>
        </w:rPr>
      </w:pPr>
    </w:p>
    <w:p w:rsidR="00CD20B4" w:rsidRDefault="00CD20B4" w:rsidP="00CD20B4">
      <w:pPr>
        <w:jc w:val="center"/>
        <w:rPr>
          <w:b/>
          <w:bCs/>
          <w:u w:val="single"/>
          <w:vertAlign w:val="superscript"/>
        </w:rPr>
      </w:pPr>
    </w:p>
    <w:p w:rsidR="00CD20B4" w:rsidRDefault="00CD20B4" w:rsidP="00CD20B4">
      <w:pPr>
        <w:jc w:val="center"/>
        <w:rPr>
          <w:b/>
          <w:bCs/>
          <w:u w:val="single"/>
          <w:vertAlign w:val="superscript"/>
        </w:rPr>
      </w:pPr>
    </w:p>
    <w:p w:rsidR="00CD20B4" w:rsidRPr="00051202" w:rsidRDefault="00CD20B4" w:rsidP="00CD20B4">
      <w:pPr>
        <w:rPr>
          <w:bCs/>
        </w:rPr>
      </w:pPr>
      <w:r w:rsidRPr="00051202">
        <w:rPr>
          <w:bCs/>
          <w:vertAlign w:val="superscript"/>
        </w:rPr>
        <w:t>*</w:t>
      </w:r>
      <w:r w:rsidRPr="00051202">
        <w:rPr>
          <w:bCs/>
        </w:rPr>
        <w:t xml:space="preserve"> Corresponding Author.  E-mail: </w:t>
      </w:r>
      <w:r w:rsidRPr="009974F9">
        <w:rPr>
          <w:bCs/>
        </w:rPr>
        <w:t>Justin.C.Goldstein-1@ou.edu</w:t>
      </w:r>
    </w:p>
    <w:p w:rsidR="00CD20B4" w:rsidRPr="00051202" w:rsidRDefault="00CD20B4" w:rsidP="00CD20B4">
      <w:pPr>
        <w:rPr>
          <w:bCs/>
        </w:rPr>
      </w:pPr>
    </w:p>
    <w:p w:rsidR="00CD20B4" w:rsidRPr="00051202" w:rsidRDefault="00CD20B4" w:rsidP="00CD20B4">
      <w:pPr>
        <w:rPr>
          <w:bCs/>
        </w:rPr>
      </w:pPr>
      <w:r w:rsidRPr="00051202">
        <w:rPr>
          <w:bCs/>
          <w:vertAlign w:val="superscript"/>
        </w:rPr>
        <w:t>1</w:t>
      </w:r>
      <w:r w:rsidRPr="00051202">
        <w:rPr>
          <w:bCs/>
        </w:rPr>
        <w:t>Department of Geography and Environmental Sustainability</w:t>
      </w:r>
    </w:p>
    <w:p w:rsidR="00CD20B4" w:rsidRPr="00051202" w:rsidRDefault="00CD20B4" w:rsidP="00CD20B4">
      <w:pPr>
        <w:rPr>
          <w:bCs/>
        </w:rPr>
      </w:pPr>
      <w:r w:rsidRPr="00051202">
        <w:rPr>
          <w:bCs/>
        </w:rPr>
        <w:t>University of Oklahoma</w:t>
      </w:r>
    </w:p>
    <w:p w:rsidR="00CD20B4" w:rsidRPr="00051202" w:rsidRDefault="00CD20B4" w:rsidP="00CD20B4">
      <w:pPr>
        <w:rPr>
          <w:bCs/>
        </w:rPr>
      </w:pPr>
      <w:r w:rsidRPr="00051202">
        <w:rPr>
          <w:bCs/>
        </w:rPr>
        <w:t>100 E. Boyd Street SEC Suite 510</w:t>
      </w:r>
    </w:p>
    <w:p w:rsidR="00CD20B4" w:rsidRPr="00051202" w:rsidRDefault="00CD20B4" w:rsidP="00CD20B4">
      <w:pPr>
        <w:rPr>
          <w:bCs/>
        </w:rPr>
      </w:pPr>
      <w:r w:rsidRPr="00051202">
        <w:rPr>
          <w:bCs/>
        </w:rPr>
        <w:t>Norman, OK 73019 USA</w:t>
      </w:r>
    </w:p>
    <w:p w:rsidR="00CD20B4" w:rsidRPr="00051202" w:rsidRDefault="00CD20B4" w:rsidP="00CD20B4">
      <w:pPr>
        <w:rPr>
          <w:bCs/>
        </w:rPr>
      </w:pPr>
      <w:r>
        <w:rPr>
          <w:bCs/>
        </w:rPr>
        <w:t>+1</w:t>
      </w:r>
      <w:r w:rsidRPr="00051202">
        <w:rPr>
          <w:bCs/>
        </w:rPr>
        <w:t>(405) 325-5325 phone</w:t>
      </w:r>
    </w:p>
    <w:p w:rsidR="00CD20B4" w:rsidRPr="00051202" w:rsidRDefault="00CD20B4" w:rsidP="00CD20B4">
      <w:pPr>
        <w:rPr>
          <w:bCs/>
        </w:rPr>
      </w:pPr>
      <w:r>
        <w:rPr>
          <w:bCs/>
        </w:rPr>
        <w:t>+1</w:t>
      </w:r>
      <w:r w:rsidRPr="00051202">
        <w:rPr>
          <w:bCs/>
        </w:rPr>
        <w:t>(405) 325-6090 FAX</w:t>
      </w:r>
    </w:p>
    <w:p w:rsidR="00CD20B4" w:rsidRDefault="00CD20B4" w:rsidP="00CD20B4">
      <w:pPr>
        <w:jc w:val="center"/>
        <w:rPr>
          <w:b/>
          <w:bCs/>
          <w:u w:val="single"/>
        </w:rPr>
      </w:pPr>
      <w:r>
        <w:rPr>
          <w:b/>
          <w:bCs/>
          <w:u w:val="single"/>
        </w:rPr>
        <w:br w:type="page"/>
      </w:r>
    </w:p>
    <w:p w:rsidR="00CD20B4" w:rsidRDefault="00EF5F07" w:rsidP="00CD20B4">
      <w:pPr>
        <w:pStyle w:val="Heading2"/>
      </w:pPr>
      <w:bookmarkStart w:id="154" w:name="_Toc364501653"/>
      <w:bookmarkStart w:id="155" w:name="_Toc368046184"/>
      <w:r>
        <w:lastRenderedPageBreak/>
        <w:t>Abstract</w:t>
      </w:r>
      <w:bookmarkEnd w:id="154"/>
      <w:bookmarkEnd w:id="155"/>
    </w:p>
    <w:p w:rsidR="00CD20B4" w:rsidRDefault="00CD20B4" w:rsidP="005D2319">
      <w:pPr>
        <w:spacing w:line="480" w:lineRule="auto"/>
      </w:pPr>
      <w:r w:rsidRPr="00E4083E">
        <w:t>Clim</w:t>
      </w:r>
      <w:r>
        <w:t xml:space="preserve">ate and land use change greatly modify hydrologic regimes.  In this paper, </w:t>
      </w:r>
      <w:r w:rsidR="00772BF2">
        <w:t xml:space="preserve">the </w:t>
      </w:r>
      <w:proofErr w:type="gramStart"/>
      <w:r w:rsidR="00772BF2">
        <w:t xml:space="preserve">impacts of biofuel </w:t>
      </w:r>
      <w:r>
        <w:t>cultivation in the US Great Plains on a 1061 km</w:t>
      </w:r>
      <w:r w:rsidRPr="00FD3D5A">
        <w:rPr>
          <w:vertAlign w:val="superscript"/>
        </w:rPr>
        <w:t>2</w:t>
      </w:r>
      <w:r>
        <w:t xml:space="preserve"> watershed </w:t>
      </w:r>
      <w:r w:rsidR="00772BF2">
        <w:t>was</w:t>
      </w:r>
      <w:proofErr w:type="gramEnd"/>
      <w:r w:rsidR="00772BF2">
        <w:t xml:space="preserve"> investigated </w:t>
      </w:r>
      <w:r>
        <w:t xml:space="preserve">using the SWAT hydrologic model.  The model was calibrated to monthly discharges spanning 2002-2010 and for the winter, spring, and summer seasons.  SWAT was then run for a climate change only scenario using downscaled precipitation and projected temperature </w:t>
      </w:r>
      <w:r w:rsidR="00BB441E">
        <w:t xml:space="preserve">projections </w:t>
      </w:r>
      <w:r>
        <w:t xml:space="preserve">for 16 GCM runs associated with the IPCC SRES </w:t>
      </w:r>
      <w:r w:rsidR="00BB441E">
        <w:t xml:space="preserve">A2 Scenario spanning 2040-2050.  </w:t>
      </w:r>
      <w:r>
        <w:t xml:space="preserve">Then, SWAT </w:t>
      </w:r>
      <w:r w:rsidR="00772BF2">
        <w:t xml:space="preserve">was run </w:t>
      </w:r>
      <w:r>
        <w:t>for a climate change plus land use change scenario in which Alamo switchgrass (</w:t>
      </w:r>
      <w:r w:rsidRPr="001841D9">
        <w:rPr>
          <w:i/>
          <w:iCs/>
        </w:rPr>
        <w:t>Panicum virgatum</w:t>
      </w:r>
      <w:r>
        <w:t xml:space="preserve"> L.) replaced native range grasses, winter wheat, and rye (89% of the basin).  For the climate change only scenario, the GCMs agreed on a monthly temperature increase of 1-2</w:t>
      </w:r>
      <w:r w:rsidRPr="0038177E">
        <w:rPr>
          <w:vertAlign w:val="superscript"/>
        </w:rPr>
        <w:t>O</w:t>
      </w:r>
      <w:r>
        <w:t xml:space="preserve">C by the 2042-2050 </w:t>
      </w:r>
      <w:proofErr w:type="gramStart"/>
      <w:r>
        <w:t>period</w:t>
      </w:r>
      <w:proofErr w:type="gramEnd"/>
      <w:r>
        <w:t xml:space="preserve">, but they disagreed on the direction of change in precipitation.  For this scenario, changes in surface runoff during all three seasons, and spring and summer evapotranspiration were driven predominantly by precipitation.  Increased summer temperatures also significantly contributed to changes in </w:t>
      </w:r>
      <w:proofErr w:type="gramStart"/>
      <w:r>
        <w:t>eT</w:t>
      </w:r>
      <w:proofErr w:type="gramEnd"/>
      <w:r>
        <w:t>.</w:t>
      </w:r>
      <w:r w:rsidRPr="00051202">
        <w:t xml:space="preserve">  </w:t>
      </w:r>
      <w:r>
        <w:t xml:space="preserve">With the addition of switchgrass, changes in surface runoff are amplified during the winter and summer and changes in </w:t>
      </w:r>
      <w:proofErr w:type="gramStart"/>
      <w:r>
        <w:t>eT</w:t>
      </w:r>
      <w:proofErr w:type="gramEnd"/>
      <w:r>
        <w:t xml:space="preserve"> are amplified during all three seasons. Depending on the GCM utilized, either climate change or land use change (switchgrass cultivation) was the dominant driver of change in surface runoff while switchgrass cultivation was the major driver of changes in </w:t>
      </w:r>
      <w:proofErr w:type="gramStart"/>
      <w:r>
        <w:t>eT</w:t>
      </w:r>
      <w:proofErr w:type="gramEnd"/>
      <w:r>
        <w:t>.</w:t>
      </w:r>
      <w:r w:rsidR="005D2319">
        <w:t xml:space="preserve">  </w:t>
      </w:r>
    </w:p>
    <w:p w:rsidR="00CD20B4" w:rsidRDefault="007550E3" w:rsidP="007550E3">
      <w:pPr>
        <w:spacing w:line="480" w:lineRule="auto"/>
      </w:pPr>
      <w:r>
        <w:rPr>
          <w:b/>
        </w:rPr>
        <w:t>Keyw</w:t>
      </w:r>
      <w:r w:rsidRPr="007550E3">
        <w:rPr>
          <w:b/>
        </w:rPr>
        <w:t>ords</w:t>
      </w:r>
      <w:r w:rsidR="00CD20B4">
        <w:t xml:space="preserve">:  </w:t>
      </w:r>
      <w:r>
        <w:t>A</w:t>
      </w:r>
      <w:r w:rsidR="00CD20B4">
        <w:t xml:space="preserve">griculture; </w:t>
      </w:r>
      <w:r>
        <w:t>B</w:t>
      </w:r>
      <w:r w:rsidR="00CD20B4">
        <w:t xml:space="preserve">iofuels; </w:t>
      </w:r>
      <w:r>
        <w:t>C</w:t>
      </w:r>
      <w:r w:rsidR="00CD20B4">
        <w:t xml:space="preserve">limate </w:t>
      </w:r>
      <w:r>
        <w:t>C</w:t>
      </w:r>
      <w:r w:rsidR="00CD20B4">
        <w:t xml:space="preserve">hange; </w:t>
      </w:r>
      <w:r>
        <w:t>L</w:t>
      </w:r>
      <w:r w:rsidR="00CD20B4">
        <w:t xml:space="preserve">and </w:t>
      </w:r>
      <w:r>
        <w:t>U</w:t>
      </w:r>
      <w:r w:rsidR="00CD20B4">
        <w:t xml:space="preserve">se change; </w:t>
      </w:r>
      <w:r>
        <w:t>S</w:t>
      </w:r>
      <w:r w:rsidR="00CD20B4">
        <w:t xml:space="preserve">emi-arid regions; Soil and Water Assessment Tool (SWAT); </w:t>
      </w:r>
      <w:r>
        <w:t>S</w:t>
      </w:r>
      <w:r w:rsidR="00CD20B4">
        <w:t>witchgrass</w:t>
      </w:r>
    </w:p>
    <w:p w:rsidR="00CD20B4" w:rsidRPr="000F6D10" w:rsidRDefault="00CD20B4" w:rsidP="00CD20B4">
      <w:pPr>
        <w:pStyle w:val="Heading2"/>
      </w:pPr>
      <w:r>
        <w:br w:type="page"/>
      </w:r>
      <w:bookmarkStart w:id="156" w:name="_Toc364501654"/>
      <w:bookmarkStart w:id="157" w:name="_Toc368046185"/>
      <w:r w:rsidR="005D2319">
        <w:lastRenderedPageBreak/>
        <w:t>4.1:</w:t>
      </w:r>
      <w:r w:rsidRPr="000F6D10">
        <w:t xml:space="preserve"> </w:t>
      </w:r>
      <w:r w:rsidR="006F29EA">
        <w:t>Introduction and Objective</w:t>
      </w:r>
      <w:bookmarkEnd w:id="156"/>
      <w:bookmarkEnd w:id="157"/>
    </w:p>
    <w:p w:rsidR="00CD20B4" w:rsidRDefault="00CD20B4" w:rsidP="00CD20B4">
      <w:pPr>
        <w:autoSpaceDE w:val="0"/>
        <w:autoSpaceDN w:val="0"/>
        <w:adjustRightInd w:val="0"/>
        <w:spacing w:line="480" w:lineRule="auto"/>
      </w:pPr>
      <w:r>
        <w:t xml:space="preserve">     The importance of climate and land use change to global hydrologic systems cannot be understated (Vorosmarty </w:t>
      </w:r>
      <w:r w:rsidRPr="00745C65">
        <w:rPr>
          <w:i/>
          <w:iCs/>
        </w:rPr>
        <w:t>et al.</w:t>
      </w:r>
      <w:r w:rsidRPr="00745C65">
        <w:t xml:space="preserve">, </w:t>
      </w:r>
      <w:r>
        <w:t xml:space="preserve">2000; Bronstert, </w:t>
      </w:r>
      <w:r w:rsidRPr="0044746C">
        <w:t>2004</w:t>
      </w:r>
      <w:r>
        <w:t xml:space="preserve">; </w:t>
      </w:r>
      <w:r>
        <w:rPr>
          <w:rStyle w:val="sourcedisplay"/>
        </w:rPr>
        <w:t>Praskievicz and Chang, 2009)</w:t>
      </w:r>
      <w:r>
        <w:t xml:space="preserve">.  While the patterns of interactions and pathways of causal effects are broadly known (e.g. higher temperatures will lead to an intensification of the hydrologic cycle), knowledge remains inadequate and uneven regarding the dynamics, magnitudes, and timing of impacts at location- and site-specific contexts.  Practical and theoretical considerations suggest an urgent need for improving such understanding.   For example, non-stationarities introduced by climate and land use change changes may invalidate assumptions inherent in using past hydroclimatic behavior as a basis for future water resources analysis, planning, and management (see, Milly </w:t>
      </w:r>
      <w:r w:rsidRPr="00745C65">
        <w:rPr>
          <w:i/>
          <w:iCs/>
        </w:rPr>
        <w:t>et al.</w:t>
      </w:r>
      <w:r>
        <w:t xml:space="preserve">, 2008; Brown, 2010; Steinschneider and Brown, 2012). </w:t>
      </w:r>
    </w:p>
    <w:p w:rsidR="00CD20B4" w:rsidRDefault="00CD20B4" w:rsidP="00CD20B4">
      <w:pPr>
        <w:spacing w:line="480" w:lineRule="auto"/>
      </w:pPr>
      <w:r>
        <w:t xml:space="preserve">     Consequently, </w:t>
      </w:r>
      <w:r>
        <w:rPr>
          <w:rFonts w:eastAsia="Times New Roman"/>
        </w:rPr>
        <w:t>several</w:t>
      </w:r>
      <w:r w:rsidRPr="0044746C">
        <w:rPr>
          <w:rFonts w:eastAsia="Times New Roman"/>
        </w:rPr>
        <w:t xml:space="preserve"> studies have investigated </w:t>
      </w:r>
      <w:r>
        <w:rPr>
          <w:rFonts w:eastAsia="Times New Roman"/>
        </w:rPr>
        <w:t xml:space="preserve">hydrologic responses to the combined impacts of possible future </w:t>
      </w:r>
      <w:r w:rsidRPr="0044746C">
        <w:rPr>
          <w:rFonts w:eastAsia="Times New Roman"/>
        </w:rPr>
        <w:t>climate and land use change</w:t>
      </w:r>
      <w:r>
        <w:rPr>
          <w:rFonts w:eastAsia="Times New Roman"/>
        </w:rPr>
        <w:t xml:space="preserve">.  A common approach is to consider various combinations of the Intergovernmental Panel on Climate Change (IPCC) SRES scenarios (Intergovernmental Panel on Climate Change, 2000 p. 4) as well as a range of land use change scenarios.  For example, </w:t>
      </w:r>
      <w:r w:rsidRPr="0044746C">
        <w:t xml:space="preserve">Ma </w:t>
      </w:r>
      <w:r w:rsidRPr="00745C65">
        <w:rPr>
          <w:i/>
          <w:iCs/>
        </w:rPr>
        <w:t>et al.</w:t>
      </w:r>
      <w:r w:rsidRPr="00745C65">
        <w:t xml:space="preserve"> </w:t>
      </w:r>
      <w:r w:rsidRPr="0044746C">
        <w:t xml:space="preserve">(2010) investigated the impacts of climate change and future land use in the Kejie watershed </w:t>
      </w:r>
      <w:r>
        <w:t xml:space="preserve">in Southwest China </w:t>
      </w:r>
      <w:r w:rsidRPr="0044746C">
        <w:t xml:space="preserve">using the A2 and B2 </w:t>
      </w:r>
      <w:r>
        <w:t xml:space="preserve">emission </w:t>
      </w:r>
      <w:r w:rsidRPr="0044746C">
        <w:t>scenarios and four land use scenarios:</w:t>
      </w:r>
      <w:r>
        <w:t xml:space="preserve"> </w:t>
      </w:r>
      <w:r w:rsidRPr="0044746C">
        <w:t>grassland, cropland, increased forest</w:t>
      </w:r>
      <w:r>
        <w:t>,</w:t>
      </w:r>
      <w:r w:rsidRPr="0044746C">
        <w:t xml:space="preserve"> or urban areas</w:t>
      </w:r>
      <w:r>
        <w:t xml:space="preserve">. Using the Soil and Water Assessment Tool (SWAT) Hydrologic Model and a base period of 1965-2005, the authors found that from 2010 to 2069, the impacts of land use dominate streamflow </w:t>
      </w:r>
      <w:r>
        <w:lastRenderedPageBreak/>
        <w:t xml:space="preserve">response relative to the </w:t>
      </w:r>
      <w:r w:rsidRPr="0044746C">
        <w:t xml:space="preserve">two climate change </w:t>
      </w:r>
      <w:r>
        <w:t>scenarios.  From 2070-2099</w:t>
      </w:r>
      <w:r w:rsidRPr="0044746C">
        <w:t>,</w:t>
      </w:r>
      <w:r>
        <w:t xml:space="preserve"> however,</w:t>
      </w:r>
      <w:r w:rsidRPr="0044746C">
        <w:t xml:space="preserve"> climate change dominates. </w:t>
      </w:r>
      <w:r>
        <w:t xml:space="preserve"> </w:t>
      </w:r>
      <w:r w:rsidRPr="0044746C">
        <w:t xml:space="preserve">Viger </w:t>
      </w:r>
      <w:r w:rsidRPr="00745C65">
        <w:rPr>
          <w:i/>
          <w:iCs/>
        </w:rPr>
        <w:t>et al</w:t>
      </w:r>
      <w:r>
        <w:rPr>
          <w:i/>
          <w:iCs/>
        </w:rPr>
        <w:t>. (</w:t>
      </w:r>
      <w:r w:rsidRPr="0044746C">
        <w:t>2011) investigated the impacts of future climate change and urbanization on water availability in the Flint River Basin in the Southeastern U</w:t>
      </w:r>
      <w:r>
        <w:t xml:space="preserve">nited </w:t>
      </w:r>
      <w:r w:rsidRPr="0044746C">
        <w:t>S</w:t>
      </w:r>
      <w:r>
        <w:t>tates</w:t>
      </w:r>
      <w:r w:rsidRPr="0044746C">
        <w:t xml:space="preserve"> through 2050</w:t>
      </w:r>
      <w:r>
        <w:t xml:space="preserve"> using the Precipitation-Runoff Modeling System hydrologic model</w:t>
      </w:r>
      <w:r w:rsidRPr="0044746C">
        <w:t xml:space="preserve">.  </w:t>
      </w:r>
      <w:r>
        <w:t xml:space="preserve">The inputs to the model were downscaled outputs from five GCMs and changes in urbanization extent predicted by the </w:t>
      </w:r>
      <w:r>
        <w:rPr>
          <w:rFonts w:ascii="AdvPSA88A" w:hAnsi="AdvPSA88A" w:cs="AdvPSA88A"/>
        </w:rPr>
        <w:t>Forecasting Scenarios of Future Land-Cover</w:t>
      </w:r>
      <w:r w:rsidRPr="0044746C">
        <w:t xml:space="preserve"> </w:t>
      </w:r>
      <w:r>
        <w:t xml:space="preserve">Model.  </w:t>
      </w:r>
      <w:r w:rsidRPr="0044746C">
        <w:t xml:space="preserve">They found that </w:t>
      </w:r>
      <w:r>
        <w:t xml:space="preserve">increased surface runoff resulting from </w:t>
      </w:r>
      <w:r w:rsidRPr="0044746C">
        <w:t xml:space="preserve">urbanization will </w:t>
      </w:r>
      <w:r>
        <w:t>offset the decreased runoff associated with climate change, resulting in a small gain in surface runoff</w:t>
      </w:r>
      <w:r w:rsidRPr="0044746C">
        <w:t>.</w:t>
      </w:r>
      <w:r>
        <w:t xml:space="preserve">  Additionally, the reduction in evapotranspiration resulting from a combination of urbanization is not as strong as that resulting solely from urbanization.  Underscoring the significance of location and land use context, </w:t>
      </w:r>
      <w:r w:rsidRPr="0044746C">
        <w:t xml:space="preserve">Franczyk and Chang (2009) </w:t>
      </w:r>
      <w:r>
        <w:t>used SWAT to assess</w:t>
      </w:r>
      <w:r w:rsidRPr="0044746C">
        <w:t xml:space="preserve"> the impacts of climate change and future urbanization on the hydrology of the Rock Creek Basin, Oregon USA, </w:t>
      </w:r>
      <w:r>
        <w:t xml:space="preserve">for the period 2039-2059.  They used the results from the ECHAM5 GCM for the IPCC A1B scenario, and three land use scenarios ranging from increased low-density land use to high density development.  While the combination of climate change and low-density development generated the largest change in mean annual runoff depth relative to the 1973-2002 reference </w:t>
      </w:r>
      <w:proofErr w:type="gramStart"/>
      <w:r>
        <w:t>period</w:t>
      </w:r>
      <w:proofErr w:type="gramEnd"/>
      <w:r>
        <w:t xml:space="preserve">, the combination of climate change and high-density development netted the smallest change in mean annual runoff relative to observed period. </w:t>
      </w:r>
    </w:p>
    <w:p w:rsidR="00CD20B4" w:rsidRDefault="00CD20B4" w:rsidP="00CD20B4">
      <w:pPr>
        <w:spacing w:line="480" w:lineRule="auto"/>
        <w:rPr>
          <w:rStyle w:val="sourcedisplay"/>
        </w:rPr>
      </w:pPr>
      <w:r>
        <w:t xml:space="preserve">     Whereas the above cited studies have generally found land use to be the dominant driver of hydrologic response, others have found the opposite (i.e. climate change as predominant over land use change).  For example, </w:t>
      </w:r>
      <w:r w:rsidRPr="0044746C">
        <w:rPr>
          <w:rStyle w:val="sourcedisplay"/>
        </w:rPr>
        <w:t xml:space="preserve">Praskievicz and Chang (2011) </w:t>
      </w:r>
      <w:r w:rsidRPr="0044746C">
        <w:rPr>
          <w:rStyle w:val="sourcedisplay"/>
        </w:rPr>
        <w:lastRenderedPageBreak/>
        <w:t>investigated the relative impacts of climate and land use change in the Tualatin River Basin</w:t>
      </w:r>
      <w:r>
        <w:rPr>
          <w:rStyle w:val="sourcedisplay"/>
        </w:rPr>
        <w:t xml:space="preserve"> in the Northwestern United States</w:t>
      </w:r>
      <w:r w:rsidRPr="0044746C">
        <w:rPr>
          <w:rStyle w:val="sourcedisplay"/>
        </w:rPr>
        <w:t xml:space="preserve"> using </w:t>
      </w:r>
      <w:r>
        <w:rPr>
          <w:rStyle w:val="sourcedisplay"/>
        </w:rPr>
        <w:t>eight</w:t>
      </w:r>
      <w:r w:rsidRPr="0044746C">
        <w:rPr>
          <w:rStyle w:val="sourcedisplay"/>
        </w:rPr>
        <w:t xml:space="preserve"> downscaled climate change scenarios</w:t>
      </w:r>
      <w:r>
        <w:rPr>
          <w:rStyle w:val="sourcedisplay"/>
        </w:rPr>
        <w:t xml:space="preserve"> and </w:t>
      </w:r>
      <w:r w:rsidRPr="0044746C">
        <w:rPr>
          <w:rStyle w:val="sourcedisplay"/>
        </w:rPr>
        <w:t>two land use scenarios</w:t>
      </w:r>
      <w:r>
        <w:rPr>
          <w:rStyle w:val="sourcedisplay"/>
        </w:rPr>
        <w:t xml:space="preserve"> during the 2040s and 2070s.  The land use scenarios included (1) a market-oriented approach to urban development in which urbanization extends beyond current urban growth boundaries and (2) and a conservation-based approach in which population expands within current urban areas.  They also considered</w:t>
      </w:r>
      <w:r w:rsidRPr="0044746C">
        <w:rPr>
          <w:rStyle w:val="sourcedisplay"/>
        </w:rPr>
        <w:t xml:space="preserve"> four scenarios combining climate and land use change.  </w:t>
      </w:r>
      <w:r>
        <w:rPr>
          <w:rStyle w:val="sourcedisplay"/>
        </w:rPr>
        <w:t>The authors evaluated first the impact of climate change, assuming no change in land use, followed by the impacts of land use change, assuming no change in climate, and then, finally, the joint impacts of climate and land use change.  The</w:t>
      </w:r>
      <w:r w:rsidRPr="0044746C">
        <w:rPr>
          <w:rStyle w:val="sourcedisplay"/>
        </w:rPr>
        <w:t xml:space="preserve"> scenario in which climate change is c</w:t>
      </w:r>
      <w:r>
        <w:rPr>
          <w:rStyle w:val="sourcedisplay"/>
        </w:rPr>
        <w:t>ombined with a market oriented approach resulted in</w:t>
      </w:r>
      <w:r w:rsidRPr="0044746C">
        <w:rPr>
          <w:rStyle w:val="sourcedisplay"/>
        </w:rPr>
        <w:t xml:space="preserve"> </w:t>
      </w:r>
      <w:r>
        <w:rPr>
          <w:rStyle w:val="sourcedisplay"/>
        </w:rPr>
        <w:t xml:space="preserve">a 71% increase in winter streamflow and a 48% decrease in summer flow.  </w:t>
      </w:r>
      <w:r w:rsidRPr="0044746C">
        <w:rPr>
          <w:rStyle w:val="sourcedisplay"/>
        </w:rPr>
        <w:t>Because the results of the combined scenarios closely resemble those from the climate change scenarios, the</w:t>
      </w:r>
      <w:r>
        <w:rPr>
          <w:rStyle w:val="sourcedisplay"/>
        </w:rPr>
        <w:t xml:space="preserve"> authors</w:t>
      </w:r>
      <w:r w:rsidRPr="0044746C">
        <w:rPr>
          <w:rStyle w:val="sourcedisplay"/>
        </w:rPr>
        <w:t xml:space="preserve"> conclude</w:t>
      </w:r>
      <w:r>
        <w:rPr>
          <w:rStyle w:val="sourcedisplay"/>
        </w:rPr>
        <w:t>d</w:t>
      </w:r>
      <w:r w:rsidRPr="0044746C">
        <w:rPr>
          <w:rStyle w:val="sourcedisplay"/>
        </w:rPr>
        <w:t xml:space="preserve"> that climate change is more important than land use change in governing hydrologic response.</w:t>
      </w:r>
      <w:r>
        <w:rPr>
          <w:rStyle w:val="sourcedisplay"/>
        </w:rPr>
        <w:t xml:space="preserve">  Similarly, Montenegro and Ragab (2012) investigated the impacts of climate change on the hydrology of the Tapacura Basin in Northeast Brazil for three future time periods: 2010-2039, 2040-2069, and 2070-2099, relative to 2004-2007, using the A2 and B1 IPCC scenarios.  A short baseline period was used because of a lack of rainfall data.  Regarding climate change, they found increases in surface flow of 25.3%, 39.5%, and 22.0% respectively for each of the three periods under the A2 scenario but reductions of 4.89%, 14.28%, and 20.58% under the B1 scenario.  In a separate exercise, the authors evaluated the impacts of land use change relative to the baseline period of 2004-2007.  In this analysis, they concluded that </w:t>
      </w:r>
      <w:r>
        <w:rPr>
          <w:rStyle w:val="sourcedisplay"/>
        </w:rPr>
        <w:lastRenderedPageBreak/>
        <w:t xml:space="preserve">reforesting 33.3% of the basin results in decreased streamflows of 2.7%, possibly as a result of enhanced evapotranspiration losses and groundwater recharge. </w:t>
      </w:r>
      <w:proofErr w:type="gramStart"/>
      <w:r>
        <w:rPr>
          <w:rStyle w:val="sourcedisplay"/>
        </w:rPr>
        <w:t>On the other hand, replacing irrigation-dependent vegetable production with sugarcane cultivation in 54% of the watershed results in a 5% increase in streamflow.</w:t>
      </w:r>
      <w:proofErr w:type="gramEnd"/>
      <w:r>
        <w:rPr>
          <w:rStyle w:val="sourcedisplay"/>
        </w:rPr>
        <w:t xml:space="preserve">  </w:t>
      </w:r>
    </w:p>
    <w:p w:rsidR="00CD20B4" w:rsidRDefault="00CD20B4" w:rsidP="00CD20B4">
      <w:pPr>
        <w:autoSpaceDE w:val="0"/>
        <w:autoSpaceDN w:val="0"/>
        <w:adjustRightInd w:val="0"/>
        <w:spacing w:line="480" w:lineRule="auto"/>
      </w:pPr>
      <w:r>
        <w:rPr>
          <w:rStyle w:val="sourcedisplay"/>
        </w:rPr>
        <w:t xml:space="preserve">     A much-discussed form of land use change in the twenty-first century is land conversion for cultivation of biofuel crops (e.g. Searchinger </w:t>
      </w:r>
      <w:r w:rsidRPr="00745C65">
        <w:rPr>
          <w:rStyle w:val="sourcedisplay"/>
          <w:i/>
          <w:iCs/>
        </w:rPr>
        <w:t>et al.</w:t>
      </w:r>
      <w:r w:rsidRPr="00745C65">
        <w:rPr>
          <w:rStyle w:val="sourcedisplay"/>
        </w:rPr>
        <w:t xml:space="preserve">, </w:t>
      </w:r>
      <w:r>
        <w:rPr>
          <w:rStyle w:val="sourcedisplay"/>
        </w:rPr>
        <w:t xml:space="preserve">2008; Hertel </w:t>
      </w:r>
      <w:r w:rsidRPr="00745C65">
        <w:rPr>
          <w:rStyle w:val="sourcedisplay"/>
          <w:i/>
          <w:iCs/>
        </w:rPr>
        <w:t>et al.</w:t>
      </w:r>
      <w:r w:rsidRPr="00745C65">
        <w:rPr>
          <w:rStyle w:val="sourcedisplay"/>
        </w:rPr>
        <w:t xml:space="preserve">, </w:t>
      </w:r>
      <w:r>
        <w:rPr>
          <w:rStyle w:val="sourcedisplay"/>
        </w:rPr>
        <w:t xml:space="preserve">2010; Djomo and </w:t>
      </w:r>
      <w:r w:rsidRPr="00C2171F">
        <w:t>Ceulemans</w:t>
      </w:r>
      <w:r>
        <w:t>,</w:t>
      </w:r>
      <w:r w:rsidRPr="00C2171F">
        <w:t xml:space="preserve"> </w:t>
      </w:r>
      <w:r>
        <w:t xml:space="preserve">2012; </w:t>
      </w:r>
      <w:r>
        <w:rPr>
          <w:rStyle w:val="sourcedisplay"/>
        </w:rPr>
        <w:t xml:space="preserve">Sohl </w:t>
      </w:r>
      <w:r w:rsidRPr="00745C65">
        <w:rPr>
          <w:rStyle w:val="sourcedisplay"/>
          <w:i/>
          <w:iCs/>
        </w:rPr>
        <w:t>et al.</w:t>
      </w:r>
      <w:r w:rsidRPr="00745C65">
        <w:rPr>
          <w:rStyle w:val="sourcedisplay"/>
        </w:rPr>
        <w:t xml:space="preserve">, </w:t>
      </w:r>
      <w:r>
        <w:rPr>
          <w:rStyle w:val="sourcedisplay"/>
        </w:rPr>
        <w:t xml:space="preserve">2012).  Several studies have concluded that biofuel crop production significantly changes water balances even in the absence of climate change.  For example, Demissie </w:t>
      </w:r>
      <w:r w:rsidRPr="00745C65">
        <w:rPr>
          <w:rStyle w:val="sourcedisplay"/>
          <w:i/>
          <w:iCs/>
        </w:rPr>
        <w:t>et al</w:t>
      </w:r>
      <w:r>
        <w:rPr>
          <w:rStyle w:val="sourcedisplay"/>
          <w:i/>
          <w:iCs/>
        </w:rPr>
        <w:t xml:space="preserve">. </w:t>
      </w:r>
      <w:r w:rsidRPr="008F7C23">
        <w:rPr>
          <w:rStyle w:val="sourcedisplay"/>
          <w:iCs/>
        </w:rPr>
        <w:t>(</w:t>
      </w:r>
      <w:r>
        <w:rPr>
          <w:rStyle w:val="sourcedisplay"/>
        </w:rPr>
        <w:t xml:space="preserve">2012) evaluated the impacts of potential biofuel production in the Upper Mississippi River Basin, USA for the year 2022, </w:t>
      </w:r>
      <w:proofErr w:type="gramStart"/>
      <w:r>
        <w:rPr>
          <w:rStyle w:val="sourcedisplay"/>
        </w:rPr>
        <w:t>using</w:t>
      </w:r>
      <w:proofErr w:type="gramEnd"/>
      <w:r>
        <w:rPr>
          <w:rStyle w:val="sourcedisplay"/>
        </w:rPr>
        <w:t xml:space="preserve"> SWAT.  They found that biofuel production generated a 1 to 2% increase in evapotranspiration and a 5% decrease in streamflow relative to the baseline year (2006).  Likewise, </w:t>
      </w:r>
      <w:r w:rsidRPr="008211C9">
        <w:t xml:space="preserve">Schilling </w:t>
      </w:r>
      <w:r w:rsidRPr="00745C65">
        <w:rPr>
          <w:i/>
          <w:iCs/>
        </w:rPr>
        <w:t>et al</w:t>
      </w:r>
      <w:r>
        <w:rPr>
          <w:i/>
          <w:iCs/>
        </w:rPr>
        <w:t>. (</w:t>
      </w:r>
      <w:r w:rsidRPr="008211C9">
        <w:t xml:space="preserve">2008) </w:t>
      </w:r>
      <w:r>
        <w:t>used SWAT to simulate</w:t>
      </w:r>
      <w:r w:rsidRPr="008211C9">
        <w:t xml:space="preserve"> the impact of various land use </w:t>
      </w:r>
      <w:r>
        <w:t>management patterns</w:t>
      </w:r>
      <w:r w:rsidRPr="008211C9">
        <w:t xml:space="preserve"> </w:t>
      </w:r>
      <w:r>
        <w:t xml:space="preserve">involving biofuel production in the Raccoon watershed in Iowa, USA, </w:t>
      </w:r>
      <w:proofErr w:type="gramStart"/>
      <w:r>
        <w:t>a</w:t>
      </w:r>
      <w:proofErr w:type="gramEnd"/>
      <w:r>
        <w:t xml:space="preserve"> sub-basin of the Upper Mississippi River Basin.  </w:t>
      </w:r>
      <w:r w:rsidRPr="008211C9">
        <w:t xml:space="preserve">They </w:t>
      </w:r>
      <w:r>
        <w:t>created</w:t>
      </w:r>
      <w:r w:rsidRPr="008211C9">
        <w:t xml:space="preserve"> nine scenarios, ranging from an expansion of corn acreage </w:t>
      </w:r>
      <w:r>
        <w:t>solely on US Department of Agriculture lands to the emergence of switchgrass (</w:t>
      </w:r>
      <w:r w:rsidRPr="007E7918">
        <w:rPr>
          <w:i/>
          <w:iCs/>
        </w:rPr>
        <w:t>Panicum virgatum</w:t>
      </w:r>
      <w:r>
        <w:t xml:space="preserve"> L.) as the dominant biofuel crop in the basin.  The results showed that converting grassland to corn decreased</w:t>
      </w:r>
      <w:r w:rsidRPr="008211C9">
        <w:t xml:space="preserve"> mean annual evapotranspiration </w:t>
      </w:r>
      <w:r>
        <w:t>from 610 mm to 603 mm (1.1%)</w:t>
      </w:r>
      <w:r w:rsidRPr="008211C9">
        <w:t xml:space="preserve"> and incr</w:t>
      </w:r>
      <w:r>
        <w:t>eased</w:t>
      </w:r>
      <w:r w:rsidRPr="008211C9">
        <w:t xml:space="preserve"> mean </w:t>
      </w:r>
      <w:r>
        <w:t xml:space="preserve">annual runoff from 84 mm to 91 mm (8.3%).  In contrast, </w:t>
      </w:r>
      <w:r w:rsidRPr="008211C9">
        <w:t>conver</w:t>
      </w:r>
      <w:r>
        <w:t>ting</w:t>
      </w:r>
      <w:r w:rsidRPr="008211C9">
        <w:t xml:space="preserve"> </w:t>
      </w:r>
      <w:r>
        <w:t xml:space="preserve">all </w:t>
      </w:r>
      <w:r w:rsidRPr="008211C9">
        <w:t xml:space="preserve">cropland </w:t>
      </w:r>
      <w:r>
        <w:t xml:space="preserve">in the basin </w:t>
      </w:r>
      <w:r w:rsidRPr="008211C9">
        <w:t xml:space="preserve">to </w:t>
      </w:r>
      <w:r>
        <w:t>switchgrass increased</w:t>
      </w:r>
      <w:r w:rsidRPr="008211C9">
        <w:t xml:space="preserve"> mean annual evapotranspiration </w:t>
      </w:r>
      <w:r>
        <w:t>from 610 mm to 668 mm (9.5</w:t>
      </w:r>
      <w:r w:rsidRPr="008211C9">
        <w:t>%</w:t>
      </w:r>
      <w:r>
        <w:t>)</w:t>
      </w:r>
      <w:r w:rsidRPr="008211C9">
        <w:t xml:space="preserve"> </w:t>
      </w:r>
      <w:r>
        <w:t>and decreased</w:t>
      </w:r>
      <w:r w:rsidRPr="008211C9">
        <w:t xml:space="preserve"> mean annual runoff </w:t>
      </w:r>
      <w:r>
        <w:t xml:space="preserve">from 84 mm to 37 mm (-56.0%).  Due to these opposite impacts based solely on the crop planted, the authors deduced that the </w:t>
      </w:r>
      <w:r>
        <w:lastRenderedPageBreak/>
        <w:t xml:space="preserve">type of biofuel crop planted will govern the responses of watersheds in the Upper Midwest of the United States.  They concluded however that regardless of the type of biofuel crop planted, the water balance of such watersheds will be seriously impacted.  Similarly, in an investigation of the impacts of switchgrass cultivation on the water balance of the Delaware River Basin in Eastern, Kansas USA, Nelson </w:t>
      </w:r>
      <w:r w:rsidRPr="00745C65">
        <w:rPr>
          <w:i/>
          <w:iCs/>
        </w:rPr>
        <w:t>et al</w:t>
      </w:r>
      <w:r>
        <w:rPr>
          <w:i/>
          <w:iCs/>
        </w:rPr>
        <w:t>. (</w:t>
      </w:r>
      <w:r w:rsidRPr="000F6D10">
        <w:t>2006) found that planting switchgrass in-lieu of traditional corn-soybean rotations reduced runoff by 55</w:t>
      </w:r>
      <w:r>
        <w:t>.1-55.2</w:t>
      </w:r>
      <w:r w:rsidRPr="000F6D10">
        <w:t>% over a 24-year period</w:t>
      </w:r>
      <w:r>
        <w:t xml:space="preserve">, depending on the quantity of fertilizer applied to the switchgrass.    </w:t>
      </w:r>
      <w:r w:rsidRPr="000F6D10">
        <w:t xml:space="preserve"> </w:t>
      </w:r>
    </w:p>
    <w:p w:rsidR="00CD20B4" w:rsidRPr="006F29EA" w:rsidRDefault="00CD20B4" w:rsidP="00CD20B4">
      <w:pPr>
        <w:autoSpaceDE w:val="0"/>
        <w:autoSpaceDN w:val="0"/>
        <w:adjustRightInd w:val="0"/>
        <w:spacing w:line="480" w:lineRule="auto"/>
      </w:pPr>
      <w:r>
        <w:t xml:space="preserve">     The above brief overview of the literature shows that the status of knowledge of the impacts of climate change and land use on watershed hydrology has not reached the point where broad generalizable conclusions can be drawn.  Location- and context- specific analyses are needed to fill gaps in our understanding spatially, temporally, as well as in terms of the responses of specific hydrologic processes, such as evapotranspiration, runoff, infiltration, etc. (see National Research Council, 2008).   This study is a contribution toward that goal. It investigates the joint impacts of </w:t>
      </w:r>
      <w:r>
        <w:rPr>
          <w:rStyle w:val="sourcedisplay"/>
        </w:rPr>
        <w:t xml:space="preserve">climate change, notably precipitation and temperature, and biofuel cultivation on hydrologic dynamics in the </w:t>
      </w:r>
      <w:r w:rsidRPr="000F6D10">
        <w:rPr>
          <w:rStyle w:val="sourcedisplay"/>
        </w:rPr>
        <w:t xml:space="preserve">semiarid Southern Great Plains </w:t>
      </w:r>
      <w:r>
        <w:rPr>
          <w:rStyle w:val="sourcedisplay"/>
        </w:rPr>
        <w:t xml:space="preserve">(GP) </w:t>
      </w:r>
      <w:r w:rsidRPr="000F6D10">
        <w:rPr>
          <w:rStyle w:val="sourcedisplay"/>
        </w:rPr>
        <w:t>of the United States</w:t>
      </w:r>
      <w:r>
        <w:rPr>
          <w:rStyle w:val="sourcedisplay"/>
        </w:rPr>
        <w:t xml:space="preserve">. </w:t>
      </w:r>
    </w:p>
    <w:p w:rsidR="00CD20B4" w:rsidRDefault="005D2319" w:rsidP="00CD20B4">
      <w:pPr>
        <w:pStyle w:val="Heading2"/>
      </w:pPr>
      <w:bookmarkStart w:id="158" w:name="_Toc364501655"/>
      <w:bookmarkStart w:id="159" w:name="_Toc368046186"/>
      <w:r>
        <w:t>4.2:</w:t>
      </w:r>
      <w:r w:rsidR="00CD20B4" w:rsidRPr="000F6D10">
        <w:t xml:space="preserve"> </w:t>
      </w:r>
      <w:r w:rsidR="006F29EA">
        <w:t>Study Area</w:t>
      </w:r>
      <w:bookmarkEnd w:id="158"/>
      <w:bookmarkEnd w:id="159"/>
    </w:p>
    <w:p w:rsidR="00CD20B4" w:rsidRPr="00A25DD0" w:rsidRDefault="005D2319" w:rsidP="00A25DD0">
      <w:pPr>
        <w:pStyle w:val="Heading3"/>
        <w:spacing w:line="480" w:lineRule="auto"/>
        <w:rPr>
          <w:b w:val="0"/>
        </w:rPr>
      </w:pPr>
      <w:bookmarkStart w:id="160" w:name="_Toc364501656"/>
      <w:bookmarkStart w:id="161" w:name="_Toc368046187"/>
      <w:r w:rsidRPr="00A25DD0">
        <w:rPr>
          <w:b w:val="0"/>
        </w:rPr>
        <w:t>4.</w:t>
      </w:r>
      <w:r w:rsidR="00CD20B4" w:rsidRPr="00A25DD0">
        <w:rPr>
          <w:b w:val="0"/>
        </w:rPr>
        <w:t>2.1</w:t>
      </w:r>
      <w:r w:rsidRPr="00A25DD0">
        <w:rPr>
          <w:b w:val="0"/>
        </w:rPr>
        <w:t>:</w:t>
      </w:r>
      <w:r w:rsidR="00CD20B4" w:rsidRPr="00A25DD0">
        <w:rPr>
          <w:b w:val="0"/>
        </w:rPr>
        <w:t xml:space="preserve"> </w:t>
      </w:r>
      <w:r w:rsidR="005D19D8" w:rsidRPr="00A25DD0">
        <w:rPr>
          <w:b w:val="0"/>
        </w:rPr>
        <w:t>Overview</w:t>
      </w:r>
      <w:bookmarkEnd w:id="160"/>
      <w:bookmarkEnd w:id="161"/>
    </w:p>
    <w:p w:rsidR="00CD20B4" w:rsidRDefault="00CD20B4" w:rsidP="00CD20B4">
      <w:pPr>
        <w:autoSpaceDE w:val="0"/>
        <w:autoSpaceDN w:val="0"/>
        <w:adjustRightInd w:val="0"/>
        <w:spacing w:line="480" w:lineRule="auto"/>
      </w:pPr>
      <w:r w:rsidRPr="00414E15">
        <w:t xml:space="preserve">     Th</w:t>
      </w:r>
      <w:r>
        <w:t>e study area is a 1061 km</w:t>
      </w:r>
      <w:r w:rsidRPr="005C3539">
        <w:rPr>
          <w:vertAlign w:val="superscript"/>
        </w:rPr>
        <w:t>2</w:t>
      </w:r>
      <w:r>
        <w:t xml:space="preserve"> portion of the Skeleton Creek Watershed (SCW), Oklahoma, </w:t>
      </w:r>
      <w:proofErr w:type="gramStart"/>
      <w:r>
        <w:t>USA</w:t>
      </w:r>
      <w:proofErr w:type="gramEnd"/>
      <w:r>
        <w:t xml:space="preserve"> (Figure 4.1).  The basin is located within the Southern Great Plains of the United States, where projections </w:t>
      </w:r>
      <w:r>
        <w:rPr>
          <w:rStyle w:val="sourcedisplay"/>
        </w:rPr>
        <w:t xml:space="preserve">of increased temperatures and prolonged, intense </w:t>
      </w:r>
      <w:r>
        <w:rPr>
          <w:rStyle w:val="sourcedisplay"/>
        </w:rPr>
        <w:lastRenderedPageBreak/>
        <w:t>droughts have generated concern regarding the future sustainability of water resources (U.S. Global Change Research Program, 2009).  A</w:t>
      </w:r>
      <w:r>
        <w:t xml:space="preserve">s shown by Sohl </w:t>
      </w:r>
      <w:r w:rsidRPr="00745C65">
        <w:rPr>
          <w:i/>
          <w:iCs/>
        </w:rPr>
        <w:t>et al</w:t>
      </w:r>
      <w:r>
        <w:rPr>
          <w:i/>
          <w:iCs/>
        </w:rPr>
        <w:t>. (</w:t>
      </w:r>
      <w:r>
        <w:t xml:space="preserve">2012), biofuel crop production is also likely to emerge as an important driver of land use, and therefore hydrologic dynamics, in this part of the United States (National Research Council, 2008).  </w:t>
      </w:r>
      <w:r w:rsidRPr="003D43B2">
        <w:rPr>
          <w:rStyle w:val="sourcedisplay"/>
        </w:rPr>
        <w:t xml:space="preserve"> </w:t>
      </w:r>
      <w:r>
        <w:t xml:space="preserve">    </w:t>
      </w:r>
    </w:p>
    <w:p w:rsidR="005D19D8" w:rsidRDefault="005D19D8" w:rsidP="005D19D8">
      <w:pPr>
        <w:jc w:val="center"/>
      </w:pPr>
      <w:r>
        <w:rPr>
          <w:noProof/>
        </w:rPr>
        <w:drawing>
          <wp:inline distT="0" distB="0" distL="0" distR="0" wp14:anchorId="1A5A0672" wp14:editId="0AB5F29F">
            <wp:extent cx="3204461" cy="3942608"/>
            <wp:effectExtent l="0" t="0" r="0" b="0"/>
            <wp:docPr id="96" name="Picture 96" descr="C:\Users\gold9629\Dropbox\Paper3-enid\PostATdraft1\PostATdraft2\PostATdraft3\PostATdraft4\Fig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gold9629\Dropbox\Paper3-enid\PostATdraft1\PostATdraft2\PostATdraft3\PostATdraft4\Fig1.tif"/>
                    <pic:cNvPicPr>
                      <a:picLocks noChangeAspect="1" noChangeArrowheads="1"/>
                    </pic:cNvPicPr>
                  </pic:nvPicPr>
                  <pic:blipFill rotWithShape="1">
                    <a:blip r:embed="rId30">
                      <a:extLst>
                        <a:ext uri="{28A0092B-C50C-407E-A947-70E740481C1C}">
                          <a14:useLocalDpi xmlns:a14="http://schemas.microsoft.com/office/drawing/2010/main" val="0"/>
                        </a:ext>
                      </a:extLst>
                    </a:blip>
                    <a:srcRect t="4871"/>
                    <a:stretch/>
                  </pic:blipFill>
                  <pic:spPr bwMode="auto">
                    <a:xfrm>
                      <a:off x="0" y="0"/>
                      <a:ext cx="3206327" cy="3944904"/>
                    </a:xfrm>
                    <a:prstGeom prst="rect">
                      <a:avLst/>
                    </a:prstGeom>
                    <a:noFill/>
                    <a:ln>
                      <a:noFill/>
                    </a:ln>
                    <a:extLst>
                      <a:ext uri="{53640926-AAD7-44D8-BBD7-CCE9431645EC}">
                        <a14:shadowObscured xmlns:a14="http://schemas.microsoft.com/office/drawing/2010/main"/>
                      </a:ext>
                    </a:extLst>
                  </pic:spPr>
                </pic:pic>
              </a:graphicData>
            </a:graphic>
          </wp:inline>
        </w:drawing>
      </w:r>
    </w:p>
    <w:p w:rsidR="005D19D8" w:rsidRDefault="005D19D8" w:rsidP="00F53943">
      <w:pPr>
        <w:pStyle w:val="Figurecaption"/>
      </w:pPr>
      <w:bookmarkStart w:id="162" w:name="_Toc362784360"/>
      <w:bookmarkStart w:id="163" w:name="_Toc364442692"/>
      <w:bookmarkStart w:id="164" w:name="_Toc364505735"/>
      <w:bookmarkStart w:id="165" w:name="_Toc367004747"/>
      <w:r w:rsidRPr="008502C4">
        <w:t xml:space="preserve">Figure </w:t>
      </w:r>
      <w:r w:rsidRPr="00B84325">
        <w:t>4.</w:t>
      </w:r>
      <w:r w:rsidRPr="00CE05DE">
        <w:t xml:space="preserve">1: The </w:t>
      </w:r>
      <w:r w:rsidR="00BB441E">
        <w:t>Skeleton Creek Watershed (SCW)</w:t>
      </w:r>
      <w:bookmarkEnd w:id="162"/>
      <w:bookmarkEnd w:id="163"/>
      <w:bookmarkEnd w:id="164"/>
      <w:bookmarkEnd w:id="165"/>
    </w:p>
    <w:p w:rsidR="00F53943" w:rsidRPr="00F53943" w:rsidRDefault="00F53943" w:rsidP="00F53943">
      <w:pPr>
        <w:rPr>
          <w:lang w:val="en-GB" w:eastAsia="en-GB"/>
        </w:rPr>
      </w:pPr>
    </w:p>
    <w:p w:rsidR="00CD20B4" w:rsidRDefault="00CD20B4" w:rsidP="005D19D8">
      <w:pPr>
        <w:autoSpaceDE w:val="0"/>
        <w:autoSpaceDN w:val="0"/>
        <w:adjustRightInd w:val="0"/>
        <w:spacing w:line="480" w:lineRule="auto"/>
        <w:rPr>
          <w:rFonts w:eastAsia="Times New Roman"/>
        </w:rPr>
      </w:pPr>
      <w:r>
        <w:t xml:space="preserve">     For the period </w:t>
      </w:r>
      <w:r w:rsidRPr="00FB208C">
        <w:t xml:space="preserve">1970-2000, annual precipitation </w:t>
      </w:r>
      <w:r>
        <w:t>averaged</w:t>
      </w:r>
      <w:r w:rsidRPr="00FB208C">
        <w:t xml:space="preserve"> 865 mm</w:t>
      </w:r>
      <w:r>
        <w:t xml:space="preserve">, with the largest amounts falling during the summer and fall and lowest amounts during the winter and spring (Figure 4.2). </w:t>
      </w:r>
      <w:r>
        <w:rPr>
          <w:rStyle w:val="sourcedisplay"/>
        </w:rPr>
        <w:t>The e</w:t>
      </w:r>
      <w:r w:rsidRPr="0011479E">
        <w:t xml:space="preserve">levation </w:t>
      </w:r>
      <w:r>
        <w:t>of the SCW varies from approximately 408 meters at the headwaters of the SCW to 288</w:t>
      </w:r>
      <w:r w:rsidRPr="0011479E">
        <w:t xml:space="preserve"> meters at its outlet</w:t>
      </w:r>
      <w:r>
        <w:t xml:space="preserve">, a distance of about 56 km.  </w:t>
      </w:r>
      <w:r>
        <w:rPr>
          <w:rFonts w:eastAsia="Times New Roman"/>
        </w:rPr>
        <w:t xml:space="preserve">The </w:t>
      </w:r>
      <w:r>
        <w:rPr>
          <w:rFonts w:eastAsia="Times New Roman"/>
        </w:rPr>
        <w:lastRenderedPageBreak/>
        <w:t xml:space="preserve">largest settlement in the SCW is the City of Enid (2010 population 49,379), a regional and national center for the production and storage of grain.  Other </w:t>
      </w:r>
      <w:r w:rsidRPr="0011479E">
        <w:rPr>
          <w:rFonts w:eastAsia="Times New Roman"/>
        </w:rPr>
        <w:t>settlement</w:t>
      </w:r>
      <w:r>
        <w:rPr>
          <w:rFonts w:eastAsia="Times New Roman"/>
        </w:rPr>
        <w:t>s</w:t>
      </w:r>
      <w:r w:rsidRPr="0011479E">
        <w:rPr>
          <w:rFonts w:eastAsia="Times New Roman"/>
        </w:rPr>
        <w:t xml:space="preserve"> </w:t>
      </w:r>
      <w:r>
        <w:rPr>
          <w:rFonts w:eastAsia="Times New Roman"/>
        </w:rPr>
        <w:t>in the SCW are</w:t>
      </w:r>
      <w:r w:rsidRPr="0011479E">
        <w:rPr>
          <w:rFonts w:eastAsia="Times New Roman"/>
        </w:rPr>
        <w:t xml:space="preserve"> </w:t>
      </w:r>
      <w:r>
        <w:rPr>
          <w:rFonts w:eastAsia="Times New Roman"/>
        </w:rPr>
        <w:t xml:space="preserve">Waukomis (population 1,286), North Enid (population 860), Marshall (population 272), and Fairmont (population 134).  Apart from these settlements, the SCW is dominated by range grasses and winter wheat production, making it representative of other Great Plains basins.  </w:t>
      </w:r>
    </w:p>
    <w:p w:rsidR="005D19D8" w:rsidRDefault="005D19D8" w:rsidP="005D19D8">
      <w:r>
        <w:rPr>
          <w:noProof/>
        </w:rPr>
        <w:drawing>
          <wp:inline distT="0" distB="0" distL="0" distR="0" wp14:anchorId="012981E0" wp14:editId="3068261F">
            <wp:extent cx="5494655" cy="3212465"/>
            <wp:effectExtent l="0" t="0" r="0" b="0"/>
            <wp:docPr id="98" name="Picture 98" descr="C:\Users\gold9629\Dropbox\Paper3-enid\PostATdraft1\PostATdraft2\PostATdraft3\PostATdraft4\Fig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gold9629\Dropbox\Paper3-enid\PostATdraft1\PostATdraft2\PostATdraft3\PostATdraft4\Fig2.t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94655" cy="3212465"/>
                    </a:xfrm>
                    <a:prstGeom prst="rect">
                      <a:avLst/>
                    </a:prstGeom>
                    <a:noFill/>
                    <a:ln>
                      <a:noFill/>
                    </a:ln>
                  </pic:spPr>
                </pic:pic>
              </a:graphicData>
            </a:graphic>
          </wp:inline>
        </w:drawing>
      </w:r>
    </w:p>
    <w:p w:rsidR="005D19D8" w:rsidRDefault="005D19D8" w:rsidP="00796484">
      <w:pPr>
        <w:pStyle w:val="Figurecaption"/>
      </w:pPr>
      <w:bookmarkStart w:id="166" w:name="_Toc362784361"/>
      <w:bookmarkStart w:id="167" w:name="_Toc364442693"/>
      <w:bookmarkStart w:id="168" w:name="_Toc364505736"/>
      <w:bookmarkStart w:id="169" w:name="_Toc367004748"/>
      <w:r w:rsidRPr="008502C4">
        <w:t xml:space="preserve">Figure </w:t>
      </w:r>
      <w:r>
        <w:t>4.</w:t>
      </w:r>
      <w:r w:rsidR="00E67207">
        <w:t xml:space="preserve">2: </w:t>
      </w:r>
      <w:r w:rsidRPr="008502C4">
        <w:t xml:space="preserve">Monthly climograph for the SCW using data from the PRISM Climate Group, </w:t>
      </w:r>
      <w:r w:rsidRPr="00B84325">
        <w:t>Oregon</w:t>
      </w:r>
      <w:r w:rsidRPr="008502C4">
        <w:t xml:space="preserve"> State University, </w:t>
      </w:r>
      <w:proofErr w:type="gramStart"/>
      <w:r w:rsidRPr="00CE05DE">
        <w:t>http</w:t>
      </w:r>
      <w:proofErr w:type="gramEnd"/>
      <w:r w:rsidRPr="00CE05DE">
        <w:t>://prism.oregonstate.edu</w:t>
      </w:r>
      <w:r>
        <w:t xml:space="preserve">.  </w:t>
      </w:r>
      <w:r w:rsidRPr="008502C4">
        <w:t>The precipitation quantities are listed.</w:t>
      </w:r>
      <w:bookmarkEnd w:id="166"/>
      <w:bookmarkEnd w:id="167"/>
      <w:bookmarkEnd w:id="168"/>
      <w:bookmarkEnd w:id="169"/>
    </w:p>
    <w:p w:rsidR="000A6E34" w:rsidRPr="000A6E34" w:rsidRDefault="000A6E34" w:rsidP="000A6E34">
      <w:pPr>
        <w:rPr>
          <w:lang w:val="en-GB" w:eastAsia="en-GB"/>
        </w:rPr>
      </w:pPr>
    </w:p>
    <w:p w:rsidR="00CD20B4" w:rsidRPr="00A25DD0" w:rsidRDefault="005D19D8" w:rsidP="00A25DD0">
      <w:pPr>
        <w:pStyle w:val="Heading3"/>
        <w:rPr>
          <w:b w:val="0"/>
        </w:rPr>
      </w:pPr>
      <w:bookmarkStart w:id="170" w:name="_Toc364501657"/>
      <w:bookmarkStart w:id="171" w:name="_Toc368046188"/>
      <w:r w:rsidRPr="00A25DD0">
        <w:rPr>
          <w:b w:val="0"/>
        </w:rPr>
        <w:t>4</w:t>
      </w:r>
      <w:r w:rsidR="005D2319" w:rsidRPr="00A25DD0">
        <w:rPr>
          <w:b w:val="0"/>
        </w:rPr>
        <w:t>.</w:t>
      </w:r>
      <w:r w:rsidR="00CD20B4" w:rsidRPr="00A25DD0">
        <w:rPr>
          <w:b w:val="0"/>
        </w:rPr>
        <w:t>2.2</w:t>
      </w:r>
      <w:r w:rsidR="005D2319" w:rsidRPr="00A25DD0">
        <w:rPr>
          <w:b w:val="0"/>
        </w:rPr>
        <w:t>:</w:t>
      </w:r>
      <w:r w:rsidR="00CD20B4" w:rsidRPr="00A25DD0">
        <w:rPr>
          <w:b w:val="0"/>
        </w:rPr>
        <w:t xml:space="preserve"> </w:t>
      </w:r>
      <w:r w:rsidRPr="00A25DD0">
        <w:rPr>
          <w:b w:val="0"/>
        </w:rPr>
        <w:t>Geology</w:t>
      </w:r>
      <w:bookmarkEnd w:id="170"/>
      <w:bookmarkEnd w:id="171"/>
    </w:p>
    <w:p w:rsidR="00CD20B4" w:rsidRPr="00A50DE8" w:rsidRDefault="00CD20B4" w:rsidP="00CD20B4">
      <w:pPr>
        <w:spacing w:before="240" w:line="480" w:lineRule="auto"/>
      </w:pPr>
      <w:r>
        <w:t xml:space="preserve">    The headwaters of Skeleton Creek are fed by the 212 km</w:t>
      </w:r>
      <w:r w:rsidRPr="00A738E7">
        <w:rPr>
          <w:vertAlign w:val="superscript"/>
        </w:rPr>
        <w:t>2</w:t>
      </w:r>
      <w:r>
        <w:t xml:space="preserve"> Enid Isolated Terrace Aquifer (EITA, Figure 4.1, </w:t>
      </w:r>
      <w:r w:rsidRPr="0074157D">
        <w:t xml:space="preserve">Kent </w:t>
      </w:r>
      <w:r w:rsidRPr="00745C65">
        <w:rPr>
          <w:i/>
          <w:iCs/>
        </w:rPr>
        <w:t>et al.</w:t>
      </w:r>
      <w:r w:rsidRPr="00745C65">
        <w:t xml:space="preserve">, </w:t>
      </w:r>
      <w:r w:rsidRPr="0074157D">
        <w:rPr>
          <w:rFonts w:eastAsia="Times New Roman"/>
        </w:rPr>
        <w:t>1982</w:t>
      </w:r>
      <w:r>
        <w:t xml:space="preserve">), which is the principal water source for </w:t>
      </w:r>
      <w:r>
        <w:lastRenderedPageBreak/>
        <w:t xml:space="preserve">the City of Enid.  </w:t>
      </w:r>
      <w:r w:rsidRPr="00A50DE8">
        <w:t>This unconfined aquifer is of Quaternary origin, and consists of terrace deposits composed of discontinuous layers of gravel, sand, sandy clay, and clay.  The sands and gravels are generally not well-sorted except in the southeastern portion of the EITA.  The deeper deposits are coarser grained than the shallower ones.  The northwestern, western, and southwestern boundaries of the aquifer are delineated by the interface with the Permian-era Cedar Hills Sandstone Formation (part of the El Reno Group).  This semipermeable Formation is situated on the Bison Formation and is fine-grained, well-sorted, calcitic sandstone.  The eastern boundary of the EITA is located at the interface of the Permian-era Hennessey Group.</w:t>
      </w:r>
      <w:r>
        <w:t xml:space="preserve">  </w:t>
      </w:r>
      <w:r w:rsidRPr="00A50DE8">
        <w:t xml:space="preserve">Subsurface flow in the EITA is generally from northwest to southeast, and follows a very low gradient except at the aquifer boundary where seeps and springs may be located.  </w:t>
      </w:r>
    </w:p>
    <w:p w:rsidR="00CD20B4" w:rsidRDefault="00CD20B4" w:rsidP="00CD20B4">
      <w:pPr>
        <w:spacing w:before="240" w:line="480" w:lineRule="auto"/>
      </w:pPr>
      <w:r w:rsidRPr="00A50DE8">
        <w:t xml:space="preserve">     The maximum annual yield of the EITA is 23,000,000 m</w:t>
      </w:r>
      <w:r w:rsidRPr="00A50DE8">
        <w:rPr>
          <w:vertAlign w:val="superscript"/>
        </w:rPr>
        <w:t>3</w:t>
      </w:r>
      <w:r w:rsidRPr="00A50DE8">
        <w:t xml:space="preserve"> with the total quantity of water in the aquifer amounting to 580,000,000 m</w:t>
      </w:r>
      <w:r w:rsidRPr="00A50DE8">
        <w:rPr>
          <w:vertAlign w:val="superscript"/>
        </w:rPr>
        <w:t>3</w:t>
      </w:r>
      <w:r w:rsidRPr="00A50DE8">
        <w:t xml:space="preserve"> (Kent </w:t>
      </w:r>
      <w:r w:rsidRPr="00A50DE8">
        <w:rPr>
          <w:i/>
          <w:iCs/>
        </w:rPr>
        <w:t>et al.</w:t>
      </w:r>
      <w:r w:rsidRPr="00A50DE8">
        <w:t xml:space="preserve">, </w:t>
      </w:r>
      <w:r w:rsidRPr="00A50DE8">
        <w:rPr>
          <w:rFonts w:eastAsia="Times New Roman"/>
        </w:rPr>
        <w:t>1982)</w:t>
      </w:r>
      <w:r w:rsidRPr="00A50DE8">
        <w:t>.  The transmissivity</w:t>
      </w:r>
      <w:r>
        <w:t xml:space="preserve"> </w:t>
      </w:r>
      <w:r w:rsidRPr="00A50DE8">
        <w:t xml:space="preserve">of the EITA is </w:t>
      </w:r>
      <w:proofErr w:type="gramStart"/>
      <w:r w:rsidRPr="00A50DE8">
        <w:t>117 m</w:t>
      </w:r>
      <w:r>
        <w:rPr>
          <w:vertAlign w:val="superscript"/>
        </w:rPr>
        <w:t>2</w:t>
      </w:r>
      <w:r w:rsidRPr="00A50DE8">
        <w:t>/d,</w:t>
      </w:r>
      <w:proofErr w:type="gramEnd"/>
      <w:r w:rsidRPr="00A50DE8">
        <w:t xml:space="preserve"> and the average specific yield is 0.30.  Hydraulic conductivity is 28.5 m/day over most of the EITA, except in the northwestern portion where it peaks at 40.84 m/d (Becker </w:t>
      </w:r>
      <w:r w:rsidRPr="00A50DE8">
        <w:rPr>
          <w:i/>
          <w:iCs/>
        </w:rPr>
        <w:t>et al.</w:t>
      </w:r>
      <w:r w:rsidRPr="00A50DE8">
        <w:t xml:space="preserve">, 1997).  Depth to the water table varies throughout the EITA from 0-17 meters.  Recharge over the aquifer is 58 mm/yr, or approximately 7% of mean annual precipitation (Kent </w:t>
      </w:r>
      <w:r w:rsidRPr="00A50DE8">
        <w:rPr>
          <w:i/>
          <w:iCs/>
        </w:rPr>
        <w:t>et al.</w:t>
      </w:r>
      <w:r w:rsidRPr="00A50DE8">
        <w:t xml:space="preserve">, </w:t>
      </w:r>
      <w:r w:rsidRPr="00A50DE8">
        <w:rPr>
          <w:rFonts w:eastAsia="Times New Roman"/>
        </w:rPr>
        <w:t>1982)</w:t>
      </w:r>
      <w:r w:rsidRPr="00A50DE8">
        <w:t>.  The rest of this watershed is of Permian origin and belongs to the Central Red-Bed Plains geologic province which covers much of Central Oklahoma.  This province is dominated by Permian sandstones and red shales which form broad, flat plains and rolling hills (Johnson, 2006).</w:t>
      </w:r>
    </w:p>
    <w:p w:rsidR="00CD20B4" w:rsidRDefault="005D2319" w:rsidP="00CD20B4">
      <w:pPr>
        <w:pStyle w:val="Heading2"/>
      </w:pPr>
      <w:bookmarkStart w:id="172" w:name="_Toc364501658"/>
      <w:bookmarkStart w:id="173" w:name="_Toc368046189"/>
      <w:r>
        <w:lastRenderedPageBreak/>
        <w:t>4.3:</w:t>
      </w:r>
      <w:r w:rsidR="00CD20B4" w:rsidRPr="000F6D10">
        <w:t xml:space="preserve"> </w:t>
      </w:r>
      <w:r w:rsidR="006F29EA">
        <w:t>Data and Methods</w:t>
      </w:r>
      <w:bookmarkEnd w:id="172"/>
      <w:bookmarkEnd w:id="173"/>
    </w:p>
    <w:p w:rsidR="00CD20B4" w:rsidRPr="00A25DD0" w:rsidRDefault="005D2319" w:rsidP="00A25DD0">
      <w:pPr>
        <w:pStyle w:val="Heading3"/>
        <w:rPr>
          <w:b w:val="0"/>
        </w:rPr>
      </w:pPr>
      <w:bookmarkStart w:id="174" w:name="_Toc364501659"/>
      <w:bookmarkStart w:id="175" w:name="_Toc368046190"/>
      <w:r w:rsidRPr="00A25DD0">
        <w:rPr>
          <w:b w:val="0"/>
        </w:rPr>
        <w:t>4.</w:t>
      </w:r>
      <w:r w:rsidR="00CD20B4" w:rsidRPr="00A25DD0">
        <w:rPr>
          <w:b w:val="0"/>
        </w:rPr>
        <w:t>3.1: Data and Model</w:t>
      </w:r>
      <w:bookmarkEnd w:id="174"/>
      <w:bookmarkEnd w:id="175"/>
    </w:p>
    <w:p w:rsidR="00CD20B4" w:rsidRPr="009C39FD" w:rsidRDefault="00CD20B4" w:rsidP="00CD20B4">
      <w:pPr>
        <w:spacing w:before="240" w:line="480" w:lineRule="auto"/>
      </w:pPr>
      <w:r>
        <w:t xml:space="preserve"> </w:t>
      </w:r>
      <w:r>
        <w:rPr>
          <w:i/>
          <w:iCs/>
        </w:rPr>
        <w:t xml:space="preserve">    </w:t>
      </w:r>
      <w:r>
        <w:t>To investigate the impacts of climate change and switchgrass cultivation, t</w:t>
      </w:r>
      <w:r w:rsidRPr="009C39FD">
        <w:t xml:space="preserve">he semi-distributed Soil </w:t>
      </w:r>
      <w:r>
        <w:t xml:space="preserve">and Water Assessment Tool </w:t>
      </w:r>
      <w:r w:rsidRPr="009C39FD">
        <w:t>hydrologic model</w:t>
      </w:r>
      <w:r>
        <w:t xml:space="preserve"> (SWAT, Arnold </w:t>
      </w:r>
      <w:r w:rsidRPr="00745C65">
        <w:rPr>
          <w:i/>
          <w:iCs/>
        </w:rPr>
        <w:t>et al.</w:t>
      </w:r>
      <w:r w:rsidRPr="00745C65">
        <w:t xml:space="preserve">, </w:t>
      </w:r>
      <w:r>
        <w:t xml:space="preserve">1998), developed by the USDA Agricultural Research Service at the Grassland, Soil and Water Research Laboratory in Temple, Texas USA, </w:t>
      </w:r>
      <w:r w:rsidRPr="009C39FD">
        <w:t xml:space="preserve">was utilized.  </w:t>
      </w:r>
      <w:r>
        <w:t>SWAT</w:t>
      </w:r>
      <w:r w:rsidRPr="009C39FD">
        <w:rPr>
          <w:i/>
          <w:iCs/>
        </w:rPr>
        <w:t xml:space="preserve"> </w:t>
      </w:r>
      <w:r>
        <w:t xml:space="preserve">is designed to quantify the impacts of management patterns in complex watersheds.  Running on a daily time-step, it permits the user to divide a watershed into subbasins and then into smaller “hydrologic research units” (HRUs), which are zones of uniform land use, soil, and slope characteristics. A useful characteristic of the model is that it is linked to various land management and crop databases, permitting a user lacking knowledge of crop management strategies or growth patterns to investigate the hydrologic impacts of such practices.  </w:t>
      </w:r>
    </w:p>
    <w:p w:rsidR="005D19D8" w:rsidRDefault="00CD20B4" w:rsidP="00CD20B4">
      <w:pPr>
        <w:spacing w:line="480" w:lineRule="auto"/>
      </w:pPr>
      <w:r w:rsidRPr="00A50DE8">
        <w:rPr>
          <w:i/>
          <w:iCs/>
        </w:rPr>
        <w:t xml:space="preserve">     </w:t>
      </w:r>
      <w:r w:rsidRPr="00A50DE8">
        <w:t xml:space="preserve">The datasets utilized in the modeling study are listed in Table </w:t>
      </w:r>
      <w:r>
        <w:t>4.</w:t>
      </w:r>
      <w:r w:rsidRPr="00A50DE8">
        <w:t>1.  The SCW was delineated in SWAT using a 30-meter digital elevation model, and the superimposing of the NHDPlus stream dataset (</w:t>
      </w:r>
      <w:r w:rsidRPr="000A6E34">
        <w:rPr>
          <w:i/>
        </w:rPr>
        <w:t>http://www.horizon-systems.com/nhdplus/</w:t>
      </w:r>
      <w:r w:rsidRPr="00A50DE8">
        <w:t>) in order to define the streamflow network.  Twenty-five (25) subbasins were delineated.  In theory, a nearly infinite number of HRUs can be derived from any watershed.  To reduce the number of HRUs to a manageable level without compromising model accuracy, thresholds of land use, soil type, and slope were established.</w:t>
      </w:r>
      <w:r w:rsidRPr="0042193C">
        <w:t xml:space="preserve">  Within the SWAT interface, </w:t>
      </w:r>
      <w:r w:rsidRPr="001841D9">
        <w:t xml:space="preserve">land use types comprising fewer than 5% of the land area of each subbasin were integrated into the more extensive land use classes within each subbasin in proportion </w:t>
      </w:r>
      <w:r>
        <w:t>to</w:t>
      </w:r>
      <w:r w:rsidRPr="001841D9">
        <w:t xml:space="preserve"> the percentage of each land use type.  A threshold of 10% was used to </w:t>
      </w:r>
      <w:r w:rsidRPr="001841D9">
        <w:lastRenderedPageBreak/>
        <w:t>accomplish the same task with soil type.  Four thresholds of slope were defined i.e. 0-1%, 1-3%</w:t>
      </w:r>
      <w:r>
        <w:t>, 3-5%, and greater than 5%,</w:t>
      </w:r>
      <w:r w:rsidRPr="001841D9">
        <w:t xml:space="preserve"> and used to delineate sub categories of each subbasin</w:t>
      </w:r>
      <w:r>
        <w:t xml:space="preserve">.  </w:t>
      </w:r>
      <w:r w:rsidRPr="0042193C">
        <w:t xml:space="preserve">This resulted in the retention of 649 HRUs.  The resulting land use configuration is presented as Figure </w:t>
      </w:r>
      <w:r>
        <w:t>4.</w:t>
      </w:r>
      <w:r w:rsidRPr="0042193C">
        <w:t>3.</w:t>
      </w:r>
    </w:p>
    <w:p w:rsidR="008217C4" w:rsidRDefault="008217C4" w:rsidP="008217C4">
      <w:pPr>
        <w:spacing w:line="480" w:lineRule="auto"/>
      </w:pPr>
      <w:r>
        <w:t xml:space="preserve">     As with any other hydrologic model, precipitation is a critical input into SWAT because its partitioning greatly impacts other output components (e.g. Zhang and Srinivasan, 2009).  There is a need therefore to ensure that input precipitation values are as accurate as possible.  While precipitation data from rain gauge networks are widely used, they often do not adequately capture the aerial distribution of precipitation across a watershed (e.g. Legates and DeLiberty, 1993; Groisman and Legates, 1994).  This limitation can be especially acute in the Great Plains where most surface runoff results from a small number of intense storms (Jones </w:t>
      </w:r>
      <w:r w:rsidRPr="00745C65">
        <w:rPr>
          <w:i/>
          <w:iCs/>
        </w:rPr>
        <w:t>et al.</w:t>
      </w:r>
      <w:r w:rsidRPr="00745C65">
        <w:t xml:space="preserve">, </w:t>
      </w:r>
      <w:r>
        <w:t xml:space="preserve">1985; Fritsch </w:t>
      </w:r>
      <w:r w:rsidRPr="00745C65">
        <w:rPr>
          <w:i/>
          <w:iCs/>
        </w:rPr>
        <w:t>et al.</w:t>
      </w:r>
      <w:r w:rsidRPr="00745C65">
        <w:t xml:space="preserve">, </w:t>
      </w:r>
      <w:r>
        <w:t>1986).  For these reasons, the U.S. National Weather Service’s XMRG precipitation products</w:t>
      </w:r>
      <w:r w:rsidR="00772BF2">
        <w:t xml:space="preserve"> were utilized</w:t>
      </w:r>
      <w:r>
        <w:t xml:space="preserve"> (</w:t>
      </w:r>
      <w:r w:rsidRPr="000A6E34">
        <w:rPr>
          <w:i/>
          <w:iCs/>
        </w:rPr>
        <w:t>http://www.nws.noaa.gov/oh/hr1/misc/XMRG.pdf</w:t>
      </w:r>
      <w:r>
        <w:t xml:space="preserve">, Crum </w:t>
      </w:r>
      <w:r w:rsidRPr="00745C65">
        <w:rPr>
          <w:i/>
          <w:iCs/>
        </w:rPr>
        <w:t>et al.</w:t>
      </w:r>
      <w:r w:rsidRPr="00745C65">
        <w:t xml:space="preserve">, </w:t>
      </w:r>
      <w:r>
        <w:t xml:space="preserve">1998).  The XMRG products provide hourly precipitation estimates based on readings from approximately 160 Weather Surveillance Radar 1988 (WSR-88D) Doppler Radar Stations making up the Next-Generation Radar (NEXRAD) program.  Installed during the mid-1990s, NEXRAD is the US’s first true digital radar network. The radar stations provide comprehensive coverage for 96% of the coterminous United States at a spatial resolution of 4 km * 4 km.  </w:t>
      </w:r>
      <w:proofErr w:type="gramStart"/>
      <w:r>
        <w:t>Each radar</w:t>
      </w:r>
      <w:proofErr w:type="gramEnd"/>
      <w:r>
        <w:t xml:space="preserve"> is operated by the National Weather Service, Department of Defense, or the Department of Transportation.  Within the SCW, the NEXRAD data originate from Vance Air Force Base station (station KVNX), located in Enid, Oklahoma, USA.</w:t>
      </w:r>
    </w:p>
    <w:p w:rsidR="003C652D" w:rsidRPr="00F71E14" w:rsidRDefault="003C652D" w:rsidP="003C652D">
      <w:pPr>
        <w:spacing w:line="480" w:lineRule="auto"/>
      </w:pPr>
      <w:r>
        <w:lastRenderedPageBreak/>
        <w:t xml:space="preserve">     The NEXRAD-SWAT tool (Zhang and Srinivasan, 2010), available freely from </w:t>
      </w:r>
      <w:r w:rsidRPr="000A6E34">
        <w:rPr>
          <w:i/>
          <w:iCs/>
        </w:rPr>
        <w:t>http://xzhang.pbworks.com</w:t>
      </w:r>
      <w:r>
        <w:t>, provides an interactive framework for importing the radar readings into SWAT.  This tool generates a daily precipitation radar-based time-series for the centroid of each subbasin.  Results from previous studies have shown significantly improved calibration statistics relative to precipitation gages</w:t>
      </w:r>
      <w:r w:rsidDel="0044663A">
        <w:t xml:space="preserve"> </w:t>
      </w:r>
      <w:r>
        <w:t xml:space="preserve">when NEXRAD data is used, especially when adjustments to the XMRG records are made including bias correction (e.g. Jayakrishnan </w:t>
      </w:r>
      <w:r w:rsidRPr="008F7C23">
        <w:rPr>
          <w:i/>
        </w:rPr>
        <w:t>et al.</w:t>
      </w:r>
      <w:r>
        <w:t xml:space="preserve">, 2004; Sexton </w:t>
      </w:r>
      <w:r w:rsidRPr="00745C65">
        <w:rPr>
          <w:i/>
          <w:iCs/>
        </w:rPr>
        <w:t>et al.</w:t>
      </w:r>
      <w:r w:rsidRPr="00745C65">
        <w:t xml:space="preserve">, </w:t>
      </w:r>
      <w:r>
        <w:t xml:space="preserve">2010; Zhang and Srinivasan, 2010; Beeson </w:t>
      </w:r>
      <w:r w:rsidRPr="00745C65">
        <w:rPr>
          <w:i/>
          <w:iCs/>
        </w:rPr>
        <w:t>et al.</w:t>
      </w:r>
      <w:r w:rsidRPr="00745C65">
        <w:t xml:space="preserve">, </w:t>
      </w:r>
      <w:r>
        <w:t xml:space="preserve">2011; Gali </w:t>
      </w:r>
      <w:r w:rsidRPr="00A15DA4">
        <w:rPr>
          <w:i/>
        </w:rPr>
        <w:t>et al.</w:t>
      </w:r>
      <w:r>
        <w:t xml:space="preserve">, 2012).  Consequently, the bias-corrected rainfall was used in this analysis.  Potential evapotranspiration was simulated using the Hargreaves Method (Hargreaves </w:t>
      </w:r>
      <w:r w:rsidRPr="00D509D3">
        <w:rPr>
          <w:i/>
        </w:rPr>
        <w:t>et al.</w:t>
      </w:r>
      <w:r>
        <w:t>, 1985</w:t>
      </w:r>
      <w:r w:rsidR="00A6646C">
        <w:t xml:space="preserve">; Neitsch </w:t>
      </w:r>
      <w:r w:rsidR="00257449" w:rsidRPr="00257449">
        <w:rPr>
          <w:i/>
        </w:rPr>
        <w:t>et al.</w:t>
      </w:r>
      <w:r w:rsidR="00257449">
        <w:t xml:space="preserve"> </w:t>
      </w:r>
      <w:r w:rsidR="00A6646C">
        <w:t>2011</w:t>
      </w:r>
      <w:r>
        <w:t xml:space="preserve">).  This equation may be written as follows: given extraterrestrial solar radiation </w:t>
      </w:r>
      <m:oMath>
        <m:sSub>
          <m:sSubPr>
            <m:ctrlPr>
              <w:rPr>
                <w:rFonts w:ascii="Cambria Math" w:eastAsia="Calibri" w:hAnsi="Cambria Math"/>
                <w:i/>
              </w:rPr>
            </m:ctrlPr>
          </m:sSubPr>
          <m:e>
            <m:r>
              <w:rPr>
                <w:rFonts w:ascii="Cambria Math" w:hAnsi="Cambria Math"/>
              </w:rPr>
              <m:t>RADEARTH</m:t>
            </m:r>
          </m:e>
          <m:sub>
            <m:r>
              <w:rPr>
                <w:rFonts w:ascii="Cambria Math" w:hAnsi="Cambria Math"/>
              </w:rPr>
              <m:t>max</m:t>
            </m:r>
          </m:sub>
        </m:sSub>
      </m:oMath>
      <w:r>
        <w:rPr>
          <w:rFonts w:ascii="Cambria Math" w:hAnsi="Cambria Math" w:cs="Cambria Math"/>
        </w:rPr>
        <w:t xml:space="preserve"> </w:t>
      </w:r>
      <w:r>
        <w:t>(</w:t>
      </w:r>
      <w:r w:rsidRPr="00A6646C">
        <w:t>MJ m</w:t>
      </w:r>
      <w:r w:rsidRPr="00A6646C">
        <w:rPr>
          <w:vertAlign w:val="superscript"/>
        </w:rPr>
        <w:t>-2</w:t>
      </w:r>
      <w:r w:rsidRPr="00A6646C">
        <w:t xml:space="preserve"> d</w:t>
      </w:r>
      <w:r w:rsidRPr="00A6646C">
        <w:rPr>
          <w:vertAlign w:val="superscript"/>
        </w:rPr>
        <w:t>-1</w:t>
      </w:r>
      <w:r w:rsidRPr="00A6646C">
        <w:t>)</w:t>
      </w:r>
      <w:r w:rsidRPr="00A6646C">
        <w:rPr>
          <w:rFonts w:ascii="Cambria Math" w:hAnsi="Cambria Math" w:cs="Cambria Math"/>
        </w:rPr>
        <w:t>,</w:t>
      </w:r>
      <w:r w:rsidRPr="00A6646C">
        <w:t xml:space="preserve"> latent heat of vaporization </w:t>
      </w:r>
      <m:oMath>
        <m:r>
          <w:rPr>
            <w:rFonts w:ascii="Cambria Math" w:hAnsi="Cambria Math"/>
          </w:rPr>
          <m:t>LHv</m:t>
        </m:r>
      </m:oMath>
      <w:r w:rsidRPr="00A6646C">
        <w:t xml:space="preserve"> (J g</w:t>
      </w:r>
      <w:r w:rsidRPr="00A6646C">
        <w:rPr>
          <w:vertAlign w:val="superscript"/>
        </w:rPr>
        <w:t>-1</w:t>
      </w:r>
      <w:r w:rsidRPr="00A6646C">
        <w:t>) and daily maximum, average, and minimum temperatures (</w:t>
      </w:r>
      <w:r w:rsidRPr="00A6646C">
        <w:rPr>
          <w:rFonts w:ascii="Calibri" w:hAnsi="Calibri" w:cs="Calibri"/>
          <w:vertAlign w:val="superscript"/>
        </w:rPr>
        <w:t>°</w:t>
      </w:r>
      <w:r w:rsidRPr="00A6646C">
        <w:t>C</w:t>
      </w:r>
      <w:proofErr w:type="gramStart"/>
      <w:r w:rsidR="00A6646C">
        <w:t>)</w:t>
      </w:r>
      <w:r w:rsidRPr="00A6646C">
        <w:t xml:space="preserve"> </w:t>
      </w:r>
      <w:proofErr w:type="gramEnd"/>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max</m:t>
            </m:r>
          </m:sub>
        </m:sSub>
      </m:oMath>
      <w:r w:rsidRPr="00A6646C">
        <w:t xml:space="preserve">, </w:t>
      </w:r>
      <m:oMath>
        <m:r>
          <m:rPr>
            <m:sty m:val="p"/>
          </m:rPr>
          <w:rPr>
            <w:rFonts w:ascii="Cambria Math" w:hAnsi="Cambria Math"/>
          </w:rPr>
          <m:t>T</m:t>
        </m:r>
      </m:oMath>
      <w:r w:rsidRPr="00A6646C">
        <w:t>, and</w:t>
      </w:r>
      <w:r w:rsidRPr="00A6646C" w:rsidDel="00030D79">
        <w:t xml:space="preserve"> </w:t>
      </w:r>
      <m:oMath>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min</m:t>
            </m:r>
          </m:sub>
        </m:sSub>
      </m:oMath>
      <w:r w:rsidRPr="00A6646C">
        <w:t xml:space="preserve"> respectively, then the potential evapotranspiration (</w:t>
      </w:r>
      <m:oMath>
        <m:r>
          <w:rPr>
            <w:rFonts w:ascii="Cambria Math" w:hAnsi="Cambria Math"/>
          </w:rPr>
          <m:t>PE</m:t>
        </m:r>
      </m:oMath>
      <w:r w:rsidRPr="00A6646C">
        <w:t>) is</w:t>
      </w:r>
      <w:r w:rsidRPr="00A6646C">
        <w:br/>
      </w:r>
      <m:oMath>
        <m:r>
          <w:rPr>
            <w:rFonts w:ascii="Cambria Math" w:hAnsi="Cambria Math"/>
          </w:rPr>
          <m:t>PE=</m:t>
        </m:r>
        <m:sSup>
          <m:sSupPr>
            <m:ctrlPr>
              <w:rPr>
                <w:rFonts w:ascii="Cambria Math" w:eastAsia="Calibri" w:hAnsi="Cambria Math"/>
                <w:i/>
              </w:rPr>
            </m:ctrlPr>
          </m:sSupPr>
          <m:e>
            <m:r>
              <w:rPr>
                <w:rFonts w:ascii="Cambria Math" w:hAnsi="Cambria Math"/>
              </w:rPr>
              <m:t>(0.0022*</m:t>
            </m:r>
            <m:sSub>
              <m:sSubPr>
                <m:ctrlPr>
                  <w:rPr>
                    <w:rFonts w:ascii="Cambria Math" w:eastAsia="Calibri" w:hAnsi="Cambria Math"/>
                    <w:i/>
                  </w:rPr>
                </m:ctrlPr>
              </m:sSubPr>
              <m:e>
                <m:r>
                  <w:rPr>
                    <w:rFonts w:ascii="Cambria Math" w:hAnsi="Cambria Math"/>
                  </w:rPr>
                  <m:t>RADEARTH</m:t>
                </m:r>
              </m:e>
              <m:sub>
                <m:r>
                  <w:rPr>
                    <w:rFonts w:ascii="Cambria Math" w:hAnsi="Cambria Math"/>
                  </w:rPr>
                  <m:t>max</m:t>
                </m:r>
              </m:sub>
            </m:sSub>
            <m:r>
              <w:rPr>
                <w:rFonts w:ascii="Cambria Math" w:eastAsia="Calibri" w:hAnsi="Cambria Math"/>
              </w:rPr>
              <m:t>*</m:t>
            </m:r>
            <m:d>
              <m:dPr>
                <m:ctrlPr>
                  <w:rPr>
                    <w:rFonts w:ascii="Cambria Math" w:eastAsia="Calibri" w:hAnsi="Cambria Math"/>
                  </w:rPr>
                </m:ctrlPr>
              </m:dPr>
              <m:e>
                <m:r>
                  <m:rPr>
                    <m:sty m:val="p"/>
                  </m:rPr>
                  <w:rPr>
                    <w:rFonts w:ascii="Cambria Math" w:hAnsi="Cambria Math"/>
                  </w:rPr>
                  <m:t>T+17.8</m:t>
                </m:r>
              </m:e>
            </m:d>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max</m:t>
                    </m:r>
                  </m:sub>
                </m:sSub>
                <m:r>
                  <w:rPr>
                    <w:rFonts w:ascii="Cambria Math" w:eastAsia="Times New Roman" w:hAnsi="Cambria Math"/>
                  </w:rPr>
                  <m:t xml:space="preserve">- </m:t>
                </m:r>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min</m:t>
                    </m:r>
                  </m:sub>
                </m:sSub>
                <m:r>
                  <w:rPr>
                    <w:rFonts w:ascii="Cambria Math" w:eastAsia="Times New Roman" w:hAnsi="Cambria Math"/>
                  </w:rPr>
                  <m:t xml:space="preserve"> </m:t>
                </m:r>
              </m:e>
            </m:d>
          </m:e>
          <m:sup>
            <m:r>
              <w:rPr>
                <w:rFonts w:ascii="Cambria Math" w:hAnsi="Cambria Math"/>
              </w:rPr>
              <m:t>0.6</m:t>
            </m:r>
          </m:sup>
        </m:sSup>
        <m:r>
          <w:rPr>
            <w:rFonts w:ascii="Cambria Math" w:eastAsia="Calibri" w:hAnsi="Cambria Math"/>
          </w:rPr>
          <m:t>)/</m:t>
        </m:r>
        <m:r>
          <w:rPr>
            <w:rFonts w:ascii="Cambria Math" w:hAnsi="Cambria Math"/>
          </w:rPr>
          <m:t>LHv</m:t>
        </m:r>
      </m:oMath>
      <w:r w:rsidRPr="00F71E14">
        <w:t xml:space="preserve">           </w:t>
      </w:r>
      <w:r w:rsidR="00A6646C">
        <w:t xml:space="preserve">      </w:t>
      </w:r>
      <w:r w:rsidRPr="00F71E14">
        <w:t>(4.1)</w:t>
      </w:r>
    </w:p>
    <w:p w:rsidR="003C652D" w:rsidRDefault="003C652D" w:rsidP="003C652D">
      <w:pPr>
        <w:spacing w:line="480" w:lineRule="auto"/>
      </w:pPr>
      <w:r w:rsidRPr="004B4C42">
        <w:t xml:space="preserve">     The </w:t>
      </w:r>
      <w:r>
        <w:t xml:space="preserve">SWAT </w:t>
      </w:r>
      <w:r w:rsidRPr="004B4C42">
        <w:t xml:space="preserve">model </w:t>
      </w:r>
      <w:r>
        <w:t xml:space="preserve">of the SCW </w:t>
      </w:r>
      <w:r w:rsidRPr="004B4C42">
        <w:t>was calibrated to known monthly discharge from 200</w:t>
      </w:r>
      <w:r>
        <w:t>2</w:t>
      </w:r>
      <w:r w:rsidRPr="004B4C42">
        <w:t>-2010 (2000-200</w:t>
      </w:r>
      <w:r>
        <w:t>1</w:t>
      </w:r>
      <w:r w:rsidRPr="004B4C42">
        <w:t xml:space="preserve"> model initialization) at </w:t>
      </w:r>
      <w:r>
        <w:t>the two USGS gaging sites within the basin, as the downstream “Skeleton Creek near Lovell, OK” gage contains a complete data record beginning in 2001</w:t>
      </w:r>
      <w:r w:rsidRPr="004B4C42">
        <w:t xml:space="preserve">. </w:t>
      </w:r>
    </w:p>
    <w:p w:rsidR="00DA1A32" w:rsidRDefault="00DA1A32" w:rsidP="003C652D">
      <w:pPr>
        <w:spacing w:line="480" w:lineRule="auto"/>
      </w:pPr>
    </w:p>
    <w:p w:rsidR="00DA1A32" w:rsidRDefault="00DA1A32" w:rsidP="003C652D">
      <w:pPr>
        <w:spacing w:line="480" w:lineRule="auto"/>
      </w:pPr>
    </w:p>
    <w:p w:rsidR="008217C4" w:rsidRDefault="003C652D" w:rsidP="008217C4">
      <w:pPr>
        <w:pStyle w:val="Tabletitle"/>
        <w:jc w:val="center"/>
      </w:pPr>
      <w:bookmarkStart w:id="176" w:name="_Toc364503712"/>
      <w:bookmarkStart w:id="177" w:name="_Toc367550606"/>
      <w:r>
        <w:lastRenderedPageBreak/>
        <w:t>T</w:t>
      </w:r>
      <w:r w:rsidR="008217C4">
        <w:t>able 4.1: Data Sources Inputted into SWAT</w:t>
      </w:r>
      <w:bookmarkEnd w:id="176"/>
      <w:bookmarkEnd w:id="177"/>
    </w:p>
    <w:tbl>
      <w:tblPr>
        <w:tblW w:w="5000" w:type="pct"/>
        <w:tblBorders>
          <w:top w:val="single" w:sz="8" w:space="0" w:color="4F81BD"/>
          <w:bottom w:val="single" w:sz="8" w:space="0" w:color="4F81BD"/>
        </w:tblBorders>
        <w:tblLayout w:type="fixed"/>
        <w:tblLook w:val="0060" w:firstRow="1" w:lastRow="1" w:firstColumn="0" w:lastColumn="0" w:noHBand="0" w:noVBand="0"/>
      </w:tblPr>
      <w:tblGrid>
        <w:gridCol w:w="6403"/>
        <w:gridCol w:w="2309"/>
      </w:tblGrid>
      <w:tr w:rsidR="008217C4" w:rsidRPr="00CE05DE" w:rsidTr="00E01EA9">
        <w:tc>
          <w:tcPr>
            <w:tcW w:w="3675" w:type="pct"/>
            <w:tcBorders>
              <w:top w:val="single" w:sz="8" w:space="0" w:color="4F81BD"/>
              <w:left w:val="nil"/>
              <w:bottom w:val="single" w:sz="8" w:space="0" w:color="4F81BD"/>
              <w:right w:val="nil"/>
            </w:tcBorders>
            <w:noWrap/>
            <w:vAlign w:val="bottom"/>
          </w:tcPr>
          <w:p w:rsidR="008217C4" w:rsidRPr="00CE05DE" w:rsidRDefault="008217C4" w:rsidP="00E01EA9">
            <w:pPr>
              <w:rPr>
                <w:b/>
                <w:bCs/>
                <w:color w:val="000000" w:themeColor="text1"/>
                <w:lang w:eastAsia="ja-JP"/>
              </w:rPr>
            </w:pPr>
            <w:r w:rsidRPr="00CE05DE">
              <w:rPr>
                <w:b/>
                <w:bCs/>
                <w:color w:val="000000" w:themeColor="text1"/>
                <w:lang w:eastAsia="ja-JP"/>
              </w:rPr>
              <w:t>Data for Simulation</w:t>
            </w:r>
          </w:p>
        </w:tc>
        <w:tc>
          <w:tcPr>
            <w:tcW w:w="1325" w:type="pct"/>
            <w:tcBorders>
              <w:top w:val="single" w:sz="8" w:space="0" w:color="4F81BD"/>
              <w:left w:val="nil"/>
              <w:bottom w:val="single" w:sz="8" w:space="0" w:color="4F81BD"/>
              <w:right w:val="nil"/>
            </w:tcBorders>
            <w:vAlign w:val="bottom"/>
          </w:tcPr>
          <w:p w:rsidR="008217C4" w:rsidRPr="00CE05DE" w:rsidRDefault="008217C4" w:rsidP="00E01EA9">
            <w:pPr>
              <w:rPr>
                <w:b/>
                <w:bCs/>
                <w:color w:val="000000" w:themeColor="text1"/>
                <w:lang w:eastAsia="ja-JP"/>
              </w:rPr>
            </w:pPr>
            <w:r w:rsidRPr="00CE05DE">
              <w:rPr>
                <w:b/>
                <w:bCs/>
                <w:color w:val="000000" w:themeColor="text1"/>
                <w:lang w:eastAsia="ja-JP"/>
              </w:rPr>
              <w:t>Source</w:t>
            </w:r>
          </w:p>
        </w:tc>
      </w:tr>
      <w:tr w:rsidR="008217C4" w:rsidRPr="00CE05DE" w:rsidTr="003C652D">
        <w:tc>
          <w:tcPr>
            <w:tcW w:w="3675" w:type="pct"/>
            <w:tcBorders>
              <w:top w:val="nil"/>
              <w:left w:val="nil"/>
              <w:bottom w:val="nil"/>
              <w:right w:val="nil"/>
            </w:tcBorders>
            <w:noWrap/>
          </w:tcPr>
          <w:p w:rsidR="008217C4" w:rsidRPr="00CE05DE" w:rsidRDefault="008217C4" w:rsidP="003C652D">
            <w:pPr>
              <w:rPr>
                <w:color w:val="000000" w:themeColor="text1"/>
                <w:sz w:val="22"/>
                <w:szCs w:val="22"/>
                <w:lang w:eastAsia="ja-JP"/>
              </w:rPr>
            </w:pPr>
            <w:r w:rsidRPr="00CE05DE">
              <w:rPr>
                <w:b/>
                <w:bCs/>
                <w:color w:val="000000" w:themeColor="text1"/>
                <w:sz w:val="22"/>
                <w:szCs w:val="22"/>
                <w:lang w:eastAsia="ja-JP"/>
              </w:rPr>
              <w:t xml:space="preserve">Elevation: </w:t>
            </w:r>
            <w:r w:rsidRPr="00CE05DE">
              <w:rPr>
                <w:color w:val="000000" w:themeColor="text1"/>
                <w:sz w:val="22"/>
                <w:szCs w:val="22"/>
                <w:lang w:eastAsia="ja-JP"/>
              </w:rPr>
              <w:t xml:space="preserve">30-meter DEM </w:t>
            </w:r>
          </w:p>
        </w:tc>
        <w:tc>
          <w:tcPr>
            <w:tcW w:w="1325" w:type="pct"/>
            <w:tcBorders>
              <w:top w:val="nil"/>
              <w:left w:val="nil"/>
              <w:bottom w:val="nil"/>
              <w:right w:val="nil"/>
            </w:tcBorders>
          </w:tcPr>
          <w:p w:rsidR="008217C4" w:rsidRPr="00CE05DE" w:rsidRDefault="008217C4" w:rsidP="003C652D">
            <w:pPr>
              <w:pStyle w:val="DecimalAligned"/>
              <w:rPr>
                <w:color w:val="000000" w:themeColor="text1"/>
              </w:rPr>
            </w:pPr>
            <w:r w:rsidRPr="00CE05DE">
              <w:rPr>
                <w:rFonts w:ascii="Times New Roman" w:hAnsi="Times New Roman" w:cs="Times New Roman"/>
                <w:color w:val="000000" w:themeColor="text1"/>
              </w:rPr>
              <w:t>USGS</w:t>
            </w:r>
            <w:r w:rsidR="005B7693">
              <w:rPr>
                <w:rStyle w:val="FootnoteReference"/>
                <w:color w:val="000000" w:themeColor="text1"/>
              </w:rPr>
              <w:t>1</w:t>
            </w:r>
          </w:p>
        </w:tc>
      </w:tr>
      <w:tr w:rsidR="008217C4" w:rsidRPr="00CE05DE" w:rsidTr="003C652D">
        <w:tc>
          <w:tcPr>
            <w:tcW w:w="3675" w:type="pct"/>
            <w:tcBorders>
              <w:top w:val="nil"/>
              <w:left w:val="nil"/>
              <w:bottom w:val="nil"/>
              <w:right w:val="nil"/>
            </w:tcBorders>
            <w:noWrap/>
          </w:tcPr>
          <w:p w:rsidR="008217C4" w:rsidRPr="00CE05DE" w:rsidRDefault="008217C4" w:rsidP="003C652D">
            <w:pPr>
              <w:rPr>
                <w:color w:val="000000" w:themeColor="text1"/>
                <w:sz w:val="22"/>
                <w:szCs w:val="22"/>
                <w:lang w:eastAsia="ja-JP"/>
              </w:rPr>
            </w:pPr>
            <w:r w:rsidRPr="00CE05DE">
              <w:rPr>
                <w:b/>
                <w:bCs/>
                <w:color w:val="000000" w:themeColor="text1"/>
                <w:sz w:val="22"/>
                <w:szCs w:val="22"/>
                <w:lang w:eastAsia="ja-JP"/>
              </w:rPr>
              <w:t xml:space="preserve">Groundwater: </w:t>
            </w:r>
            <w:r w:rsidRPr="00CE05DE">
              <w:rPr>
                <w:color w:val="000000" w:themeColor="text1"/>
                <w:sz w:val="22"/>
                <w:szCs w:val="22"/>
                <w:lang w:eastAsia="ja-JP"/>
              </w:rPr>
              <w:t>values for effective hydraulic conductivity</w:t>
            </w:r>
          </w:p>
        </w:tc>
        <w:tc>
          <w:tcPr>
            <w:tcW w:w="1325" w:type="pct"/>
            <w:tcBorders>
              <w:top w:val="nil"/>
              <w:left w:val="nil"/>
              <w:bottom w:val="nil"/>
              <w:right w:val="nil"/>
            </w:tcBorders>
          </w:tcPr>
          <w:p w:rsidR="003C652D" w:rsidRPr="00CE05DE" w:rsidRDefault="008217C4" w:rsidP="003C652D">
            <w:pPr>
              <w:pStyle w:val="DecimalAligned"/>
              <w:rPr>
                <w:rFonts w:ascii="Times New Roman" w:hAnsi="Times New Roman" w:cs="Times New Roman"/>
                <w:color w:val="000000" w:themeColor="text1"/>
              </w:rPr>
            </w:pPr>
            <w:r w:rsidRPr="00CE05DE">
              <w:rPr>
                <w:rFonts w:ascii="Times New Roman" w:hAnsi="Times New Roman" w:cs="Times New Roman"/>
                <w:color w:val="000000" w:themeColor="text1"/>
              </w:rPr>
              <w:t xml:space="preserve">Kent </w:t>
            </w:r>
            <w:r w:rsidRPr="00BE2DDB">
              <w:rPr>
                <w:rFonts w:ascii="Times New Roman" w:hAnsi="Times New Roman" w:cs="Times New Roman"/>
                <w:i/>
                <w:color w:val="000000" w:themeColor="text1"/>
              </w:rPr>
              <w:t>et al.</w:t>
            </w:r>
            <w:r w:rsidRPr="00CE05DE">
              <w:rPr>
                <w:rFonts w:ascii="Times New Roman" w:hAnsi="Times New Roman" w:cs="Times New Roman"/>
                <w:color w:val="000000" w:themeColor="text1"/>
              </w:rPr>
              <w:t xml:space="preserve"> (1982)</w:t>
            </w:r>
          </w:p>
        </w:tc>
      </w:tr>
      <w:tr w:rsidR="008217C4" w:rsidRPr="00CE05DE" w:rsidTr="003C652D">
        <w:tc>
          <w:tcPr>
            <w:tcW w:w="3675" w:type="pct"/>
            <w:tcBorders>
              <w:top w:val="nil"/>
              <w:left w:val="nil"/>
              <w:bottom w:val="nil"/>
              <w:right w:val="nil"/>
            </w:tcBorders>
            <w:noWrap/>
          </w:tcPr>
          <w:p w:rsidR="008217C4" w:rsidRPr="00CE05DE" w:rsidRDefault="008217C4" w:rsidP="003C652D">
            <w:pPr>
              <w:rPr>
                <w:color w:val="000000" w:themeColor="text1"/>
                <w:sz w:val="22"/>
                <w:szCs w:val="22"/>
                <w:lang w:eastAsia="ja-JP"/>
              </w:rPr>
            </w:pPr>
            <w:r w:rsidRPr="00CE05DE">
              <w:rPr>
                <w:b/>
                <w:bCs/>
                <w:color w:val="000000" w:themeColor="text1"/>
                <w:sz w:val="22"/>
                <w:szCs w:val="22"/>
                <w:lang w:eastAsia="ja-JP"/>
              </w:rPr>
              <w:t>Land Use:</w:t>
            </w:r>
            <w:r w:rsidRPr="00CE05DE">
              <w:rPr>
                <w:color w:val="000000" w:themeColor="text1"/>
                <w:sz w:val="22"/>
                <w:szCs w:val="22"/>
                <w:lang w:eastAsia="ja-JP"/>
              </w:rPr>
              <w:t xml:space="preserve"> </w:t>
            </w:r>
          </w:p>
          <w:p w:rsidR="003C652D" w:rsidRPr="00CE05DE" w:rsidRDefault="008217C4" w:rsidP="003C652D">
            <w:pPr>
              <w:rPr>
                <w:color w:val="000000" w:themeColor="text1"/>
                <w:sz w:val="22"/>
                <w:szCs w:val="22"/>
                <w:lang w:eastAsia="ja-JP"/>
              </w:rPr>
            </w:pPr>
            <w:r w:rsidRPr="00CE05DE">
              <w:rPr>
                <w:color w:val="000000" w:themeColor="text1"/>
                <w:sz w:val="22"/>
                <w:szCs w:val="22"/>
                <w:lang w:eastAsia="ja-JP"/>
              </w:rPr>
              <w:t>56-meter Crop Dataset Layer: 2008-2010</w:t>
            </w:r>
          </w:p>
        </w:tc>
        <w:tc>
          <w:tcPr>
            <w:tcW w:w="1325" w:type="pct"/>
            <w:tcBorders>
              <w:top w:val="nil"/>
              <w:left w:val="nil"/>
              <w:bottom w:val="nil"/>
              <w:right w:val="nil"/>
            </w:tcBorders>
          </w:tcPr>
          <w:p w:rsidR="008217C4" w:rsidRPr="00CE05DE" w:rsidRDefault="008217C4" w:rsidP="003C652D">
            <w:pPr>
              <w:pStyle w:val="DecimalAligned"/>
              <w:spacing w:line="240" w:lineRule="auto"/>
              <w:rPr>
                <w:color w:val="000000" w:themeColor="text1"/>
              </w:rPr>
            </w:pPr>
            <w:r w:rsidRPr="00CE05DE">
              <w:rPr>
                <w:rFonts w:ascii="Times New Roman" w:hAnsi="Times New Roman" w:cs="Times New Roman"/>
                <w:color w:val="000000" w:themeColor="text1"/>
              </w:rPr>
              <w:t>National Agriculture Statistics Service</w:t>
            </w:r>
            <w:r w:rsidRPr="00CE05DE">
              <w:rPr>
                <w:rStyle w:val="FootnoteReference"/>
                <w:color w:val="000000" w:themeColor="text1"/>
              </w:rPr>
              <w:t>*</w:t>
            </w:r>
            <w:r w:rsidRPr="00CE05DE">
              <w:rPr>
                <w:rFonts w:ascii="Times New Roman" w:hAnsi="Times New Roman" w:cs="Times New Roman"/>
                <w:color w:val="000000" w:themeColor="text1"/>
              </w:rPr>
              <w:t xml:space="preserve"> </w:t>
            </w:r>
          </w:p>
        </w:tc>
      </w:tr>
      <w:tr w:rsidR="003C652D" w:rsidRPr="00CE05DE" w:rsidTr="003C652D">
        <w:trPr>
          <w:trHeight w:val="1123"/>
        </w:trPr>
        <w:tc>
          <w:tcPr>
            <w:tcW w:w="3675" w:type="pct"/>
            <w:tcBorders>
              <w:top w:val="nil"/>
              <w:left w:val="nil"/>
              <w:bottom w:val="nil"/>
              <w:right w:val="nil"/>
            </w:tcBorders>
            <w:noWrap/>
          </w:tcPr>
          <w:p w:rsidR="003C652D" w:rsidRPr="00CE05DE" w:rsidRDefault="003C652D" w:rsidP="003C652D">
            <w:pPr>
              <w:rPr>
                <w:b/>
                <w:bCs/>
                <w:color w:val="000000" w:themeColor="text1"/>
                <w:sz w:val="22"/>
                <w:szCs w:val="22"/>
                <w:lang w:eastAsia="ja-JP"/>
              </w:rPr>
            </w:pPr>
            <w:r w:rsidRPr="00CE05DE">
              <w:rPr>
                <w:b/>
                <w:bCs/>
                <w:color w:val="000000" w:themeColor="text1"/>
                <w:sz w:val="22"/>
                <w:szCs w:val="22"/>
                <w:lang w:eastAsia="ja-JP"/>
              </w:rPr>
              <w:t xml:space="preserve">Management: </w:t>
            </w:r>
          </w:p>
          <w:p w:rsidR="003C652D" w:rsidRPr="00CE05DE" w:rsidRDefault="003C652D" w:rsidP="003C652D">
            <w:pPr>
              <w:rPr>
                <w:color w:val="000000" w:themeColor="text1"/>
                <w:sz w:val="22"/>
                <w:szCs w:val="22"/>
                <w:lang w:eastAsia="ja-JP"/>
              </w:rPr>
            </w:pPr>
            <w:r w:rsidRPr="00CE05DE">
              <w:rPr>
                <w:color w:val="000000" w:themeColor="text1"/>
                <w:sz w:val="22"/>
                <w:szCs w:val="22"/>
                <w:lang w:eastAsia="ja-JP"/>
              </w:rPr>
              <w:t>Planting, irrigation, and fertilization schedules</w:t>
            </w:r>
          </w:p>
        </w:tc>
        <w:tc>
          <w:tcPr>
            <w:tcW w:w="1325" w:type="pct"/>
            <w:tcBorders>
              <w:top w:val="nil"/>
              <w:left w:val="nil"/>
              <w:bottom w:val="nil"/>
              <w:right w:val="nil"/>
            </w:tcBorders>
          </w:tcPr>
          <w:p w:rsidR="003C652D" w:rsidRPr="00CE05DE" w:rsidRDefault="003C652D" w:rsidP="003C652D">
            <w:pPr>
              <w:rPr>
                <w:rFonts w:cs="Times New Roman"/>
                <w:color w:val="000000" w:themeColor="text1"/>
              </w:rPr>
            </w:pPr>
            <w:r w:rsidRPr="00CE05DE">
              <w:rPr>
                <w:color w:val="000000" w:themeColor="text1"/>
                <w:sz w:val="22"/>
                <w:szCs w:val="22"/>
                <w:lang w:eastAsia="ja-JP"/>
              </w:rPr>
              <w:t>Agriculture extension agents mentioned in the “acknowledgements” section</w:t>
            </w:r>
          </w:p>
        </w:tc>
      </w:tr>
      <w:tr w:rsidR="003C652D" w:rsidRPr="00CE05DE" w:rsidTr="003C652D">
        <w:tc>
          <w:tcPr>
            <w:tcW w:w="3675" w:type="pct"/>
            <w:tcBorders>
              <w:top w:val="nil"/>
              <w:left w:val="nil"/>
              <w:bottom w:val="nil"/>
              <w:right w:val="nil"/>
            </w:tcBorders>
            <w:noWrap/>
          </w:tcPr>
          <w:p w:rsidR="003C652D" w:rsidRPr="00CE05DE" w:rsidRDefault="003C652D" w:rsidP="003C652D">
            <w:pPr>
              <w:rPr>
                <w:color w:val="000000" w:themeColor="text1"/>
                <w:sz w:val="22"/>
                <w:szCs w:val="22"/>
                <w:lang w:eastAsia="ja-JP"/>
              </w:rPr>
            </w:pPr>
            <w:r w:rsidRPr="00CE05DE">
              <w:rPr>
                <w:b/>
                <w:bCs/>
                <w:color w:val="000000" w:themeColor="text1"/>
                <w:sz w:val="22"/>
                <w:szCs w:val="22"/>
                <w:lang w:eastAsia="ja-JP"/>
              </w:rPr>
              <w:t>Ponds:</w:t>
            </w:r>
            <w:r w:rsidRPr="00CE05DE">
              <w:rPr>
                <w:color w:val="000000" w:themeColor="text1"/>
                <w:sz w:val="22"/>
                <w:szCs w:val="22"/>
                <w:lang w:eastAsia="ja-JP"/>
              </w:rPr>
              <w:t xml:space="preserve"> </w:t>
            </w:r>
          </w:p>
          <w:p w:rsidR="003C652D" w:rsidRPr="00CE05DE" w:rsidRDefault="003C652D" w:rsidP="003C652D">
            <w:pPr>
              <w:rPr>
                <w:color w:val="000000" w:themeColor="text1"/>
                <w:sz w:val="22"/>
                <w:szCs w:val="22"/>
                <w:lang w:eastAsia="ja-JP"/>
              </w:rPr>
            </w:pPr>
            <w:r w:rsidRPr="00CE05DE">
              <w:rPr>
                <w:color w:val="000000" w:themeColor="text1"/>
                <w:sz w:val="22"/>
                <w:szCs w:val="22"/>
                <w:lang w:eastAsia="ja-JP"/>
              </w:rPr>
              <w:t>Locations, areas, and volumes</w:t>
            </w:r>
          </w:p>
        </w:tc>
        <w:tc>
          <w:tcPr>
            <w:tcW w:w="1325" w:type="pct"/>
            <w:tcBorders>
              <w:top w:val="nil"/>
              <w:left w:val="nil"/>
              <w:bottom w:val="nil"/>
              <w:right w:val="nil"/>
            </w:tcBorders>
          </w:tcPr>
          <w:p w:rsidR="003C652D" w:rsidRPr="003C652D" w:rsidRDefault="003C652D" w:rsidP="003C652D">
            <w:pPr>
              <w:rPr>
                <w:sz w:val="22"/>
                <w:szCs w:val="22"/>
              </w:rPr>
            </w:pPr>
            <w:r w:rsidRPr="003C652D">
              <w:rPr>
                <w:sz w:val="22"/>
                <w:szCs w:val="22"/>
              </w:rPr>
              <w:t>U.S. Army Corp of Engineers National Inventory of Dams (2011)</w:t>
            </w:r>
          </w:p>
        </w:tc>
      </w:tr>
      <w:tr w:rsidR="003C652D" w:rsidRPr="00CE05DE" w:rsidTr="003C652D">
        <w:tc>
          <w:tcPr>
            <w:tcW w:w="3675" w:type="pct"/>
            <w:tcBorders>
              <w:top w:val="nil"/>
              <w:left w:val="nil"/>
              <w:bottom w:val="nil"/>
              <w:right w:val="nil"/>
            </w:tcBorders>
            <w:noWrap/>
          </w:tcPr>
          <w:p w:rsidR="003C652D" w:rsidRPr="00CE05DE" w:rsidRDefault="003C652D" w:rsidP="003C652D">
            <w:pPr>
              <w:rPr>
                <w:color w:val="000000" w:themeColor="text1"/>
                <w:sz w:val="22"/>
                <w:szCs w:val="22"/>
                <w:lang w:eastAsia="ja-JP"/>
              </w:rPr>
            </w:pPr>
            <w:r w:rsidRPr="00CE05DE">
              <w:rPr>
                <w:b/>
                <w:bCs/>
                <w:color w:val="000000" w:themeColor="text1"/>
                <w:sz w:val="22"/>
                <w:szCs w:val="22"/>
                <w:lang w:eastAsia="ja-JP"/>
              </w:rPr>
              <w:t>Soil:</w:t>
            </w:r>
            <w:r w:rsidRPr="00CE05DE">
              <w:rPr>
                <w:color w:val="000000" w:themeColor="text1"/>
                <w:sz w:val="22"/>
                <w:szCs w:val="22"/>
                <w:lang w:eastAsia="ja-JP"/>
              </w:rPr>
              <w:t xml:space="preserve"> 1:15,000 scale Soil Survey Geographic </w:t>
            </w:r>
          </w:p>
          <w:p w:rsidR="003C652D" w:rsidRPr="00CE05DE" w:rsidRDefault="003C652D" w:rsidP="003C652D">
            <w:pPr>
              <w:rPr>
                <w:b/>
                <w:bCs/>
                <w:color w:val="000000" w:themeColor="text1"/>
                <w:sz w:val="22"/>
                <w:szCs w:val="22"/>
                <w:lang w:eastAsia="ja-JP"/>
              </w:rPr>
            </w:pPr>
            <w:r w:rsidRPr="00CE05DE">
              <w:rPr>
                <w:color w:val="000000" w:themeColor="text1"/>
                <w:sz w:val="22"/>
                <w:szCs w:val="22"/>
                <w:lang w:eastAsia="ja-JP"/>
              </w:rPr>
              <w:t xml:space="preserve">         (SSURGO) dataset</w:t>
            </w:r>
          </w:p>
        </w:tc>
        <w:tc>
          <w:tcPr>
            <w:tcW w:w="1325" w:type="pct"/>
            <w:tcBorders>
              <w:top w:val="nil"/>
              <w:left w:val="nil"/>
              <w:bottom w:val="nil"/>
              <w:right w:val="nil"/>
            </w:tcBorders>
          </w:tcPr>
          <w:p w:rsidR="003C652D" w:rsidRPr="00CE05DE" w:rsidRDefault="003C652D" w:rsidP="003C652D">
            <w:pPr>
              <w:pStyle w:val="DecimalAligned"/>
              <w:spacing w:line="240" w:lineRule="auto"/>
              <w:rPr>
                <w:rFonts w:ascii="Times New Roman" w:hAnsi="Times New Roman" w:cs="Times New Roman"/>
                <w:color w:val="000000" w:themeColor="text1"/>
              </w:rPr>
            </w:pPr>
            <w:r w:rsidRPr="00CE05DE">
              <w:rPr>
                <w:rFonts w:ascii="Times New Roman" w:hAnsi="Times New Roman" w:cs="Times New Roman"/>
                <w:color w:val="000000" w:themeColor="text1"/>
              </w:rPr>
              <w:t>Natural Resources Conservation Service (NRCS)</w:t>
            </w:r>
            <w:r w:rsidRPr="00CE05DE">
              <w:rPr>
                <w:rStyle w:val="FootnoteReference"/>
                <w:color w:val="000000" w:themeColor="text1"/>
              </w:rPr>
              <w:t xml:space="preserve"> </w:t>
            </w:r>
            <w:r>
              <w:rPr>
                <w:rStyle w:val="FootnoteReference"/>
                <w:color w:val="000000" w:themeColor="text1"/>
              </w:rPr>
              <w:t>1</w:t>
            </w:r>
            <w:r>
              <w:rPr>
                <w:color w:val="000000" w:themeColor="text1"/>
              </w:rPr>
              <w:t xml:space="preserve"> </w:t>
            </w:r>
            <w:r w:rsidRPr="005B7693">
              <w:rPr>
                <w:color w:val="000000" w:themeColor="text1"/>
                <w:vertAlign w:val="superscript"/>
              </w:rPr>
              <w:t>2</w:t>
            </w:r>
          </w:p>
        </w:tc>
      </w:tr>
      <w:tr w:rsidR="003C652D" w:rsidRPr="00CE05DE" w:rsidTr="003C652D">
        <w:trPr>
          <w:cantSplit/>
          <w:trHeight w:val="1134"/>
        </w:trPr>
        <w:tc>
          <w:tcPr>
            <w:tcW w:w="3675" w:type="pct"/>
            <w:tcBorders>
              <w:top w:val="nil"/>
              <w:left w:val="nil"/>
              <w:bottom w:val="nil"/>
              <w:right w:val="nil"/>
            </w:tcBorders>
            <w:noWrap/>
          </w:tcPr>
          <w:p w:rsidR="003C652D" w:rsidRPr="00CE05DE" w:rsidRDefault="003C652D" w:rsidP="003C652D">
            <w:pPr>
              <w:rPr>
                <w:color w:val="000000" w:themeColor="text1"/>
                <w:sz w:val="22"/>
                <w:szCs w:val="22"/>
                <w:lang w:eastAsia="ja-JP"/>
              </w:rPr>
            </w:pPr>
            <w:r w:rsidRPr="00CE05DE">
              <w:rPr>
                <w:b/>
                <w:bCs/>
                <w:color w:val="000000" w:themeColor="text1"/>
                <w:sz w:val="22"/>
                <w:szCs w:val="22"/>
                <w:lang w:eastAsia="ja-JP"/>
              </w:rPr>
              <w:t>Water Use:</w:t>
            </w:r>
          </w:p>
        </w:tc>
        <w:tc>
          <w:tcPr>
            <w:tcW w:w="1325" w:type="pct"/>
            <w:tcBorders>
              <w:top w:val="nil"/>
              <w:left w:val="nil"/>
              <w:bottom w:val="nil"/>
              <w:right w:val="nil"/>
            </w:tcBorders>
          </w:tcPr>
          <w:p w:rsidR="003C652D" w:rsidRPr="00CE05DE" w:rsidRDefault="003C652D" w:rsidP="003C652D">
            <w:pPr>
              <w:pStyle w:val="DecimalAligned"/>
              <w:spacing w:line="240" w:lineRule="auto"/>
              <w:rPr>
                <w:color w:val="000000" w:themeColor="text1"/>
              </w:rPr>
            </w:pPr>
            <w:r w:rsidRPr="00CE05DE">
              <w:rPr>
                <w:rFonts w:ascii="Times New Roman" w:hAnsi="Times New Roman" w:cs="Times New Roman"/>
                <w:color w:val="000000" w:themeColor="text1"/>
              </w:rPr>
              <w:t>Water use reports filled with the Oklahoma Water Resources Board (OWRB)</w:t>
            </w:r>
          </w:p>
        </w:tc>
      </w:tr>
      <w:tr w:rsidR="003C652D" w:rsidRPr="00CE05DE" w:rsidTr="003C652D">
        <w:tc>
          <w:tcPr>
            <w:tcW w:w="3675" w:type="pct"/>
            <w:tcBorders>
              <w:top w:val="nil"/>
              <w:left w:val="nil"/>
              <w:bottom w:val="single" w:sz="4" w:space="0" w:color="auto"/>
              <w:right w:val="nil"/>
            </w:tcBorders>
            <w:noWrap/>
          </w:tcPr>
          <w:p w:rsidR="003C652D" w:rsidRDefault="003C652D" w:rsidP="003C652D">
            <w:pPr>
              <w:rPr>
                <w:b/>
                <w:bCs/>
                <w:color w:val="000000" w:themeColor="text1"/>
                <w:sz w:val="22"/>
                <w:szCs w:val="22"/>
                <w:lang w:eastAsia="ja-JP"/>
              </w:rPr>
            </w:pPr>
          </w:p>
          <w:p w:rsidR="003C652D" w:rsidRPr="00CE05DE" w:rsidRDefault="003C652D" w:rsidP="003C652D">
            <w:pPr>
              <w:rPr>
                <w:b/>
                <w:bCs/>
                <w:color w:val="000000" w:themeColor="text1"/>
                <w:sz w:val="22"/>
                <w:szCs w:val="22"/>
                <w:lang w:eastAsia="ja-JP"/>
              </w:rPr>
            </w:pPr>
            <w:r w:rsidRPr="00CE05DE">
              <w:rPr>
                <w:b/>
                <w:bCs/>
                <w:color w:val="000000" w:themeColor="text1"/>
                <w:sz w:val="22"/>
                <w:szCs w:val="22"/>
                <w:lang w:eastAsia="ja-JP"/>
              </w:rPr>
              <w:t xml:space="preserve">Weather: </w:t>
            </w:r>
          </w:p>
          <w:p w:rsidR="003C652D" w:rsidRPr="00CE05DE" w:rsidRDefault="003C652D" w:rsidP="003C652D">
            <w:pPr>
              <w:rPr>
                <w:color w:val="000000" w:themeColor="text1"/>
                <w:sz w:val="22"/>
                <w:szCs w:val="22"/>
                <w:lang w:eastAsia="ja-JP"/>
              </w:rPr>
            </w:pPr>
            <w:r w:rsidRPr="00CE05DE">
              <w:rPr>
                <w:color w:val="000000" w:themeColor="text1"/>
                <w:sz w:val="22"/>
                <w:szCs w:val="22"/>
                <w:lang w:eastAsia="ja-JP"/>
              </w:rPr>
              <w:t xml:space="preserve">     Hourly NEXRAD radar data from the Vance AFB radar station  (KVNX): 2000-2010; Daily Maximum and Minimum Temperature  Data (</w:t>
            </w:r>
            <w:r w:rsidRPr="00CE05DE">
              <w:rPr>
                <w:color w:val="000000" w:themeColor="text1"/>
                <w:sz w:val="22"/>
                <w:szCs w:val="22"/>
                <w:vertAlign w:val="superscript"/>
                <w:lang w:eastAsia="ja-JP"/>
              </w:rPr>
              <w:t>O</w:t>
            </w:r>
            <w:r w:rsidRPr="00CE05DE">
              <w:rPr>
                <w:color w:val="000000" w:themeColor="text1"/>
                <w:sz w:val="22"/>
                <w:szCs w:val="22"/>
                <w:lang w:eastAsia="ja-JP"/>
              </w:rPr>
              <w:t>C)</w:t>
            </w:r>
          </w:p>
        </w:tc>
        <w:tc>
          <w:tcPr>
            <w:tcW w:w="1325" w:type="pct"/>
            <w:tcBorders>
              <w:top w:val="nil"/>
              <w:left w:val="nil"/>
              <w:bottom w:val="single" w:sz="4" w:space="0" w:color="auto"/>
              <w:right w:val="nil"/>
            </w:tcBorders>
          </w:tcPr>
          <w:p w:rsidR="003C652D" w:rsidRPr="00CE05DE" w:rsidRDefault="003C652D" w:rsidP="003C652D">
            <w:pPr>
              <w:pStyle w:val="DecimalAligned"/>
              <w:spacing w:line="240" w:lineRule="auto"/>
              <w:rPr>
                <w:color w:val="000000" w:themeColor="text1"/>
              </w:rPr>
            </w:pPr>
            <w:r w:rsidRPr="00CE05DE">
              <w:rPr>
                <w:rFonts w:ascii="Times New Roman" w:hAnsi="Times New Roman" w:cs="Times New Roman"/>
                <w:color w:val="000000" w:themeColor="text1"/>
              </w:rPr>
              <w:t>Arkansas Red River Basin River Forecast Center; National Climatic Data Center (NCDC); Oklahoma Mesonet</w:t>
            </w:r>
          </w:p>
        </w:tc>
      </w:tr>
    </w:tbl>
    <w:p w:rsidR="005B7693" w:rsidRPr="003C652D" w:rsidRDefault="005B7693" w:rsidP="005B7693">
      <w:pPr>
        <w:rPr>
          <w:i/>
          <w:color w:val="000000" w:themeColor="text1"/>
        </w:rPr>
      </w:pPr>
      <w:r>
        <w:rPr>
          <w:rStyle w:val="FootnoteReference"/>
          <w:color w:val="000000" w:themeColor="text1"/>
        </w:rPr>
        <w:t>1</w:t>
      </w:r>
      <w:r>
        <w:rPr>
          <w:color w:val="000000" w:themeColor="text1"/>
        </w:rPr>
        <w:t xml:space="preserve"> </w:t>
      </w:r>
      <w:proofErr w:type="gramStart"/>
      <w:r>
        <w:rPr>
          <w:color w:val="000000" w:themeColor="text1"/>
        </w:rPr>
        <w:t>Available from the USDA NRCS Geospatial Data Gateway (</w:t>
      </w:r>
      <w:r w:rsidRPr="003C652D">
        <w:rPr>
          <w:i/>
          <w:color w:val="000000" w:themeColor="text1"/>
        </w:rPr>
        <w:t>http://datagateway.nrcs.</w:t>
      </w:r>
      <w:proofErr w:type="gramEnd"/>
    </w:p>
    <w:p w:rsidR="005B7693" w:rsidRPr="005B7693" w:rsidRDefault="005B7693" w:rsidP="005B7693">
      <w:r w:rsidRPr="003C652D">
        <w:rPr>
          <w:i/>
          <w:color w:val="000000" w:themeColor="text1"/>
        </w:rPr>
        <w:t>usda.gov</w:t>
      </w:r>
      <w:r w:rsidR="003C652D">
        <w:rPr>
          <w:color w:val="000000" w:themeColor="text1"/>
        </w:rPr>
        <w:t>)</w:t>
      </w:r>
    </w:p>
    <w:p w:rsidR="005B7693" w:rsidRDefault="005B7693" w:rsidP="005B7693">
      <w:pPr>
        <w:spacing w:line="480" w:lineRule="auto"/>
      </w:pPr>
      <w:r w:rsidRPr="005B7693">
        <w:rPr>
          <w:vertAlign w:val="superscript"/>
        </w:rPr>
        <w:t>2</w:t>
      </w:r>
      <w:r>
        <w:t xml:space="preserve"> Data imported into SWAT using the SWATioTools program (Sheshukov </w:t>
      </w:r>
      <w:r w:rsidRPr="005B7693">
        <w:rPr>
          <w:i/>
        </w:rPr>
        <w:t>et al.</w:t>
      </w:r>
      <w:r>
        <w:t xml:space="preserve"> 2009).</w:t>
      </w:r>
    </w:p>
    <w:p w:rsidR="00B201C1" w:rsidRDefault="00B201C1" w:rsidP="00B201C1">
      <w:pPr>
        <w:spacing w:line="480" w:lineRule="auto"/>
      </w:pPr>
      <w:bookmarkStart w:id="178" w:name="_Toc362784362"/>
      <w:bookmarkStart w:id="179" w:name="_Toc364442694"/>
      <w:r>
        <w:rPr>
          <w:noProof/>
        </w:rPr>
        <w:lastRenderedPageBreak/>
        <w:drawing>
          <wp:inline distT="0" distB="0" distL="0" distR="0" wp14:anchorId="09ED87BC" wp14:editId="787CECDE">
            <wp:extent cx="5390818" cy="2981325"/>
            <wp:effectExtent l="19050" t="1905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_Fig4.3.png"/>
                    <pic:cNvPicPr/>
                  </pic:nvPicPr>
                  <pic:blipFill rotWithShape="1">
                    <a:blip r:embed="rId32">
                      <a:extLst>
                        <a:ext uri="{28A0092B-C50C-407E-A947-70E740481C1C}">
                          <a14:useLocalDpi xmlns:a14="http://schemas.microsoft.com/office/drawing/2010/main" val="0"/>
                        </a:ext>
                      </a:extLst>
                    </a:blip>
                    <a:srcRect b="5438"/>
                    <a:stretch/>
                  </pic:blipFill>
                  <pic:spPr bwMode="auto">
                    <a:xfrm>
                      <a:off x="0" y="0"/>
                      <a:ext cx="5388419" cy="297999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bookmarkStart w:id="180" w:name="_Toc364505737"/>
    </w:p>
    <w:p w:rsidR="008217C4" w:rsidRPr="00796484" w:rsidRDefault="008217C4" w:rsidP="001A10A0">
      <w:pPr>
        <w:pStyle w:val="Figurecaption"/>
        <w:rPr>
          <w:noProof/>
        </w:rPr>
      </w:pPr>
      <w:bookmarkStart w:id="181" w:name="_Toc367004749"/>
      <w:r w:rsidRPr="00796484">
        <w:t>Figure 4.3: Land-use composition (%) of the SCW post-LU threshold delineation</w:t>
      </w:r>
      <w:bookmarkEnd w:id="178"/>
      <w:bookmarkEnd w:id="179"/>
      <w:bookmarkEnd w:id="180"/>
      <w:bookmarkEnd w:id="181"/>
    </w:p>
    <w:p w:rsidR="00F33486" w:rsidRPr="00F33486" w:rsidRDefault="00F33486" w:rsidP="00F33486">
      <w:pPr>
        <w:rPr>
          <w:lang w:val="en-GB" w:eastAsia="en-GB"/>
        </w:rPr>
      </w:pPr>
    </w:p>
    <w:p w:rsidR="00CD20B4" w:rsidRPr="00A25DD0" w:rsidRDefault="005D2319" w:rsidP="00A25DD0">
      <w:pPr>
        <w:pStyle w:val="Heading3"/>
        <w:spacing w:line="480" w:lineRule="auto"/>
        <w:rPr>
          <w:b w:val="0"/>
        </w:rPr>
      </w:pPr>
      <w:bookmarkStart w:id="182" w:name="_Toc364501660"/>
      <w:bookmarkStart w:id="183" w:name="_Toc368046191"/>
      <w:r w:rsidRPr="00A25DD0">
        <w:rPr>
          <w:b w:val="0"/>
        </w:rPr>
        <w:t>4.</w:t>
      </w:r>
      <w:r w:rsidR="00CD20B4" w:rsidRPr="00A25DD0">
        <w:rPr>
          <w:b w:val="0"/>
        </w:rPr>
        <w:t>3.2: Modeling Scenarios of Climate and Land Use Change</w:t>
      </w:r>
      <w:bookmarkEnd w:id="182"/>
      <w:bookmarkEnd w:id="183"/>
    </w:p>
    <w:p w:rsidR="00AB66EF" w:rsidRDefault="00CD20B4" w:rsidP="00CD20B4">
      <w:pPr>
        <w:spacing w:line="480" w:lineRule="auto"/>
      </w:pPr>
      <w:r w:rsidRPr="001841D9">
        <w:t xml:space="preserve">     Bias corrected</w:t>
      </w:r>
      <w:r>
        <w:t>, statistically-downscaled (BCSD)</w:t>
      </w:r>
      <w:r w:rsidRPr="001841D9">
        <w:t xml:space="preserve"> monthly precipitation and temperature outputs </w:t>
      </w:r>
      <w:r w:rsidR="00BC2E23">
        <w:t>at 1/8</w:t>
      </w:r>
      <w:r w:rsidR="00BC2E23" w:rsidRPr="00BC2E23">
        <w:rPr>
          <w:vertAlign w:val="superscript"/>
        </w:rPr>
        <w:t>th</w:t>
      </w:r>
      <w:r w:rsidR="00BC2E23">
        <w:t xml:space="preserve"> degree resolution </w:t>
      </w:r>
      <w:r>
        <w:t xml:space="preserve">for sixteen General Circulation Models (GCMs) </w:t>
      </w:r>
      <w:r w:rsidRPr="001841D9">
        <w:t xml:space="preserve">were downloaded </w:t>
      </w:r>
      <w:r w:rsidRPr="002F37DC">
        <w:t xml:space="preserve">from the World Climate Research Programme's Coupled Model Intercomparison Project phase 3 (CMIP3) multi-model dataset archive at </w:t>
      </w:r>
      <w:r w:rsidRPr="007550E3">
        <w:t>http://gdo-dcp.ucllnl.org/downscaled_cmip3_projections/</w:t>
      </w:r>
      <w:r w:rsidRPr="002F37DC">
        <w:t xml:space="preserve"> (Wood </w:t>
      </w:r>
      <w:r w:rsidRPr="00745C65">
        <w:rPr>
          <w:i/>
          <w:iCs/>
        </w:rPr>
        <w:t>et al.</w:t>
      </w:r>
      <w:r w:rsidRPr="00745C65">
        <w:t xml:space="preserve">, </w:t>
      </w:r>
      <w:r w:rsidRPr="002F37DC">
        <w:t>2002, 2004; Maurer</w:t>
      </w:r>
      <w:r>
        <w:t>,</w:t>
      </w:r>
      <w:r w:rsidRPr="002F37DC">
        <w:t xml:space="preserve"> 2007)</w:t>
      </w:r>
      <w:r>
        <w:t xml:space="preserve">.  </w:t>
      </w:r>
      <w:r w:rsidRPr="0013767B">
        <w:t>The portal provides monthly climate outputs from 1950-2099 and daily climate outputs for 1961-2000, 2046-2065, and 2081-21</w:t>
      </w:r>
      <w:r>
        <w:t xml:space="preserve">00 for much of the western US.  Table </w:t>
      </w:r>
      <w:r w:rsidR="00C36B2E">
        <w:t>4.</w:t>
      </w:r>
      <w:r>
        <w:t xml:space="preserve">2 lists the sixteen GCMs comprising the CMIP3 program.  Only precipitation and temperature were downloaded due to the lack of downscaled solar radiation data at this portal. To facilitate comparison among the GCMs, the first member of the ensemble for each GCM in the BCSD archive was used.  The A2 IPCC scenario was selected in </w:t>
      </w:r>
      <w:r>
        <w:lastRenderedPageBreak/>
        <w:t>order to highlight the most austere impacts of CO</w:t>
      </w:r>
      <w:r w:rsidRPr="00DD2480">
        <w:rPr>
          <w:vertAlign w:val="subscript"/>
        </w:rPr>
        <w:t>2</w:t>
      </w:r>
      <w:r>
        <w:t xml:space="preserve"> emissions on climatic patterns by mid-century</w:t>
      </w:r>
      <w:r w:rsidR="00354A8B">
        <w:t xml:space="preserve"> and because of computational limitations associated with running SWAT for additional scenarios</w:t>
      </w:r>
      <w:r>
        <w:t>.</w:t>
      </w:r>
      <w:r w:rsidR="00354A8B">
        <w:t xml:space="preserve">  </w:t>
      </w:r>
      <w:r>
        <w:t xml:space="preserve">An approach similar to that used by Johnson </w:t>
      </w:r>
      <w:r w:rsidRPr="00745C65">
        <w:rPr>
          <w:i/>
          <w:iCs/>
        </w:rPr>
        <w:t>et al</w:t>
      </w:r>
      <w:r>
        <w:rPr>
          <w:i/>
          <w:iCs/>
        </w:rPr>
        <w:t xml:space="preserve">. </w:t>
      </w:r>
      <w:r w:rsidRPr="008F7C23">
        <w:rPr>
          <w:iCs/>
        </w:rPr>
        <w:t>(</w:t>
      </w:r>
      <w:r>
        <w:t>2012) was used to process the precipitation and temperature data for the period from 2040-2050 for use in SWAT.  This approach involved the computation of the projected percent change in monthly precipitation and raw change in monthly temperature for the 2040s relative to those predicted by the GCMs for the observed period-the 2000s.  This approach is beneficial for our purpose not only because it makes use of observed climatic data which have undergone extensive quality analysis and control, but also because it captures intense, localized rainfall which downscaled GCM simulations of the SCW are unable to reproduce.</w:t>
      </w:r>
      <w:r w:rsidR="00835792">
        <w:t xml:space="preserve">  The short simulation period was selected in order to correspond with the length of the short calibration period, which itself was necessitated by the short recent discharge record of the “Skeleton Creek near Lovell, OK” stream gage.  </w:t>
      </w:r>
    </w:p>
    <w:p w:rsidR="00290A7E" w:rsidRPr="001F608A" w:rsidRDefault="00AB66EF" w:rsidP="00290A7E">
      <w:pPr>
        <w:spacing w:line="480" w:lineRule="auto"/>
        <w:rPr>
          <w:i/>
        </w:rPr>
      </w:pPr>
      <w:r>
        <w:t xml:space="preserve">     Before </w:t>
      </w:r>
      <w:r w:rsidR="008B1573">
        <w:t>proceeding</w:t>
      </w:r>
      <w:r>
        <w:t xml:space="preserve">, </w:t>
      </w:r>
      <w:r w:rsidR="00A460F5">
        <w:t>acknowledgement of</w:t>
      </w:r>
      <w:r>
        <w:t xml:space="preserve"> </w:t>
      </w:r>
      <w:r w:rsidR="00140AF1">
        <w:t>several</w:t>
      </w:r>
      <w:r>
        <w:t xml:space="preserve"> limitations associated with the approach mentioned above</w:t>
      </w:r>
      <w:r w:rsidR="00A460F5">
        <w:t xml:space="preserve"> is in order</w:t>
      </w:r>
      <w:r>
        <w:t xml:space="preserve">.  </w:t>
      </w:r>
      <w:r w:rsidR="008B1573">
        <w:t xml:space="preserve">First, </w:t>
      </w:r>
      <w:r w:rsidR="00A460F5">
        <w:t>I</w:t>
      </w:r>
      <w:r w:rsidR="008B1573">
        <w:t xml:space="preserve"> recognize the existence of a spatial mismatch in </w:t>
      </w:r>
      <w:r w:rsidR="00E4379E">
        <w:t>the</w:t>
      </w:r>
      <w:r w:rsidR="008B1573">
        <w:t xml:space="preserve"> climatic </w:t>
      </w:r>
      <w:r w:rsidR="006D2070">
        <w:t>datasets, having used 4 km * 4 km NEXRAD rainfall data which were bias-corrected to point-based precipitation observations, point-based temperature observations, and 1/8</w:t>
      </w:r>
      <w:r w:rsidR="006D2070" w:rsidRPr="006D2070">
        <w:rPr>
          <w:vertAlign w:val="superscript"/>
        </w:rPr>
        <w:t>th</w:t>
      </w:r>
      <w:r w:rsidR="006D2070">
        <w:t xml:space="preserve"> degree * 1/8</w:t>
      </w:r>
      <w:r w:rsidR="006D2070" w:rsidRPr="006D2070">
        <w:rPr>
          <w:vertAlign w:val="superscript"/>
        </w:rPr>
        <w:t>th</w:t>
      </w:r>
      <w:r w:rsidR="006D2070">
        <w:t xml:space="preserve"> degree predictions of future precipitation and temperature.  Such a mismatch can potentially produce large uncertainty in model results.  </w:t>
      </w:r>
      <w:r w:rsidR="00140AF1">
        <w:t xml:space="preserve">Additionally, as a consequence of its small size, the SCW only </w:t>
      </w:r>
      <w:r w:rsidR="00B93848">
        <w:t>overlaps</w:t>
      </w:r>
      <w:r w:rsidR="00140AF1">
        <w:t xml:space="preserve"> </w:t>
      </w:r>
      <w:r w:rsidR="00B93848">
        <w:t>few</w:t>
      </w:r>
      <w:r w:rsidR="00140AF1">
        <w:t xml:space="preserve"> downscaled precipitation and temperature grid cells. </w:t>
      </w:r>
      <w:r w:rsidR="00B93848">
        <w:t xml:space="preserve"> </w:t>
      </w:r>
      <w:r w:rsidR="006D2070">
        <w:t>Second</w:t>
      </w:r>
      <w:r w:rsidR="008B1573">
        <w:t xml:space="preserve">, </w:t>
      </w:r>
      <w:r w:rsidR="00A460F5">
        <w:t>I</w:t>
      </w:r>
      <w:r w:rsidR="008B1573">
        <w:t xml:space="preserve"> recognize that the calibration and simulation time periods are not long enough to </w:t>
      </w:r>
      <w:r w:rsidR="008B1573">
        <w:lastRenderedPageBreak/>
        <w:t xml:space="preserve">adequately capture interdecadal climate patterns and are at best a measure of short-term climatic variability.  </w:t>
      </w:r>
      <w:r w:rsidR="001F608A">
        <w:t>The period 2000</w:t>
      </w:r>
      <w:r w:rsidR="00B375CE">
        <w:t xml:space="preserve">-2010 </w:t>
      </w:r>
      <w:r w:rsidR="00890D09">
        <w:t>mostly contained years of above-average rainfall in Oklahoma’s North Central Climate Division</w:t>
      </w:r>
      <w:r w:rsidR="001F608A">
        <w:t xml:space="preserve"> with the exception of 2001, 2003, and 2006 (</w:t>
      </w:r>
      <w:r w:rsidR="001F608A" w:rsidRPr="001F608A">
        <w:rPr>
          <w:i/>
        </w:rPr>
        <w:t>http://climate.ok.gov/index.php/climate/climate_trends/</w:t>
      </w:r>
      <w:r w:rsidR="001F608A">
        <w:rPr>
          <w:i/>
        </w:rPr>
        <w:t xml:space="preserve">precipitation_ </w:t>
      </w:r>
      <w:r w:rsidR="00890D09" w:rsidRPr="00890D09">
        <w:rPr>
          <w:i/>
        </w:rPr>
        <w:t>history_annual_statewide/CD02/prcp/Annua</w:t>
      </w:r>
      <w:r w:rsidR="00890D09" w:rsidRPr="00890D09">
        <w:t>l</w:t>
      </w:r>
      <w:r w:rsidR="00890D09">
        <w:t xml:space="preserve">).  </w:t>
      </w:r>
      <w:r w:rsidR="008B1573">
        <w:t>Unfortunately, the short length of record for the “Skeleton Creek at Enid” stream gage to which we calibrated did not permit analysis of a longer time period.</w:t>
      </w:r>
      <w:r w:rsidR="006D2070">
        <w:t xml:space="preserve">  Third</w:t>
      </w:r>
      <w:r>
        <w:t xml:space="preserve">, </w:t>
      </w:r>
      <w:r w:rsidR="00A460F5">
        <w:t>I</w:t>
      </w:r>
      <w:r>
        <w:t xml:space="preserve"> recognize that an analysis using</w:t>
      </w:r>
      <w:r w:rsidR="008B1573">
        <w:t xml:space="preserve"> outputs solely from one IPCC S</w:t>
      </w:r>
      <w:r>
        <w:t xml:space="preserve">RES scenario can restrict the breath of </w:t>
      </w:r>
      <w:r w:rsidR="00A460F5">
        <w:t>this</w:t>
      </w:r>
      <w:r>
        <w:t xml:space="preserve"> investigation.  However, computational limitations hindered our ability to utilize outputs from other scenarios.  </w:t>
      </w:r>
      <w:r w:rsidR="00A460F5">
        <w:t>To</w:t>
      </w:r>
      <w:r>
        <w:t xml:space="preserve"> facilitate comparison between model runs, we chose to analyze the outputs from many GCM runs for a particular scenario rather than to use fewer GCMs from many scenarios.</w:t>
      </w:r>
      <w:r w:rsidR="00290A7E">
        <w:t xml:space="preserve">  Finally, </w:t>
      </w:r>
      <w:r w:rsidR="00A460F5">
        <w:t>I acknowledge</w:t>
      </w:r>
      <w:r w:rsidR="00290A7E">
        <w:t xml:space="preserve"> that </w:t>
      </w:r>
      <w:r w:rsidR="00A460F5">
        <w:t>the SCW</w:t>
      </w:r>
      <w:r w:rsidR="00290A7E">
        <w:t xml:space="preserve"> does not overlap many 1/8</w:t>
      </w:r>
      <w:r w:rsidR="00290A7E" w:rsidRPr="00290A7E">
        <w:rPr>
          <w:vertAlign w:val="superscript"/>
        </w:rPr>
        <w:t>th</w:t>
      </w:r>
      <w:r w:rsidR="00290A7E">
        <w:t xml:space="preserve"> degree grid cells, which can potentially limit the breadth of the GCM outputs utilized.  </w:t>
      </w:r>
    </w:p>
    <w:p w:rsidR="00F53943" w:rsidRPr="007D1FFF" w:rsidRDefault="00F53943" w:rsidP="00F53943">
      <w:pPr>
        <w:spacing w:line="480" w:lineRule="auto"/>
      </w:pPr>
      <w:r>
        <w:t xml:space="preserve">    To investigate the response of the SCW to </w:t>
      </w:r>
      <w:proofErr w:type="gramStart"/>
      <w:r>
        <w:t>both climate</w:t>
      </w:r>
      <w:proofErr w:type="gramEnd"/>
      <w:r>
        <w:t xml:space="preserve"> change and switchgrass cultivation, 32 SWAT simulations were run.  The first sixteen simulations (one for each of the BCSD GCMs, as described above) were run under the “climate change only” (CCO) scenario, in which only the precipitation and temperature values were modified.  In addition to the changed climate, the additional sixteen simulations were run under a regime in which pre-existing winter wheat, rye, and range grasses, which collectively account for 89% of the watershed, were converted to switchgrass.  This is subsequently referred to as the “climate change + switchgrass” or CCS scenario.  </w:t>
      </w:r>
      <w:r w:rsidRPr="007D1FFF">
        <w:t xml:space="preserve">Switchgrass was managed according to the schedule reported by Goldstein </w:t>
      </w:r>
      <w:r w:rsidRPr="00745C65">
        <w:rPr>
          <w:i/>
          <w:iCs/>
        </w:rPr>
        <w:t>et al</w:t>
      </w:r>
      <w:r>
        <w:rPr>
          <w:i/>
          <w:iCs/>
        </w:rPr>
        <w:t>. (</w:t>
      </w:r>
      <w:r w:rsidRPr="007D1FFF">
        <w:t>2013):</w:t>
      </w:r>
    </w:p>
    <w:p w:rsidR="00F53943" w:rsidRPr="007D1FFF" w:rsidRDefault="00F53943" w:rsidP="00F53943">
      <w:pPr>
        <w:ind w:firstLine="720"/>
      </w:pPr>
      <w:r w:rsidRPr="007D1FFF">
        <w:lastRenderedPageBreak/>
        <w:t>a.       Fertilize 56 kg ha</w:t>
      </w:r>
      <w:r w:rsidRPr="007D1FFF">
        <w:rPr>
          <w:vertAlign w:val="superscript"/>
        </w:rPr>
        <w:t>-1</w:t>
      </w:r>
      <w:r w:rsidRPr="007D1FFF">
        <w:t xml:space="preserve"> N </w:t>
      </w:r>
      <w:r>
        <w:t xml:space="preserve">on </w:t>
      </w:r>
      <w:r w:rsidRPr="007D1FFF">
        <w:t xml:space="preserve">April 15, May 17, </w:t>
      </w:r>
      <w:r>
        <w:t xml:space="preserve">and </w:t>
      </w:r>
      <w:r w:rsidRPr="007D1FFF">
        <w:t>July 17</w:t>
      </w:r>
      <w:r>
        <w:t xml:space="preserve"> of each year.</w:t>
      </w:r>
    </w:p>
    <w:p w:rsidR="00F53943" w:rsidRDefault="00F53943" w:rsidP="00F53943">
      <w:pPr>
        <w:ind w:left="720"/>
      </w:pPr>
      <w:r w:rsidRPr="007D1FFF">
        <w:t xml:space="preserve">b.       Harvest (90% efficiency), </w:t>
      </w:r>
      <w:r>
        <w:t xml:space="preserve">on </w:t>
      </w:r>
      <w:r w:rsidRPr="007D1FFF">
        <w:t xml:space="preserve">May 15, July 15, </w:t>
      </w:r>
      <w:r>
        <w:t xml:space="preserve">and </w:t>
      </w:r>
      <w:r w:rsidRPr="007D1FFF">
        <w:t>November 1</w:t>
      </w:r>
      <w:r>
        <w:t xml:space="preserve"> of each year.</w:t>
      </w:r>
    </w:p>
    <w:p w:rsidR="00F53943" w:rsidRDefault="00F53943" w:rsidP="00F53943">
      <w:pPr>
        <w:spacing w:line="480" w:lineRule="auto"/>
      </w:pPr>
      <w:r>
        <w:t xml:space="preserve">     Per Baskaran </w:t>
      </w:r>
      <w:r w:rsidRPr="00745C65">
        <w:rPr>
          <w:i/>
          <w:iCs/>
        </w:rPr>
        <w:t>et al.</w:t>
      </w:r>
      <w:r w:rsidRPr="00745C65">
        <w:t xml:space="preserve"> </w:t>
      </w:r>
      <w:r>
        <w:t xml:space="preserve">(2010), switchgrass cultivation was simulated as having 3-meter roots, an initial leaf area index of 0.5 and an initial quantity of 500 kg/ha dry-weight biomass.  Switchgrass was assigned 1187 heat units for growth.  As in the baseline run, the Hargreaves equation was used to simulate evapotranspiration.      </w:t>
      </w:r>
    </w:p>
    <w:p w:rsidR="00637A87" w:rsidRDefault="00637A87" w:rsidP="00F53943">
      <w:pPr>
        <w:spacing w:line="480" w:lineRule="auto"/>
      </w:pPr>
    </w:p>
    <w:p w:rsidR="00B64B2A" w:rsidRDefault="00B64B2A" w:rsidP="00C36B2E">
      <w:pPr>
        <w:pStyle w:val="Tabletitle"/>
      </w:pPr>
      <w:bookmarkStart w:id="184" w:name="_Toc364503713"/>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B64B2A" w:rsidRDefault="00B64B2A" w:rsidP="00C36B2E">
      <w:pPr>
        <w:pStyle w:val="Tabletitle"/>
      </w:pPr>
    </w:p>
    <w:p w:rsidR="00C36B2E" w:rsidRPr="006F2C0D" w:rsidRDefault="00C36B2E" w:rsidP="00C36B2E">
      <w:pPr>
        <w:pStyle w:val="Tabletitle"/>
      </w:pPr>
      <w:bookmarkStart w:id="185" w:name="_Toc367550607"/>
      <w:proofErr w:type="gramStart"/>
      <w:r w:rsidRPr="00805A85">
        <w:lastRenderedPageBreak/>
        <w:t xml:space="preserve">Table </w:t>
      </w:r>
      <w:r w:rsidR="00D27CB0">
        <w:t>4.</w:t>
      </w:r>
      <w:r w:rsidRPr="00805A85">
        <w:t>2: GCMs used in this investigation.</w:t>
      </w:r>
      <w:proofErr w:type="gramEnd"/>
      <w:r w:rsidRPr="00805A85">
        <w:t xml:space="preserve">  Table adapted</w:t>
      </w:r>
      <w:r>
        <w:t xml:space="preserve"> </w:t>
      </w:r>
      <w:r w:rsidRPr="00805A85">
        <w:t xml:space="preserve">from </w:t>
      </w:r>
      <w:r w:rsidR="003A4E61">
        <w:t>Reclamation (2013).</w:t>
      </w:r>
      <w:r>
        <w:t xml:space="preserve">  Used with permission</w:t>
      </w:r>
      <w:bookmarkEnd w:id="184"/>
      <w:bookmarkEnd w:id="185"/>
    </w:p>
    <w:tbl>
      <w:tblPr>
        <w:tblW w:w="8496" w:type="dxa"/>
        <w:tblLayout w:type="fixed"/>
        <w:tblLook w:val="0020" w:firstRow="1" w:lastRow="0" w:firstColumn="0" w:lastColumn="0" w:noHBand="0" w:noVBand="0"/>
      </w:tblPr>
      <w:tblGrid>
        <w:gridCol w:w="1998"/>
        <w:gridCol w:w="3997"/>
        <w:gridCol w:w="2501"/>
      </w:tblGrid>
      <w:tr w:rsidR="00C36B2E" w:rsidRPr="00805A85" w:rsidTr="00CD16F0">
        <w:tc>
          <w:tcPr>
            <w:tcW w:w="1998" w:type="dxa"/>
            <w:tcBorders>
              <w:bottom w:val="single" w:sz="8" w:space="0" w:color="auto"/>
            </w:tcBorders>
            <w:shd w:val="clear" w:color="auto" w:fill="000000"/>
          </w:tcPr>
          <w:p w:rsidR="00C36B2E" w:rsidRPr="00CD16F0" w:rsidRDefault="00C36B2E" w:rsidP="00CD16F0">
            <w:pPr>
              <w:jc w:val="center"/>
              <w:rPr>
                <w:b/>
                <w:bCs/>
                <w:color w:val="FFFFFF"/>
                <w:sz w:val="22"/>
                <w:szCs w:val="22"/>
                <w:lang w:eastAsia="ja-JP"/>
              </w:rPr>
            </w:pPr>
            <w:r w:rsidRPr="00CD16F0">
              <w:rPr>
                <w:b/>
                <w:bCs/>
                <w:color w:val="FFFFFF"/>
                <w:sz w:val="22"/>
                <w:szCs w:val="22"/>
                <w:lang w:eastAsia="ja-JP"/>
              </w:rPr>
              <w:t>GCM</w:t>
            </w:r>
          </w:p>
        </w:tc>
        <w:tc>
          <w:tcPr>
            <w:tcW w:w="3997" w:type="dxa"/>
            <w:tcBorders>
              <w:bottom w:val="single" w:sz="8" w:space="0" w:color="auto"/>
            </w:tcBorders>
            <w:shd w:val="clear" w:color="auto" w:fill="000000"/>
          </w:tcPr>
          <w:p w:rsidR="00C36B2E" w:rsidRPr="00CD16F0" w:rsidRDefault="00C36B2E" w:rsidP="00CD16F0">
            <w:pPr>
              <w:jc w:val="center"/>
              <w:rPr>
                <w:b/>
                <w:bCs/>
                <w:color w:val="FFFFFF"/>
                <w:sz w:val="22"/>
                <w:szCs w:val="22"/>
                <w:lang w:eastAsia="ja-JP"/>
              </w:rPr>
            </w:pPr>
            <w:r w:rsidRPr="00CD16F0">
              <w:rPr>
                <w:b/>
                <w:bCs/>
                <w:color w:val="FFFFFF"/>
                <w:sz w:val="22"/>
                <w:szCs w:val="22"/>
                <w:lang w:eastAsia="ja-JP"/>
              </w:rPr>
              <w:t>Developer</w:t>
            </w:r>
          </w:p>
        </w:tc>
        <w:tc>
          <w:tcPr>
            <w:tcW w:w="2501" w:type="dxa"/>
            <w:tcBorders>
              <w:bottom w:val="single" w:sz="8" w:space="0" w:color="auto"/>
            </w:tcBorders>
            <w:shd w:val="clear" w:color="auto" w:fill="000000"/>
          </w:tcPr>
          <w:p w:rsidR="00C36B2E" w:rsidRPr="00CD16F0" w:rsidRDefault="00C36B2E" w:rsidP="00CD16F0">
            <w:pPr>
              <w:rPr>
                <w:b/>
                <w:bCs/>
                <w:color w:val="FFFFFF"/>
                <w:sz w:val="22"/>
                <w:szCs w:val="22"/>
                <w:lang w:eastAsia="ja-JP"/>
              </w:rPr>
            </w:pPr>
            <w:r w:rsidRPr="00CD16F0">
              <w:rPr>
                <w:b/>
                <w:bCs/>
                <w:color w:val="FFFFFF"/>
                <w:sz w:val="22"/>
                <w:szCs w:val="22"/>
                <w:lang w:eastAsia="ja-JP"/>
              </w:rPr>
              <w:t>Primary Reference</w:t>
            </w:r>
          </w:p>
        </w:tc>
      </w:tr>
      <w:tr w:rsidR="00C36B2E" w:rsidRPr="00805A85" w:rsidTr="00CD16F0">
        <w:trPr>
          <w:trHeight w:val="432"/>
        </w:trPr>
        <w:tc>
          <w:tcPr>
            <w:tcW w:w="1998" w:type="dxa"/>
            <w:tcBorders>
              <w:top w:val="single" w:sz="8" w:space="0" w:color="auto"/>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BCCR_BCM_2.0</w:t>
            </w:r>
          </w:p>
        </w:tc>
        <w:tc>
          <w:tcPr>
            <w:tcW w:w="3997" w:type="dxa"/>
            <w:tcBorders>
              <w:top w:val="single" w:sz="8" w:space="0" w:color="auto"/>
            </w:tcBorders>
          </w:tcPr>
          <w:p w:rsidR="00C36B2E" w:rsidRPr="00CD16F0" w:rsidRDefault="00C36B2E" w:rsidP="00CD16F0">
            <w:pPr>
              <w:jc w:val="center"/>
              <w:rPr>
                <w:rFonts w:eastAsia="Arial Unicode MS"/>
                <w:sz w:val="20"/>
                <w:szCs w:val="20"/>
                <w:lang w:eastAsia="ja-JP"/>
              </w:rPr>
            </w:pPr>
            <w:r w:rsidRPr="00CD16F0">
              <w:rPr>
                <w:rFonts w:eastAsia="Arial Unicode MS"/>
                <w:color w:val="000000"/>
                <w:sz w:val="20"/>
                <w:szCs w:val="20"/>
                <w:shd w:val="clear" w:color="auto" w:fill="FFFFFF"/>
                <w:lang w:eastAsia="ja-JP"/>
              </w:rPr>
              <w:t>Bjerknes Centre for Climate Research</w:t>
            </w:r>
          </w:p>
        </w:tc>
        <w:tc>
          <w:tcPr>
            <w:tcW w:w="2501" w:type="dxa"/>
            <w:tcBorders>
              <w:top w:val="single" w:sz="8" w:space="0" w:color="auto"/>
              <w:right w:val="single" w:sz="8" w:space="0" w:color="auto"/>
            </w:tcBorders>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 xml:space="preserve">Furevik </w:t>
            </w:r>
            <w:r w:rsidRPr="00CD16F0">
              <w:rPr>
                <w:rFonts w:eastAsia="Arial Unicode MS"/>
                <w:i/>
                <w:color w:val="000000"/>
                <w:sz w:val="20"/>
                <w:szCs w:val="20"/>
                <w:shd w:val="clear" w:color="auto" w:fill="FFFFFF"/>
                <w:lang w:eastAsia="ja-JP"/>
              </w:rPr>
              <w:t>et al.</w:t>
            </w:r>
            <w:r w:rsidRPr="00CD16F0">
              <w:rPr>
                <w:rFonts w:eastAsia="Arial Unicode MS"/>
                <w:color w:val="000000"/>
                <w:sz w:val="20"/>
                <w:szCs w:val="20"/>
                <w:shd w:val="clear" w:color="auto" w:fill="FFFFFF"/>
                <w:lang w:eastAsia="ja-JP"/>
              </w:rPr>
              <w:t xml:space="preserve"> 2003</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CGCM3.1 (T47)</w:t>
            </w:r>
          </w:p>
        </w:tc>
        <w:tc>
          <w:tcPr>
            <w:tcW w:w="3997" w:type="dxa"/>
          </w:tcPr>
          <w:p w:rsidR="00C36B2E" w:rsidRPr="00CD16F0" w:rsidRDefault="00C36B2E" w:rsidP="00CD16F0">
            <w:pPr>
              <w:jc w:val="center"/>
              <w:rPr>
                <w:rFonts w:eastAsia="Arial Unicode MS"/>
                <w:sz w:val="20"/>
                <w:szCs w:val="20"/>
                <w:lang w:eastAsia="ja-JP"/>
              </w:rPr>
            </w:pPr>
            <w:r w:rsidRPr="00CD16F0">
              <w:rPr>
                <w:rFonts w:eastAsia="Arial Unicode MS"/>
                <w:sz w:val="20"/>
                <w:szCs w:val="20"/>
                <w:lang w:eastAsia="ja-JP"/>
              </w:rPr>
              <w:t>Canadian Centre for Modeling and Analysis</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Flato and Boer 2001</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CNRM_CM3</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Meteo-France / Centre National de Recherches Meteorologiques, France</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 xml:space="preserve">Salas-Melia </w:t>
            </w:r>
            <w:r w:rsidRPr="00CD16F0">
              <w:rPr>
                <w:rFonts w:eastAsia="Arial Unicode MS"/>
                <w:i/>
                <w:color w:val="000000"/>
                <w:sz w:val="20"/>
                <w:szCs w:val="20"/>
                <w:shd w:val="clear" w:color="auto" w:fill="FFFFFF"/>
                <w:lang w:eastAsia="ja-JP"/>
              </w:rPr>
              <w:t>et al.</w:t>
            </w:r>
            <w:r w:rsidRPr="00CD16F0">
              <w:rPr>
                <w:rFonts w:eastAsia="Arial Unicode MS"/>
                <w:color w:val="000000"/>
                <w:sz w:val="20"/>
                <w:szCs w:val="20"/>
                <w:shd w:val="clear" w:color="auto" w:fill="FFFFFF"/>
                <w:lang w:eastAsia="ja-JP"/>
              </w:rPr>
              <w:t xml:space="preserve"> 2005</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CSIRO_MK3_0</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CSIRO Atmospheric Research, Australia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 xml:space="preserve">Gordon </w:t>
            </w:r>
            <w:r w:rsidRPr="00CD16F0">
              <w:rPr>
                <w:rFonts w:eastAsia="Arial Unicode MS"/>
                <w:i/>
                <w:color w:val="000000"/>
                <w:sz w:val="20"/>
                <w:szCs w:val="20"/>
                <w:shd w:val="clear" w:color="auto" w:fill="FFFFFF"/>
                <w:lang w:eastAsia="ja-JP"/>
              </w:rPr>
              <w:t>et al.</w:t>
            </w:r>
            <w:r w:rsidRPr="00CD16F0">
              <w:rPr>
                <w:rFonts w:eastAsia="Arial Unicode MS"/>
                <w:color w:val="000000"/>
                <w:sz w:val="20"/>
                <w:szCs w:val="20"/>
                <w:shd w:val="clear" w:color="auto" w:fill="FFFFFF"/>
                <w:lang w:eastAsia="ja-JP"/>
              </w:rPr>
              <w:t xml:space="preserve"> 2002</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GFDL_CM_2_0</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NOAA Geophysical Fluid Dynamics Laboratory, USA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Delworth </w:t>
            </w:r>
            <w:r w:rsidRPr="00CD16F0">
              <w:rPr>
                <w:i/>
                <w:sz w:val="20"/>
                <w:szCs w:val="20"/>
                <w:lang w:eastAsia="ja-JP"/>
              </w:rPr>
              <w:t>et al.</w:t>
            </w:r>
            <w:r w:rsidRPr="00CD16F0">
              <w:rPr>
                <w:sz w:val="20"/>
                <w:szCs w:val="20"/>
                <w:lang w:eastAsia="ja-JP"/>
              </w:rPr>
              <w:t xml:space="preserve"> 2006</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GFDL_CM_2_1</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NOAA Geophysical Fluid Dynamics Laboratory, USA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Delworth </w:t>
            </w:r>
            <w:r w:rsidRPr="00CD16F0">
              <w:rPr>
                <w:i/>
                <w:sz w:val="20"/>
                <w:szCs w:val="20"/>
                <w:lang w:eastAsia="ja-JP"/>
              </w:rPr>
              <w:t>et al.</w:t>
            </w:r>
            <w:r w:rsidRPr="00CD16F0">
              <w:rPr>
                <w:sz w:val="20"/>
                <w:szCs w:val="20"/>
                <w:lang w:eastAsia="ja-JP"/>
              </w:rPr>
              <w:t xml:space="preserve"> 2006</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GISS_MODEL_E_R</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NASA Goddard Institute for Space Studies, USA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Russell </w:t>
            </w:r>
            <w:r w:rsidRPr="00CD16F0">
              <w:rPr>
                <w:i/>
                <w:sz w:val="20"/>
                <w:szCs w:val="20"/>
                <w:lang w:eastAsia="ja-JP"/>
              </w:rPr>
              <w:t>et al.</w:t>
            </w:r>
            <w:r w:rsidRPr="00CD16F0">
              <w:rPr>
                <w:sz w:val="20"/>
                <w:szCs w:val="20"/>
                <w:lang w:eastAsia="ja-JP"/>
              </w:rPr>
              <w:t xml:space="preserve"> 2000</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INMCM3_0</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Institute for Numerical Mathematics, Russia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Diansky and Volodin 2002</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IPSL_CM4</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Institut Pierre Simon Laplace, France</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Marti </w:t>
            </w:r>
            <w:r w:rsidRPr="00CD16F0">
              <w:rPr>
                <w:i/>
                <w:sz w:val="20"/>
                <w:szCs w:val="20"/>
                <w:lang w:eastAsia="ja-JP"/>
              </w:rPr>
              <w:t>et al.</w:t>
            </w:r>
            <w:r w:rsidRPr="00CD16F0">
              <w:rPr>
                <w:sz w:val="20"/>
                <w:szCs w:val="20"/>
                <w:lang w:eastAsia="ja-JP"/>
              </w:rPr>
              <w:t xml:space="preserve"> 2005</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MIROC3.2 (MEDRES)</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Center for Climate System Research (The University of Tokyo), National Institute for Environmental Studies, and Frontier Research Center for Global Change (JAMSTEC), Japan</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Hasumi and Emori 2004</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MIUB_ECHOG</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Meteorological Institute of the University of Bonn, Meteorological Research Institute of KMA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Legutke and Voss 1999</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ECHAM5/MPI-OM</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Max Planck Institute for Meteorology, Germany</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Jungclaus </w:t>
            </w:r>
            <w:r w:rsidRPr="00CD16F0">
              <w:rPr>
                <w:i/>
                <w:sz w:val="20"/>
                <w:szCs w:val="20"/>
                <w:lang w:eastAsia="ja-JP"/>
              </w:rPr>
              <w:t>et al.</w:t>
            </w:r>
            <w:r w:rsidRPr="00CD16F0">
              <w:rPr>
                <w:sz w:val="20"/>
                <w:szCs w:val="20"/>
                <w:lang w:eastAsia="ja-JP"/>
              </w:rPr>
              <w:t xml:space="preserve"> 2005</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MRI-CGCM2.3.2</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Meteorological Research Institute, Japan</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Yukimoto </w:t>
            </w:r>
            <w:r w:rsidRPr="00CD16F0">
              <w:rPr>
                <w:i/>
                <w:sz w:val="20"/>
                <w:szCs w:val="20"/>
                <w:lang w:eastAsia="ja-JP"/>
              </w:rPr>
              <w:t>et al.</w:t>
            </w:r>
            <w:r w:rsidRPr="00CD16F0">
              <w:rPr>
                <w:sz w:val="20"/>
                <w:szCs w:val="20"/>
                <w:lang w:eastAsia="ja-JP"/>
              </w:rPr>
              <w:t xml:space="preserve"> 2001</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CCSM3</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National Center for Atmospheric Research, USA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Collins </w:t>
            </w:r>
            <w:r w:rsidRPr="00CD16F0">
              <w:rPr>
                <w:i/>
                <w:sz w:val="20"/>
                <w:szCs w:val="20"/>
                <w:lang w:eastAsia="ja-JP"/>
              </w:rPr>
              <w:t>et al.</w:t>
            </w:r>
            <w:r w:rsidRPr="00CD16F0">
              <w:rPr>
                <w:sz w:val="20"/>
                <w:szCs w:val="20"/>
                <w:lang w:eastAsia="ja-JP"/>
              </w:rPr>
              <w:t xml:space="preserve"> 2006</w:t>
            </w:r>
          </w:p>
        </w:tc>
      </w:tr>
      <w:tr w:rsidR="00C36B2E" w:rsidRPr="00805A85" w:rsidTr="00CD16F0">
        <w:trPr>
          <w:trHeight w:val="432"/>
        </w:trPr>
        <w:tc>
          <w:tcPr>
            <w:tcW w:w="1998" w:type="dxa"/>
            <w:tcBorders>
              <w:left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PCM</w:t>
            </w:r>
          </w:p>
        </w:tc>
        <w:tc>
          <w:tcPr>
            <w:tcW w:w="3997" w:type="dxa"/>
          </w:tcPr>
          <w:p w:rsidR="00C36B2E" w:rsidRPr="00CD16F0" w:rsidRDefault="00C36B2E" w:rsidP="00CD16F0">
            <w:pPr>
              <w:jc w:val="center"/>
              <w:rPr>
                <w:sz w:val="20"/>
                <w:szCs w:val="20"/>
                <w:lang w:eastAsia="ja-JP"/>
              </w:rPr>
            </w:pPr>
            <w:r w:rsidRPr="00CD16F0">
              <w:rPr>
                <w:rFonts w:eastAsia="Arial Unicode MS"/>
                <w:color w:val="000000"/>
                <w:sz w:val="20"/>
                <w:szCs w:val="20"/>
                <w:shd w:val="clear" w:color="auto" w:fill="FFFFFF"/>
                <w:lang w:eastAsia="ja-JP"/>
              </w:rPr>
              <w:t>National Center for Atmospheric Research, USA</w:t>
            </w:r>
          </w:p>
        </w:tc>
        <w:tc>
          <w:tcPr>
            <w:tcW w:w="2501" w:type="dxa"/>
            <w:tcBorders>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Washington </w:t>
            </w:r>
            <w:r w:rsidRPr="00CD16F0">
              <w:rPr>
                <w:i/>
                <w:sz w:val="20"/>
                <w:szCs w:val="20"/>
                <w:lang w:eastAsia="ja-JP"/>
              </w:rPr>
              <w:t>et al.</w:t>
            </w:r>
            <w:r w:rsidRPr="00CD16F0">
              <w:rPr>
                <w:sz w:val="20"/>
                <w:szCs w:val="20"/>
                <w:lang w:eastAsia="ja-JP"/>
              </w:rPr>
              <w:t xml:space="preserve"> 2000</w:t>
            </w:r>
          </w:p>
        </w:tc>
      </w:tr>
      <w:tr w:rsidR="00C36B2E" w:rsidRPr="00805A85" w:rsidTr="00CD16F0">
        <w:trPr>
          <w:trHeight w:val="432"/>
        </w:trPr>
        <w:tc>
          <w:tcPr>
            <w:tcW w:w="1998" w:type="dxa"/>
            <w:tcBorders>
              <w:left w:val="single" w:sz="8" w:space="0" w:color="auto"/>
              <w:bottom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UKMO-HADCM3</w:t>
            </w:r>
          </w:p>
        </w:tc>
        <w:tc>
          <w:tcPr>
            <w:tcW w:w="3997" w:type="dxa"/>
            <w:tcBorders>
              <w:bottom w:val="single" w:sz="8" w:space="0" w:color="auto"/>
            </w:tcBorders>
          </w:tcPr>
          <w:p w:rsidR="00C36B2E" w:rsidRPr="00CD16F0" w:rsidRDefault="00C36B2E" w:rsidP="00CD16F0">
            <w:pPr>
              <w:jc w:val="center"/>
              <w:rPr>
                <w:rFonts w:eastAsia="Arial Unicode MS"/>
                <w:color w:val="000000"/>
                <w:sz w:val="20"/>
                <w:szCs w:val="20"/>
                <w:shd w:val="clear" w:color="auto" w:fill="FFFFFF"/>
                <w:lang w:eastAsia="ja-JP"/>
              </w:rPr>
            </w:pPr>
            <w:r w:rsidRPr="00CD16F0">
              <w:rPr>
                <w:rFonts w:eastAsia="Arial Unicode MS"/>
                <w:color w:val="000000"/>
                <w:sz w:val="20"/>
                <w:szCs w:val="20"/>
                <w:shd w:val="clear" w:color="auto" w:fill="FFFFFF"/>
                <w:lang w:eastAsia="ja-JP"/>
              </w:rPr>
              <w:t>Hadley Centre for Climate Prediction and Research Met Office, UK</w:t>
            </w:r>
          </w:p>
        </w:tc>
        <w:tc>
          <w:tcPr>
            <w:tcW w:w="2501" w:type="dxa"/>
            <w:tcBorders>
              <w:bottom w:val="single" w:sz="8" w:space="0" w:color="auto"/>
              <w:right w:val="single" w:sz="8" w:space="0" w:color="auto"/>
            </w:tcBorders>
          </w:tcPr>
          <w:p w:rsidR="00C36B2E" w:rsidRPr="00CD16F0" w:rsidRDefault="00C36B2E" w:rsidP="00CD16F0">
            <w:pPr>
              <w:jc w:val="center"/>
              <w:rPr>
                <w:sz w:val="20"/>
                <w:szCs w:val="20"/>
                <w:lang w:eastAsia="ja-JP"/>
              </w:rPr>
            </w:pPr>
            <w:r w:rsidRPr="00CD16F0">
              <w:rPr>
                <w:sz w:val="20"/>
                <w:szCs w:val="20"/>
                <w:lang w:eastAsia="ja-JP"/>
              </w:rPr>
              <w:t xml:space="preserve">Gordon </w:t>
            </w:r>
            <w:r w:rsidRPr="00CD16F0">
              <w:rPr>
                <w:i/>
                <w:sz w:val="20"/>
                <w:szCs w:val="20"/>
                <w:lang w:eastAsia="ja-JP"/>
              </w:rPr>
              <w:t>et al.</w:t>
            </w:r>
            <w:r w:rsidRPr="00CD16F0">
              <w:rPr>
                <w:sz w:val="20"/>
                <w:szCs w:val="20"/>
                <w:lang w:eastAsia="ja-JP"/>
              </w:rPr>
              <w:t xml:space="preserve"> 2000</w:t>
            </w:r>
          </w:p>
        </w:tc>
      </w:tr>
    </w:tbl>
    <w:p w:rsidR="00637A87" w:rsidRDefault="00637A87" w:rsidP="000D5404">
      <w:pPr>
        <w:pStyle w:val="Heading2"/>
        <w:rPr>
          <w:noProof/>
        </w:rPr>
      </w:pPr>
      <w:bookmarkStart w:id="186" w:name="_Toc364501661"/>
    </w:p>
    <w:p w:rsidR="000844CF" w:rsidRDefault="000844CF" w:rsidP="000D5404">
      <w:pPr>
        <w:pStyle w:val="Heading2"/>
        <w:rPr>
          <w:noProof/>
        </w:rPr>
      </w:pPr>
    </w:p>
    <w:p w:rsidR="00CD20B4" w:rsidRPr="007C6530" w:rsidRDefault="005D2319" w:rsidP="000D5404">
      <w:pPr>
        <w:pStyle w:val="Heading2"/>
        <w:rPr>
          <w:noProof/>
        </w:rPr>
      </w:pPr>
      <w:bookmarkStart w:id="187" w:name="_Toc368046192"/>
      <w:r>
        <w:rPr>
          <w:noProof/>
        </w:rPr>
        <w:lastRenderedPageBreak/>
        <w:t>4.</w:t>
      </w:r>
      <w:r w:rsidR="00CD20B4">
        <w:rPr>
          <w:noProof/>
        </w:rPr>
        <w:t>4</w:t>
      </w:r>
      <w:r>
        <w:rPr>
          <w:noProof/>
        </w:rPr>
        <w:t>:</w:t>
      </w:r>
      <w:r w:rsidR="00CD20B4" w:rsidRPr="007C6530">
        <w:rPr>
          <w:noProof/>
        </w:rPr>
        <w:t xml:space="preserve"> </w:t>
      </w:r>
      <w:r w:rsidR="006F29EA">
        <w:rPr>
          <w:noProof/>
        </w:rPr>
        <w:t>Results</w:t>
      </w:r>
      <w:bookmarkEnd w:id="186"/>
      <w:bookmarkEnd w:id="187"/>
    </w:p>
    <w:p w:rsidR="00CD20B4" w:rsidRPr="00A25DD0" w:rsidRDefault="005D2319" w:rsidP="00A25DD0">
      <w:pPr>
        <w:pStyle w:val="Heading3"/>
        <w:spacing w:line="480" w:lineRule="auto"/>
        <w:rPr>
          <w:b w:val="0"/>
        </w:rPr>
      </w:pPr>
      <w:bookmarkStart w:id="188" w:name="_Toc364501662"/>
      <w:bookmarkStart w:id="189" w:name="_Toc368046193"/>
      <w:r w:rsidRPr="00A25DD0">
        <w:rPr>
          <w:b w:val="0"/>
        </w:rPr>
        <w:t>4.</w:t>
      </w:r>
      <w:r w:rsidR="00CD20B4" w:rsidRPr="00A25DD0">
        <w:rPr>
          <w:b w:val="0"/>
        </w:rPr>
        <w:t>4.1: Sensitivity Analysis and Calibration</w:t>
      </w:r>
      <w:bookmarkEnd w:id="188"/>
      <w:bookmarkEnd w:id="189"/>
    </w:p>
    <w:p w:rsidR="00CD20B4" w:rsidRDefault="00CD20B4" w:rsidP="00CD20B4">
      <w:pPr>
        <w:spacing w:line="480" w:lineRule="auto"/>
      </w:pPr>
      <w:r w:rsidRPr="00011685">
        <w:t xml:space="preserve">     </w:t>
      </w:r>
      <w:r>
        <w:t xml:space="preserve">Sensitivity analyses internal to the SWAT interface </w:t>
      </w:r>
      <w:r w:rsidRPr="00011685">
        <w:t xml:space="preserve">(van </w:t>
      </w:r>
      <w:r w:rsidRPr="00D373A2">
        <w:rPr>
          <w:rStyle w:val="Emphasis"/>
          <w:i w:val="0"/>
          <w:shd w:val="clear" w:color="auto" w:fill="FFFFFF"/>
        </w:rPr>
        <w:t>Griensven</w:t>
      </w:r>
      <w:r w:rsidRPr="004D7439">
        <w:rPr>
          <w:rStyle w:val="Emphasis"/>
          <w:b/>
          <w:bCs/>
          <w:shd w:val="clear" w:color="auto" w:fill="FFFFFF"/>
        </w:rPr>
        <w:t xml:space="preserve"> </w:t>
      </w:r>
      <w:r w:rsidRPr="00745C65">
        <w:rPr>
          <w:i/>
          <w:iCs/>
        </w:rPr>
        <w:t>et al.</w:t>
      </w:r>
      <w:r w:rsidRPr="00745C65">
        <w:t xml:space="preserve">, </w:t>
      </w:r>
      <w:r w:rsidRPr="00011685">
        <w:t>2006)</w:t>
      </w:r>
      <w:r>
        <w:t xml:space="preserve"> were performed using observed monthly streamflow data at the two stream gages located in the watershed</w:t>
      </w:r>
      <w:r w:rsidRPr="00011685">
        <w:t xml:space="preserve">.  </w:t>
      </w:r>
      <w:r>
        <w:t>Using a sensitivity index threshold of 1, implying a high sensitivity to input parameters, only one of twenty-six parameters, the “threshold depth of water in the shallow aquifer required for return flow to occur (mm H</w:t>
      </w:r>
      <w:r w:rsidRPr="00A15DA4">
        <w:rPr>
          <w:vertAlign w:val="subscript"/>
        </w:rPr>
        <w:t>2</w:t>
      </w:r>
      <w:r>
        <w:t xml:space="preserve">0)” parameter, was identified as sensitive at the upstream gage, and no parameters were sensitive at the downstream gage (Table </w:t>
      </w:r>
      <w:r w:rsidR="00F5524B">
        <w:t>4.</w:t>
      </w:r>
      <w:r>
        <w:t xml:space="preserve">3a-b).  Consequently, no further calibration was applied.  Moriasi </w:t>
      </w:r>
      <w:r w:rsidRPr="00745C65">
        <w:rPr>
          <w:i/>
          <w:iCs/>
        </w:rPr>
        <w:t>et al.</w:t>
      </w:r>
      <w:r w:rsidRPr="00745C65">
        <w:t xml:space="preserve"> </w:t>
      </w:r>
      <w:r>
        <w:t>(2007) provide criteria for evaluating the strength of model calibration as follows.  A "very good” fit is characterized by a Nash-Sutcliffe Efficiency (</w:t>
      </w:r>
      <w:r w:rsidRPr="00563C28">
        <w:t xml:space="preserve">NSE) </w:t>
      </w:r>
      <w:r>
        <w:t xml:space="preserve">&gt; </w:t>
      </w:r>
      <w:r w:rsidRPr="00563C28">
        <w:t>0.75</w:t>
      </w:r>
      <w:r>
        <w:t xml:space="preserve">, Percent Bias (PBIAS) &lt; ±10%, and </w:t>
      </w:r>
      <w:r w:rsidRPr="00F82C83">
        <w:t>RMSE-observations standard deviation ratio</w:t>
      </w:r>
      <w:r>
        <w:t xml:space="preserve"> (RSR) ≤ 0.5. An “acceptable” match is one with NSE &gt; 0.5, </w:t>
      </w:r>
      <w:proofErr w:type="gramStart"/>
      <w:r>
        <w:t>PBIAS  &lt;</w:t>
      </w:r>
      <w:proofErr w:type="gramEnd"/>
      <w:r>
        <w:t xml:space="preserve">  ±25%, and RSR &lt; 0.7.  On these criteria, </w:t>
      </w:r>
      <w:proofErr w:type="gramStart"/>
      <w:r w:rsidR="00772BF2">
        <w:t>a</w:t>
      </w:r>
      <w:proofErr w:type="gramEnd"/>
      <w:r w:rsidR="00772BF2">
        <w:t xml:space="preserve"> </w:t>
      </w:r>
      <w:r>
        <w:t>obtained a “very good” fit between simulated and observed monthly discharges (Q) at both stream gages</w:t>
      </w:r>
      <w:r w:rsidR="00772BF2">
        <w:t xml:space="preserve"> was obtained</w:t>
      </w:r>
      <w:r>
        <w:t xml:space="preserve"> (Figure 4.4).  The fit between simulated and observed Q was also evaluated on a seasonal timescale defined as follows: winter (December-January-February), spring (March-April-May), summer (June-July-August), and fall (September-October-November).  These fits were acceptable for all seasons except for fall (NSE &lt; 0, Figure </w:t>
      </w:r>
      <w:r w:rsidR="00BF3F17">
        <w:t>4.</w:t>
      </w:r>
      <w:r>
        <w:t xml:space="preserve">5), which therefore was not utilized for further simulations.  </w:t>
      </w:r>
    </w:p>
    <w:p w:rsidR="00F53943" w:rsidRDefault="00F53943" w:rsidP="008217C4">
      <w:pPr>
        <w:pStyle w:val="Tabletitle"/>
      </w:pPr>
      <w:bookmarkStart w:id="190" w:name="_Toc364503714"/>
    </w:p>
    <w:p w:rsidR="00F53943" w:rsidRDefault="00F53943" w:rsidP="008217C4">
      <w:pPr>
        <w:pStyle w:val="Tabletitle"/>
      </w:pPr>
    </w:p>
    <w:p w:rsidR="008217C4" w:rsidRDefault="008217C4" w:rsidP="00823916">
      <w:pPr>
        <w:pStyle w:val="Tabletitle"/>
      </w:pPr>
      <w:bookmarkStart w:id="191" w:name="_Toc367550608"/>
      <w:r>
        <w:lastRenderedPageBreak/>
        <w:t>Table 4.3</w:t>
      </w:r>
      <w:r w:rsidR="00605CBB">
        <w:t>:</w:t>
      </w:r>
      <w:r w:rsidR="0007661D">
        <w:t xml:space="preserve"> </w:t>
      </w:r>
      <w:r>
        <w:t>Most sensitive parameters from the Sensitivity Analysis for discharge at the (a) “Skeleton Creek at Enid, OK” USGS stream gage (upstream) and at the (b) “Skeleton Creek near Lovell, OK” USGS stream gage (downstream)</w:t>
      </w:r>
      <w:bookmarkEnd w:id="190"/>
      <w:bookmarkEnd w:id="191"/>
    </w:p>
    <w:p w:rsidR="00EE3AC6" w:rsidRPr="00EE3AC6" w:rsidRDefault="00EE3AC6" w:rsidP="00EE3AC6">
      <w:pPr>
        <w:rPr>
          <w:lang w:val="en-GB" w:eastAsia="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105"/>
        <w:gridCol w:w="1127"/>
        <w:gridCol w:w="3294"/>
        <w:gridCol w:w="49"/>
        <w:gridCol w:w="450"/>
        <w:gridCol w:w="796"/>
        <w:gridCol w:w="21"/>
        <w:gridCol w:w="765"/>
        <w:gridCol w:w="1105"/>
      </w:tblGrid>
      <w:tr w:rsidR="008217C4" w:rsidRPr="00202046" w:rsidTr="00823916">
        <w:trPr>
          <w:jc w:val="center"/>
        </w:trPr>
        <w:tc>
          <w:tcPr>
            <w:tcW w:w="634" w:type="pct"/>
            <w:tcBorders>
              <w:top w:val="single" w:sz="4" w:space="0" w:color="auto"/>
              <w:left w:val="single" w:sz="4" w:space="0" w:color="auto"/>
              <w:bottom w:val="single" w:sz="4" w:space="0" w:color="auto"/>
              <w:right w:val="single" w:sz="4" w:space="0" w:color="auto"/>
            </w:tcBorders>
            <w:shd w:val="clear" w:color="auto" w:fill="000000"/>
          </w:tcPr>
          <w:p w:rsidR="008217C4" w:rsidRPr="00202046" w:rsidRDefault="00823916" w:rsidP="00E01EA9">
            <w:pPr>
              <w:jc w:val="center"/>
              <w:rPr>
                <w:b/>
                <w:bCs/>
                <w:color w:val="FFFFFF"/>
                <w:sz w:val="20"/>
                <w:szCs w:val="20"/>
                <w:lang w:eastAsia="ja-JP"/>
              </w:rPr>
            </w:pPr>
            <w:r w:rsidRPr="00EE3AC6">
              <w:rPr>
                <w:b/>
                <w:bCs/>
                <w:color w:val="FFFFFF"/>
                <w:lang w:eastAsia="ja-JP"/>
              </w:rPr>
              <w:t>(a)</w:t>
            </w:r>
            <w:r>
              <w:rPr>
                <w:b/>
                <w:bCs/>
                <w:color w:val="FFFFFF"/>
                <w:sz w:val="20"/>
                <w:szCs w:val="20"/>
                <w:lang w:eastAsia="ja-JP"/>
              </w:rPr>
              <w:t xml:space="preserve"> </w:t>
            </w:r>
            <w:r w:rsidR="008217C4" w:rsidRPr="00202046">
              <w:rPr>
                <w:b/>
                <w:bCs/>
                <w:color w:val="FFFFFF"/>
                <w:sz w:val="20"/>
                <w:szCs w:val="20"/>
                <w:lang w:eastAsia="ja-JP"/>
              </w:rPr>
              <w:t>Sensitivity Ranking</w:t>
            </w:r>
            <w:r w:rsidR="008217C4" w:rsidRPr="00202046">
              <w:rPr>
                <w:b/>
                <w:bCs/>
                <w:color w:val="FFFFFF"/>
                <w:sz w:val="20"/>
                <w:szCs w:val="20"/>
                <w:vertAlign w:val="superscript"/>
                <w:lang w:eastAsia="ja-JP"/>
              </w:rPr>
              <w:t>a</w:t>
            </w:r>
          </w:p>
        </w:tc>
        <w:tc>
          <w:tcPr>
            <w:tcW w:w="647" w:type="pct"/>
            <w:tcBorders>
              <w:top w:val="single" w:sz="4" w:space="0" w:color="auto"/>
              <w:left w:val="single" w:sz="4" w:space="0" w:color="auto"/>
              <w:bottom w:val="single" w:sz="4" w:space="0" w:color="auto"/>
              <w:right w:val="single" w:sz="4" w:space="0" w:color="auto"/>
            </w:tcBorders>
            <w:shd w:val="clear" w:color="auto" w:fill="000000"/>
          </w:tcPr>
          <w:p w:rsidR="008217C4" w:rsidRPr="00202046" w:rsidRDefault="008217C4" w:rsidP="00E01EA9">
            <w:pPr>
              <w:jc w:val="center"/>
              <w:rPr>
                <w:rFonts w:eastAsia="PMingLiU" w:cs="Times New Roman"/>
                <w:b/>
                <w:bCs/>
                <w:color w:val="FFFFFF"/>
                <w:sz w:val="20"/>
                <w:szCs w:val="20"/>
                <w:lang w:eastAsia="ja-JP"/>
              </w:rPr>
            </w:pPr>
            <w:r w:rsidRPr="00202046">
              <w:rPr>
                <w:b/>
                <w:bCs/>
                <w:color w:val="FFFFFF"/>
                <w:sz w:val="20"/>
                <w:szCs w:val="20"/>
                <w:lang w:eastAsia="ja-JP"/>
              </w:rPr>
              <w:t>Parameter</w:t>
            </w:r>
          </w:p>
        </w:tc>
        <w:tc>
          <w:tcPr>
            <w:tcW w:w="1891" w:type="pct"/>
            <w:tcBorders>
              <w:top w:val="single" w:sz="4" w:space="0" w:color="auto"/>
              <w:left w:val="single" w:sz="4" w:space="0" w:color="auto"/>
              <w:bottom w:val="single" w:sz="4" w:space="0" w:color="auto"/>
              <w:right w:val="single" w:sz="4" w:space="0" w:color="auto"/>
            </w:tcBorders>
            <w:shd w:val="clear" w:color="auto" w:fill="000000"/>
          </w:tcPr>
          <w:p w:rsidR="008217C4" w:rsidRPr="00202046" w:rsidRDefault="008217C4" w:rsidP="00E01EA9">
            <w:pPr>
              <w:jc w:val="center"/>
              <w:rPr>
                <w:rFonts w:eastAsia="PMingLiU" w:cs="Times New Roman"/>
                <w:b/>
                <w:bCs/>
                <w:color w:val="FFFFFF"/>
                <w:sz w:val="20"/>
                <w:szCs w:val="20"/>
                <w:lang w:eastAsia="ja-JP"/>
              </w:rPr>
            </w:pPr>
            <w:r w:rsidRPr="00202046">
              <w:rPr>
                <w:b/>
                <w:bCs/>
                <w:color w:val="FFFFFF"/>
                <w:sz w:val="20"/>
                <w:szCs w:val="20"/>
                <w:lang w:eastAsia="ja-JP"/>
              </w:rPr>
              <w:t>Description</w:t>
            </w:r>
          </w:p>
        </w:tc>
        <w:tc>
          <w:tcPr>
            <w:tcW w:w="743" w:type="pct"/>
            <w:gridSpan w:val="3"/>
            <w:tcBorders>
              <w:top w:val="single" w:sz="4" w:space="0" w:color="auto"/>
              <w:left w:val="single" w:sz="4" w:space="0" w:color="auto"/>
              <w:bottom w:val="single" w:sz="4" w:space="0" w:color="auto"/>
              <w:right w:val="single" w:sz="4" w:space="0" w:color="auto"/>
            </w:tcBorders>
            <w:shd w:val="clear" w:color="auto" w:fill="000000"/>
          </w:tcPr>
          <w:p w:rsidR="008217C4" w:rsidRPr="00202046" w:rsidRDefault="008217C4" w:rsidP="00E01EA9">
            <w:pPr>
              <w:jc w:val="center"/>
              <w:rPr>
                <w:rFonts w:eastAsia="PMingLiU" w:cs="Times New Roman"/>
                <w:b/>
                <w:bCs/>
                <w:color w:val="FFFFFF"/>
                <w:sz w:val="20"/>
                <w:szCs w:val="20"/>
                <w:lang w:eastAsia="ja-JP"/>
              </w:rPr>
            </w:pPr>
            <w:r w:rsidRPr="00202046">
              <w:rPr>
                <w:b/>
                <w:bCs/>
                <w:color w:val="FFFFFF"/>
                <w:sz w:val="20"/>
                <w:szCs w:val="20"/>
                <w:lang w:eastAsia="ja-JP"/>
              </w:rPr>
              <w:t>Initial value</w:t>
            </w:r>
          </w:p>
        </w:tc>
        <w:tc>
          <w:tcPr>
            <w:tcW w:w="451" w:type="pct"/>
            <w:gridSpan w:val="2"/>
            <w:tcBorders>
              <w:top w:val="single" w:sz="4" w:space="0" w:color="auto"/>
              <w:left w:val="single" w:sz="4" w:space="0" w:color="auto"/>
              <w:bottom w:val="single" w:sz="4" w:space="0" w:color="auto"/>
              <w:right w:val="single" w:sz="4" w:space="0" w:color="auto"/>
            </w:tcBorders>
            <w:shd w:val="clear" w:color="auto" w:fill="000000"/>
          </w:tcPr>
          <w:p w:rsidR="008217C4" w:rsidRPr="00202046" w:rsidRDefault="008217C4" w:rsidP="00E01EA9">
            <w:pPr>
              <w:jc w:val="center"/>
              <w:rPr>
                <w:b/>
                <w:bCs/>
                <w:color w:val="FFFFFF"/>
                <w:sz w:val="20"/>
                <w:szCs w:val="20"/>
                <w:lang w:eastAsia="ja-JP"/>
              </w:rPr>
            </w:pPr>
            <w:r w:rsidRPr="00202046">
              <w:rPr>
                <w:b/>
                <w:bCs/>
                <w:color w:val="FFFFFF"/>
                <w:sz w:val="20"/>
                <w:szCs w:val="20"/>
                <w:lang w:eastAsia="ja-JP"/>
              </w:rPr>
              <w:t>Range Tested</w:t>
            </w:r>
          </w:p>
        </w:tc>
        <w:tc>
          <w:tcPr>
            <w:tcW w:w="634" w:type="pct"/>
            <w:tcBorders>
              <w:top w:val="single" w:sz="4" w:space="0" w:color="auto"/>
              <w:left w:val="single" w:sz="4" w:space="0" w:color="auto"/>
              <w:bottom w:val="single" w:sz="4" w:space="0" w:color="auto"/>
              <w:right w:val="single" w:sz="4" w:space="0" w:color="auto"/>
            </w:tcBorders>
            <w:shd w:val="clear" w:color="auto" w:fill="000000"/>
          </w:tcPr>
          <w:p w:rsidR="008217C4" w:rsidRPr="00202046" w:rsidRDefault="008217C4" w:rsidP="00E01EA9">
            <w:pPr>
              <w:jc w:val="center"/>
              <w:rPr>
                <w:rFonts w:eastAsia="PMingLiU" w:cs="Times New Roman"/>
                <w:b/>
                <w:bCs/>
                <w:color w:val="FFFFFF"/>
                <w:sz w:val="20"/>
                <w:szCs w:val="20"/>
                <w:lang w:eastAsia="ja-JP"/>
              </w:rPr>
            </w:pPr>
            <w:r w:rsidRPr="00202046">
              <w:rPr>
                <w:b/>
                <w:bCs/>
                <w:color w:val="FFFFFF"/>
                <w:sz w:val="20"/>
                <w:szCs w:val="20"/>
                <w:lang w:eastAsia="ja-JP"/>
              </w:rPr>
              <w:t>Sensitivity Index</w:t>
            </w:r>
          </w:p>
        </w:tc>
      </w:tr>
      <w:tr w:rsidR="00EE3AC6" w:rsidRPr="00202046" w:rsidTr="00EE3AC6">
        <w:trPr>
          <w:jc w:val="center"/>
        </w:trPr>
        <w:tc>
          <w:tcPr>
            <w:tcW w:w="634" w:type="pct"/>
            <w:tcBorders>
              <w:top w:val="single" w:sz="4" w:space="0" w:color="auto"/>
              <w:left w:val="single" w:sz="4" w:space="0" w:color="auto"/>
              <w:bottom w:val="nil"/>
              <w:right w:val="nil"/>
            </w:tcBorders>
          </w:tcPr>
          <w:p w:rsidR="00EE3AC6" w:rsidRPr="00202046" w:rsidRDefault="00EE3AC6" w:rsidP="00E01EA9">
            <w:pPr>
              <w:jc w:val="center"/>
              <w:rPr>
                <w:sz w:val="20"/>
                <w:szCs w:val="20"/>
                <w:lang w:eastAsia="ja-JP"/>
              </w:rPr>
            </w:pPr>
          </w:p>
        </w:tc>
        <w:tc>
          <w:tcPr>
            <w:tcW w:w="647" w:type="pct"/>
            <w:tcBorders>
              <w:top w:val="single" w:sz="4" w:space="0" w:color="auto"/>
              <w:left w:val="nil"/>
              <w:bottom w:val="nil"/>
              <w:right w:val="nil"/>
            </w:tcBorders>
          </w:tcPr>
          <w:p w:rsidR="00EE3AC6" w:rsidRPr="00202046" w:rsidRDefault="00EE3AC6" w:rsidP="00E01EA9">
            <w:pPr>
              <w:jc w:val="center"/>
              <w:rPr>
                <w:sz w:val="20"/>
                <w:szCs w:val="20"/>
                <w:lang w:eastAsia="ja-JP"/>
              </w:rPr>
            </w:pPr>
          </w:p>
        </w:tc>
        <w:tc>
          <w:tcPr>
            <w:tcW w:w="1919" w:type="pct"/>
            <w:gridSpan w:val="2"/>
            <w:tcBorders>
              <w:top w:val="nil"/>
              <w:left w:val="nil"/>
              <w:bottom w:val="nil"/>
              <w:right w:val="nil"/>
            </w:tcBorders>
          </w:tcPr>
          <w:p w:rsidR="00EE3AC6" w:rsidRPr="00202046" w:rsidRDefault="00EE3AC6" w:rsidP="006315D7">
            <w:pPr>
              <w:jc w:val="center"/>
              <w:rPr>
                <w:i/>
                <w:iCs/>
                <w:sz w:val="20"/>
                <w:szCs w:val="20"/>
                <w:lang w:eastAsia="ja-JP"/>
              </w:rPr>
            </w:pPr>
          </w:p>
        </w:tc>
        <w:tc>
          <w:tcPr>
            <w:tcW w:w="715" w:type="pct"/>
            <w:gridSpan w:val="2"/>
            <w:tcBorders>
              <w:top w:val="single" w:sz="4" w:space="0" w:color="auto"/>
              <w:left w:val="nil"/>
              <w:bottom w:val="nil"/>
              <w:right w:val="nil"/>
            </w:tcBorders>
          </w:tcPr>
          <w:p w:rsidR="00EE3AC6" w:rsidRPr="00202046" w:rsidRDefault="00EE3AC6" w:rsidP="00E01EA9">
            <w:pPr>
              <w:jc w:val="center"/>
              <w:rPr>
                <w:sz w:val="20"/>
                <w:szCs w:val="20"/>
                <w:lang w:eastAsia="ja-JP"/>
              </w:rPr>
            </w:pPr>
          </w:p>
        </w:tc>
        <w:tc>
          <w:tcPr>
            <w:tcW w:w="451" w:type="pct"/>
            <w:gridSpan w:val="2"/>
            <w:tcBorders>
              <w:top w:val="single" w:sz="4" w:space="0" w:color="auto"/>
              <w:left w:val="nil"/>
              <w:bottom w:val="nil"/>
              <w:right w:val="nil"/>
            </w:tcBorders>
          </w:tcPr>
          <w:p w:rsidR="00EE3AC6" w:rsidRPr="00202046" w:rsidRDefault="00EE3AC6" w:rsidP="00E01EA9">
            <w:pPr>
              <w:jc w:val="center"/>
              <w:rPr>
                <w:sz w:val="20"/>
                <w:szCs w:val="20"/>
                <w:lang w:eastAsia="ja-JP"/>
              </w:rPr>
            </w:pPr>
          </w:p>
        </w:tc>
        <w:tc>
          <w:tcPr>
            <w:tcW w:w="634" w:type="pct"/>
            <w:tcBorders>
              <w:top w:val="single" w:sz="4" w:space="0" w:color="auto"/>
              <w:left w:val="nil"/>
              <w:bottom w:val="nil"/>
              <w:right w:val="single" w:sz="4" w:space="0" w:color="auto"/>
            </w:tcBorders>
          </w:tcPr>
          <w:p w:rsidR="00EE3AC6" w:rsidRPr="00202046" w:rsidRDefault="00EE3AC6" w:rsidP="00E01EA9">
            <w:pPr>
              <w:jc w:val="center"/>
              <w:rPr>
                <w:sz w:val="20"/>
                <w:szCs w:val="20"/>
                <w:lang w:eastAsia="ja-JP"/>
              </w:rPr>
            </w:pPr>
          </w:p>
        </w:tc>
      </w:tr>
      <w:tr w:rsidR="008217C4" w:rsidRPr="00202046" w:rsidTr="00EE3AC6">
        <w:trPr>
          <w:jc w:val="center"/>
        </w:trPr>
        <w:tc>
          <w:tcPr>
            <w:tcW w:w="634" w:type="pct"/>
            <w:tcBorders>
              <w:top w:val="nil"/>
              <w:left w:val="single" w:sz="4" w:space="0" w:color="auto"/>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1</w:t>
            </w:r>
          </w:p>
        </w:tc>
        <w:tc>
          <w:tcPr>
            <w:tcW w:w="647" w:type="pct"/>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Gwqmn</w:t>
            </w:r>
          </w:p>
        </w:tc>
        <w:tc>
          <w:tcPr>
            <w:tcW w:w="1919" w:type="pct"/>
            <w:gridSpan w:val="2"/>
            <w:tcBorders>
              <w:top w:val="nil"/>
              <w:left w:val="nil"/>
              <w:bottom w:val="nil"/>
              <w:right w:val="nil"/>
            </w:tcBorders>
            <w:hideMark/>
          </w:tcPr>
          <w:p w:rsidR="008217C4" w:rsidRPr="00823916" w:rsidRDefault="008217C4" w:rsidP="006315D7">
            <w:pPr>
              <w:jc w:val="center"/>
              <w:rPr>
                <w:i/>
                <w:iCs/>
                <w:sz w:val="20"/>
                <w:szCs w:val="20"/>
                <w:lang w:eastAsia="ja-JP"/>
              </w:rPr>
            </w:pPr>
            <w:r w:rsidRPr="00202046">
              <w:rPr>
                <w:i/>
                <w:iCs/>
                <w:sz w:val="20"/>
                <w:szCs w:val="20"/>
                <w:lang w:eastAsia="ja-JP"/>
              </w:rPr>
              <w:t>Threshold depth of water in the shallow aquifer required for return flow to occur (mm)</w:t>
            </w:r>
          </w:p>
        </w:tc>
        <w:tc>
          <w:tcPr>
            <w:tcW w:w="715" w:type="pct"/>
            <w:gridSpan w:val="2"/>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150</w:t>
            </w:r>
          </w:p>
        </w:tc>
        <w:tc>
          <w:tcPr>
            <w:tcW w:w="451" w:type="pct"/>
            <w:gridSpan w:val="2"/>
            <w:tcBorders>
              <w:top w:val="nil"/>
              <w:left w:val="nil"/>
              <w:bottom w:val="nil"/>
              <w:right w:val="nil"/>
            </w:tcBorders>
          </w:tcPr>
          <w:p w:rsidR="008217C4" w:rsidRPr="00202046" w:rsidRDefault="008217C4" w:rsidP="00E01EA9">
            <w:pPr>
              <w:jc w:val="center"/>
              <w:rPr>
                <w:sz w:val="20"/>
                <w:szCs w:val="20"/>
                <w:lang w:eastAsia="ja-JP"/>
              </w:rPr>
            </w:pPr>
            <w:r w:rsidRPr="00202046">
              <w:rPr>
                <w:sz w:val="20"/>
                <w:szCs w:val="20"/>
                <w:lang w:eastAsia="ja-JP"/>
              </w:rPr>
              <w:t>-150, 4850</w:t>
            </w:r>
          </w:p>
        </w:tc>
        <w:tc>
          <w:tcPr>
            <w:tcW w:w="634" w:type="pct"/>
            <w:tcBorders>
              <w:top w:val="nil"/>
              <w:left w:val="nil"/>
              <w:bottom w:val="nil"/>
              <w:right w:val="single" w:sz="4" w:space="0" w:color="auto"/>
            </w:tcBorders>
          </w:tcPr>
          <w:p w:rsidR="00823916" w:rsidRDefault="008217C4" w:rsidP="00E01EA9">
            <w:pPr>
              <w:jc w:val="center"/>
              <w:rPr>
                <w:sz w:val="20"/>
                <w:szCs w:val="20"/>
                <w:lang w:eastAsia="ja-JP"/>
              </w:rPr>
            </w:pPr>
            <w:r w:rsidRPr="00202046">
              <w:rPr>
                <w:sz w:val="20"/>
                <w:szCs w:val="20"/>
                <w:lang w:eastAsia="ja-JP"/>
              </w:rPr>
              <w:t>1.14</w:t>
            </w:r>
          </w:p>
          <w:p w:rsidR="008217C4" w:rsidRPr="00202046" w:rsidRDefault="008217C4" w:rsidP="00E01EA9">
            <w:pPr>
              <w:jc w:val="center"/>
              <w:rPr>
                <w:rFonts w:eastAsia="PMingLiU" w:cs="Times New Roman"/>
                <w:sz w:val="20"/>
                <w:szCs w:val="20"/>
                <w:lang w:eastAsia="ja-JP"/>
              </w:rPr>
            </w:pPr>
          </w:p>
        </w:tc>
      </w:tr>
      <w:tr w:rsidR="008217C4" w:rsidRPr="00202046" w:rsidTr="00823916">
        <w:trPr>
          <w:jc w:val="center"/>
        </w:trPr>
        <w:tc>
          <w:tcPr>
            <w:tcW w:w="634" w:type="pct"/>
            <w:tcBorders>
              <w:top w:val="nil"/>
              <w:left w:val="single" w:sz="4" w:space="0" w:color="auto"/>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2</w:t>
            </w:r>
          </w:p>
        </w:tc>
        <w:tc>
          <w:tcPr>
            <w:tcW w:w="647" w:type="pct"/>
            <w:tcBorders>
              <w:top w:val="nil"/>
              <w:left w:val="nil"/>
              <w:bottom w:val="nil"/>
              <w:right w:val="nil"/>
            </w:tcBorders>
          </w:tcPr>
          <w:p w:rsidR="008217C4" w:rsidRPr="00202046" w:rsidRDefault="008217C4" w:rsidP="00E01EA9">
            <w:pPr>
              <w:jc w:val="center"/>
              <w:rPr>
                <w:rFonts w:eastAsia="PMingLiU" w:cs="Times New Roman"/>
                <w:color w:val="000000"/>
                <w:sz w:val="20"/>
                <w:szCs w:val="20"/>
                <w:lang w:eastAsia="ja-JP"/>
              </w:rPr>
            </w:pPr>
            <w:r w:rsidRPr="00202046">
              <w:rPr>
                <w:color w:val="000000"/>
                <w:sz w:val="20"/>
                <w:szCs w:val="20"/>
                <w:lang w:eastAsia="ja-JP"/>
              </w:rPr>
              <w:t>Alpha_bf</w:t>
            </w:r>
          </w:p>
          <w:p w:rsidR="008217C4" w:rsidRPr="00202046" w:rsidRDefault="008217C4" w:rsidP="00E01EA9">
            <w:pPr>
              <w:jc w:val="center"/>
              <w:rPr>
                <w:rFonts w:eastAsia="PMingLiU" w:cs="Times New Roman"/>
                <w:sz w:val="20"/>
                <w:szCs w:val="20"/>
                <w:lang w:eastAsia="ja-JP"/>
              </w:rPr>
            </w:pPr>
          </w:p>
        </w:tc>
        <w:tc>
          <w:tcPr>
            <w:tcW w:w="1919" w:type="pct"/>
            <w:gridSpan w:val="2"/>
            <w:tcBorders>
              <w:top w:val="nil"/>
              <w:left w:val="nil"/>
              <w:bottom w:val="nil"/>
              <w:right w:val="nil"/>
            </w:tcBorders>
            <w:hideMark/>
          </w:tcPr>
          <w:p w:rsidR="008217C4" w:rsidRPr="00202046" w:rsidRDefault="008217C4" w:rsidP="00E01EA9">
            <w:pPr>
              <w:jc w:val="center"/>
              <w:rPr>
                <w:rFonts w:eastAsia="PMingLiU" w:cs="Times New Roman"/>
                <w:i/>
                <w:sz w:val="20"/>
                <w:szCs w:val="20"/>
                <w:lang w:eastAsia="ja-JP"/>
              </w:rPr>
            </w:pPr>
            <w:r w:rsidRPr="00202046">
              <w:rPr>
                <w:i/>
                <w:sz w:val="20"/>
                <w:szCs w:val="20"/>
                <w:lang w:eastAsia="ja-JP"/>
              </w:rPr>
              <w:t>Baseflow recession factor (days)</w:t>
            </w:r>
          </w:p>
        </w:tc>
        <w:tc>
          <w:tcPr>
            <w:tcW w:w="715" w:type="pct"/>
            <w:gridSpan w:val="2"/>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0.01</w:t>
            </w:r>
          </w:p>
        </w:tc>
        <w:tc>
          <w:tcPr>
            <w:tcW w:w="451" w:type="pct"/>
            <w:gridSpan w:val="2"/>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0.01, 0.05</w:t>
            </w:r>
          </w:p>
        </w:tc>
        <w:tc>
          <w:tcPr>
            <w:tcW w:w="634" w:type="pct"/>
            <w:tcBorders>
              <w:top w:val="nil"/>
              <w:left w:val="nil"/>
              <w:bottom w:val="nil"/>
              <w:right w:val="single" w:sz="4" w:space="0" w:color="auto"/>
            </w:tcBorders>
          </w:tcPr>
          <w:p w:rsidR="008217C4" w:rsidRPr="00202046" w:rsidRDefault="008217C4" w:rsidP="00823916">
            <w:pPr>
              <w:jc w:val="center"/>
              <w:rPr>
                <w:rFonts w:eastAsia="PMingLiU" w:cs="Times New Roman"/>
                <w:sz w:val="20"/>
                <w:szCs w:val="20"/>
                <w:lang w:eastAsia="ja-JP"/>
              </w:rPr>
            </w:pPr>
            <w:r w:rsidRPr="00202046">
              <w:rPr>
                <w:color w:val="000000"/>
                <w:sz w:val="20"/>
                <w:szCs w:val="20"/>
                <w:lang w:eastAsia="ja-JP"/>
              </w:rPr>
              <w:t>0.329</w:t>
            </w:r>
          </w:p>
        </w:tc>
      </w:tr>
      <w:tr w:rsidR="008217C4" w:rsidRPr="00202046" w:rsidTr="00823916">
        <w:trPr>
          <w:jc w:val="center"/>
        </w:trPr>
        <w:tc>
          <w:tcPr>
            <w:tcW w:w="634" w:type="pct"/>
            <w:tcBorders>
              <w:top w:val="nil"/>
              <w:left w:val="single" w:sz="4" w:space="0" w:color="auto"/>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3</w:t>
            </w:r>
          </w:p>
        </w:tc>
        <w:tc>
          <w:tcPr>
            <w:tcW w:w="647" w:type="pct"/>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Ch_K2</w:t>
            </w:r>
          </w:p>
        </w:tc>
        <w:tc>
          <w:tcPr>
            <w:tcW w:w="1919" w:type="pct"/>
            <w:gridSpan w:val="2"/>
            <w:tcBorders>
              <w:top w:val="nil"/>
              <w:left w:val="nil"/>
              <w:bottom w:val="nil"/>
              <w:right w:val="nil"/>
            </w:tcBorders>
          </w:tcPr>
          <w:p w:rsidR="00823916" w:rsidRDefault="008217C4" w:rsidP="00E01EA9">
            <w:pPr>
              <w:jc w:val="center"/>
              <w:rPr>
                <w:i/>
                <w:iCs/>
                <w:sz w:val="20"/>
                <w:szCs w:val="20"/>
                <w:lang w:eastAsia="ja-JP"/>
              </w:rPr>
            </w:pPr>
            <w:r w:rsidRPr="00202046">
              <w:rPr>
                <w:i/>
                <w:iCs/>
                <w:sz w:val="20"/>
                <w:szCs w:val="20"/>
                <w:lang w:eastAsia="ja-JP"/>
              </w:rPr>
              <w:t xml:space="preserve">Effective hydraulic conductivity in </w:t>
            </w:r>
          </w:p>
          <w:p w:rsidR="008217C4" w:rsidRPr="00202046" w:rsidRDefault="008217C4" w:rsidP="00E01EA9">
            <w:pPr>
              <w:jc w:val="center"/>
              <w:rPr>
                <w:rFonts w:eastAsia="PMingLiU" w:cs="Times New Roman"/>
                <w:sz w:val="20"/>
                <w:szCs w:val="20"/>
                <w:lang w:eastAsia="ja-JP"/>
              </w:rPr>
            </w:pPr>
            <w:r w:rsidRPr="00202046">
              <w:rPr>
                <w:i/>
                <w:iCs/>
                <w:sz w:val="20"/>
                <w:szCs w:val="20"/>
                <w:lang w:eastAsia="ja-JP"/>
              </w:rPr>
              <w:t>main channel alluvium (mm/hr)</w:t>
            </w:r>
          </w:p>
        </w:tc>
        <w:tc>
          <w:tcPr>
            <w:tcW w:w="715" w:type="pct"/>
            <w:gridSpan w:val="2"/>
            <w:tcBorders>
              <w:top w:val="nil"/>
              <w:left w:val="nil"/>
              <w:bottom w:val="nil"/>
              <w:right w:val="nil"/>
            </w:tcBorders>
          </w:tcPr>
          <w:p w:rsidR="008217C4" w:rsidRPr="00202046" w:rsidRDefault="008217C4" w:rsidP="00E01EA9">
            <w:pPr>
              <w:jc w:val="center"/>
              <w:rPr>
                <w:rFonts w:eastAsia="PMingLiU" w:cs="Times New Roman"/>
                <w:sz w:val="20"/>
                <w:szCs w:val="20"/>
                <w:lang w:eastAsia="ja-JP"/>
              </w:rPr>
            </w:pPr>
            <w:r w:rsidRPr="00202046">
              <w:rPr>
                <w:sz w:val="20"/>
                <w:szCs w:val="20"/>
                <w:lang w:eastAsia="ja-JP"/>
              </w:rPr>
              <w:t>10</w:t>
            </w:r>
          </w:p>
          <w:p w:rsidR="008217C4" w:rsidRPr="00202046" w:rsidRDefault="008217C4" w:rsidP="00E01EA9">
            <w:pPr>
              <w:jc w:val="center"/>
              <w:rPr>
                <w:rFonts w:eastAsia="PMingLiU" w:cs="Times New Roman"/>
                <w:sz w:val="20"/>
                <w:szCs w:val="20"/>
                <w:lang w:eastAsia="ja-JP"/>
              </w:rPr>
            </w:pPr>
          </w:p>
        </w:tc>
        <w:tc>
          <w:tcPr>
            <w:tcW w:w="451" w:type="pct"/>
            <w:gridSpan w:val="2"/>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1, 150</w:t>
            </w:r>
          </w:p>
        </w:tc>
        <w:tc>
          <w:tcPr>
            <w:tcW w:w="634" w:type="pct"/>
            <w:tcBorders>
              <w:top w:val="nil"/>
              <w:left w:val="nil"/>
              <w:bottom w:val="nil"/>
              <w:right w:val="single" w:sz="4" w:space="0" w:color="auto"/>
            </w:tcBorders>
          </w:tcPr>
          <w:p w:rsidR="008217C4" w:rsidRDefault="008217C4" w:rsidP="00E01EA9">
            <w:pPr>
              <w:jc w:val="center"/>
              <w:rPr>
                <w:color w:val="000000"/>
                <w:sz w:val="20"/>
                <w:szCs w:val="20"/>
                <w:lang w:eastAsia="ja-JP"/>
              </w:rPr>
            </w:pPr>
            <w:r w:rsidRPr="00202046">
              <w:rPr>
                <w:color w:val="000000"/>
                <w:sz w:val="20"/>
                <w:szCs w:val="20"/>
                <w:lang w:eastAsia="ja-JP"/>
              </w:rPr>
              <w:t>0.273</w:t>
            </w:r>
          </w:p>
          <w:p w:rsidR="00823916" w:rsidRDefault="00823916" w:rsidP="00E01EA9">
            <w:pPr>
              <w:jc w:val="center"/>
              <w:rPr>
                <w:color w:val="000000"/>
                <w:sz w:val="20"/>
                <w:szCs w:val="20"/>
                <w:lang w:eastAsia="ja-JP"/>
              </w:rPr>
            </w:pPr>
          </w:p>
          <w:p w:rsidR="00823916" w:rsidRPr="00202046" w:rsidRDefault="00823916" w:rsidP="00E01EA9">
            <w:pPr>
              <w:jc w:val="center"/>
              <w:rPr>
                <w:rFonts w:eastAsia="PMingLiU" w:cs="Times New Roman"/>
                <w:sz w:val="20"/>
                <w:szCs w:val="20"/>
                <w:lang w:eastAsia="ja-JP"/>
              </w:rPr>
            </w:pPr>
          </w:p>
        </w:tc>
      </w:tr>
      <w:tr w:rsidR="008217C4" w:rsidRPr="00202046" w:rsidTr="00823916">
        <w:trPr>
          <w:jc w:val="center"/>
        </w:trPr>
        <w:tc>
          <w:tcPr>
            <w:tcW w:w="634" w:type="pct"/>
            <w:tcBorders>
              <w:top w:val="nil"/>
              <w:left w:val="single" w:sz="4" w:space="0" w:color="auto"/>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4</w:t>
            </w:r>
          </w:p>
        </w:tc>
        <w:tc>
          <w:tcPr>
            <w:tcW w:w="647" w:type="pct"/>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Rchrg_dp</w:t>
            </w:r>
          </w:p>
        </w:tc>
        <w:tc>
          <w:tcPr>
            <w:tcW w:w="1919" w:type="pct"/>
            <w:gridSpan w:val="2"/>
            <w:tcBorders>
              <w:top w:val="nil"/>
              <w:left w:val="nil"/>
              <w:bottom w:val="nil"/>
              <w:right w:val="nil"/>
            </w:tcBorders>
            <w:hideMark/>
          </w:tcPr>
          <w:p w:rsidR="008217C4" w:rsidRPr="00202046" w:rsidRDefault="008217C4" w:rsidP="00E01EA9">
            <w:pPr>
              <w:jc w:val="center"/>
              <w:rPr>
                <w:rFonts w:eastAsia="PMingLiU" w:cs="Times New Roman"/>
                <w:i/>
                <w:iCs/>
                <w:sz w:val="20"/>
                <w:szCs w:val="20"/>
                <w:lang w:eastAsia="ja-JP"/>
              </w:rPr>
            </w:pPr>
            <w:r w:rsidRPr="00202046">
              <w:rPr>
                <w:i/>
                <w:iCs/>
                <w:sz w:val="20"/>
                <w:szCs w:val="20"/>
                <w:lang w:eastAsia="ja-JP"/>
              </w:rPr>
              <w:t>Deep Aquifer Percolation Function</w:t>
            </w:r>
          </w:p>
        </w:tc>
        <w:tc>
          <w:tcPr>
            <w:tcW w:w="715" w:type="pct"/>
            <w:gridSpan w:val="2"/>
            <w:tcBorders>
              <w:top w:val="nil"/>
              <w:left w:val="nil"/>
              <w:bottom w:val="nil"/>
              <w:right w:val="nil"/>
            </w:tcBorders>
          </w:tcPr>
          <w:p w:rsidR="008217C4" w:rsidRPr="00202046" w:rsidRDefault="008217C4" w:rsidP="00E01EA9">
            <w:pPr>
              <w:jc w:val="center"/>
              <w:rPr>
                <w:rFonts w:eastAsia="PMingLiU" w:cs="Times New Roman"/>
                <w:sz w:val="20"/>
                <w:szCs w:val="20"/>
                <w:lang w:eastAsia="ja-JP"/>
              </w:rPr>
            </w:pPr>
            <w:r w:rsidRPr="00202046">
              <w:rPr>
                <w:sz w:val="20"/>
                <w:szCs w:val="20"/>
                <w:lang w:eastAsia="ja-JP"/>
              </w:rPr>
              <w:t>0</w:t>
            </w:r>
          </w:p>
          <w:p w:rsidR="008217C4" w:rsidRPr="00202046" w:rsidRDefault="008217C4" w:rsidP="00E01EA9">
            <w:pPr>
              <w:jc w:val="center"/>
              <w:rPr>
                <w:rFonts w:eastAsia="PMingLiU" w:cs="Times New Roman"/>
                <w:sz w:val="20"/>
                <w:szCs w:val="20"/>
                <w:lang w:eastAsia="ja-JP"/>
              </w:rPr>
            </w:pPr>
          </w:p>
        </w:tc>
        <w:tc>
          <w:tcPr>
            <w:tcW w:w="451" w:type="pct"/>
            <w:gridSpan w:val="2"/>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0, 1</w:t>
            </w:r>
          </w:p>
        </w:tc>
        <w:tc>
          <w:tcPr>
            <w:tcW w:w="634" w:type="pct"/>
            <w:tcBorders>
              <w:top w:val="nil"/>
              <w:left w:val="nil"/>
              <w:bottom w:val="nil"/>
              <w:right w:val="single" w:sz="4" w:space="0" w:color="auto"/>
            </w:tcBorders>
          </w:tcPr>
          <w:p w:rsidR="008217C4" w:rsidRPr="00202046" w:rsidRDefault="008217C4" w:rsidP="00E01EA9">
            <w:pPr>
              <w:jc w:val="center"/>
              <w:rPr>
                <w:color w:val="000000"/>
                <w:sz w:val="20"/>
                <w:szCs w:val="20"/>
                <w:lang w:eastAsia="ja-JP"/>
              </w:rPr>
            </w:pPr>
            <w:r w:rsidRPr="00202046">
              <w:rPr>
                <w:color w:val="000000"/>
                <w:sz w:val="20"/>
                <w:szCs w:val="20"/>
                <w:lang w:eastAsia="ja-JP"/>
              </w:rPr>
              <w:t>0.243</w:t>
            </w:r>
          </w:p>
          <w:p w:rsidR="008217C4" w:rsidRPr="00202046" w:rsidRDefault="008217C4" w:rsidP="00E01EA9">
            <w:pPr>
              <w:jc w:val="center"/>
              <w:rPr>
                <w:rFonts w:eastAsia="PMingLiU" w:cs="Times New Roman"/>
                <w:sz w:val="20"/>
                <w:szCs w:val="20"/>
                <w:lang w:eastAsia="ja-JP"/>
              </w:rPr>
            </w:pPr>
          </w:p>
        </w:tc>
      </w:tr>
      <w:tr w:rsidR="008217C4" w:rsidRPr="00202046" w:rsidTr="00823916">
        <w:trPr>
          <w:jc w:val="center"/>
        </w:trPr>
        <w:tc>
          <w:tcPr>
            <w:tcW w:w="634" w:type="pct"/>
            <w:tcBorders>
              <w:top w:val="nil"/>
              <w:left w:val="single" w:sz="4" w:space="0" w:color="auto"/>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5</w:t>
            </w:r>
          </w:p>
        </w:tc>
        <w:tc>
          <w:tcPr>
            <w:tcW w:w="647" w:type="pct"/>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Cn2</w:t>
            </w:r>
          </w:p>
        </w:tc>
        <w:tc>
          <w:tcPr>
            <w:tcW w:w="1919" w:type="pct"/>
            <w:gridSpan w:val="2"/>
            <w:tcBorders>
              <w:top w:val="nil"/>
              <w:left w:val="nil"/>
              <w:bottom w:val="nil"/>
              <w:right w:val="nil"/>
            </w:tcBorders>
          </w:tcPr>
          <w:p w:rsidR="008217C4" w:rsidRPr="00823916" w:rsidRDefault="008217C4" w:rsidP="00E01EA9">
            <w:pPr>
              <w:jc w:val="center"/>
              <w:rPr>
                <w:i/>
                <w:sz w:val="20"/>
                <w:szCs w:val="20"/>
                <w:lang w:eastAsia="ja-JP"/>
              </w:rPr>
            </w:pPr>
            <w:r w:rsidRPr="00202046">
              <w:rPr>
                <w:i/>
                <w:sz w:val="20"/>
                <w:szCs w:val="20"/>
                <w:lang w:eastAsia="ja-JP"/>
              </w:rPr>
              <w:t>Initial Soil Conservation Service curve number</w:t>
            </w:r>
            <w:r>
              <w:rPr>
                <w:i/>
                <w:sz w:val="20"/>
                <w:szCs w:val="20"/>
                <w:lang w:eastAsia="ja-JP"/>
              </w:rPr>
              <w:t xml:space="preserve"> </w:t>
            </w:r>
            <w:r w:rsidR="00823916">
              <w:rPr>
                <w:i/>
                <w:sz w:val="20"/>
                <w:szCs w:val="20"/>
                <w:lang w:eastAsia="ja-JP"/>
              </w:rPr>
              <w:t xml:space="preserve"> </w:t>
            </w:r>
            <w:r>
              <w:rPr>
                <w:i/>
                <w:sz w:val="20"/>
                <w:szCs w:val="20"/>
                <w:lang w:eastAsia="ja-JP"/>
              </w:rPr>
              <w:t>for moisture</w:t>
            </w:r>
            <w:r w:rsidR="00823916">
              <w:rPr>
                <w:i/>
                <w:sz w:val="20"/>
                <w:szCs w:val="20"/>
                <w:lang w:eastAsia="ja-JP"/>
              </w:rPr>
              <w:t xml:space="preserve"> </w:t>
            </w:r>
            <w:r w:rsidRPr="00202046">
              <w:rPr>
                <w:i/>
                <w:sz w:val="20"/>
                <w:szCs w:val="20"/>
                <w:lang w:eastAsia="ja-JP"/>
              </w:rPr>
              <w:t>condition II</w:t>
            </w:r>
          </w:p>
        </w:tc>
        <w:tc>
          <w:tcPr>
            <w:tcW w:w="715" w:type="pct"/>
            <w:gridSpan w:val="2"/>
            <w:tcBorders>
              <w:top w:val="nil"/>
              <w:left w:val="nil"/>
              <w:bottom w:val="nil"/>
              <w:right w:val="nil"/>
            </w:tcBorders>
          </w:tcPr>
          <w:p w:rsidR="008217C4" w:rsidRPr="00202046" w:rsidRDefault="008217C4" w:rsidP="00E01EA9">
            <w:pPr>
              <w:jc w:val="center"/>
              <w:rPr>
                <w:rFonts w:eastAsia="PMingLiU" w:cs="Times New Roman"/>
                <w:sz w:val="20"/>
                <w:szCs w:val="20"/>
                <w:lang w:eastAsia="ja-JP"/>
              </w:rPr>
            </w:pPr>
            <w:r w:rsidRPr="00202046">
              <w:rPr>
                <w:sz w:val="20"/>
                <w:szCs w:val="20"/>
                <w:lang w:eastAsia="ja-JP"/>
              </w:rPr>
              <w:t>Default</w:t>
            </w:r>
          </w:p>
          <w:p w:rsidR="008217C4" w:rsidRPr="00202046" w:rsidRDefault="008217C4" w:rsidP="00E01EA9">
            <w:pPr>
              <w:jc w:val="center"/>
              <w:rPr>
                <w:rFonts w:eastAsia="PMingLiU" w:cs="Times New Roman"/>
                <w:sz w:val="20"/>
                <w:szCs w:val="20"/>
                <w:lang w:eastAsia="ja-JP"/>
              </w:rPr>
            </w:pPr>
          </w:p>
        </w:tc>
        <w:tc>
          <w:tcPr>
            <w:tcW w:w="451" w:type="pct"/>
            <w:gridSpan w:val="2"/>
            <w:tcBorders>
              <w:top w:val="nil"/>
              <w:left w:val="nil"/>
              <w:bottom w:val="nil"/>
              <w:right w:val="nil"/>
            </w:tcBorders>
            <w:hideMark/>
          </w:tcPr>
          <w:p w:rsidR="008217C4" w:rsidRPr="00202046" w:rsidRDefault="008217C4" w:rsidP="00E01EA9">
            <w:pPr>
              <w:jc w:val="center"/>
              <w:rPr>
                <w:rFonts w:eastAsia="PMingLiU" w:cs="Times New Roman"/>
                <w:sz w:val="20"/>
                <w:szCs w:val="20"/>
                <w:lang w:eastAsia="ja-JP"/>
              </w:rPr>
            </w:pPr>
            <w:r w:rsidRPr="00202046">
              <w:rPr>
                <w:sz w:val="20"/>
                <w:szCs w:val="20"/>
                <w:lang w:eastAsia="ja-JP"/>
              </w:rPr>
              <w:t>±10%</w:t>
            </w:r>
            <w:r w:rsidRPr="00202046">
              <w:rPr>
                <w:sz w:val="20"/>
                <w:szCs w:val="20"/>
                <w:vertAlign w:val="superscript"/>
                <w:lang w:eastAsia="ja-JP"/>
              </w:rPr>
              <w:t>b</w:t>
            </w:r>
          </w:p>
        </w:tc>
        <w:tc>
          <w:tcPr>
            <w:tcW w:w="634" w:type="pct"/>
            <w:tcBorders>
              <w:top w:val="nil"/>
              <w:left w:val="nil"/>
              <w:bottom w:val="nil"/>
              <w:right w:val="single" w:sz="4" w:space="0" w:color="auto"/>
            </w:tcBorders>
          </w:tcPr>
          <w:p w:rsidR="00823916" w:rsidRDefault="008217C4" w:rsidP="00823916">
            <w:pPr>
              <w:jc w:val="center"/>
              <w:rPr>
                <w:color w:val="000000"/>
                <w:sz w:val="20"/>
                <w:szCs w:val="20"/>
                <w:lang w:eastAsia="ja-JP"/>
              </w:rPr>
            </w:pPr>
            <w:r w:rsidRPr="00202046">
              <w:rPr>
                <w:color w:val="000000"/>
                <w:sz w:val="20"/>
                <w:szCs w:val="20"/>
                <w:lang w:eastAsia="ja-JP"/>
              </w:rPr>
              <w:t>0.118</w:t>
            </w:r>
          </w:p>
          <w:p w:rsidR="00823916" w:rsidRPr="00202046" w:rsidRDefault="00823916" w:rsidP="00823916">
            <w:pPr>
              <w:jc w:val="center"/>
              <w:rPr>
                <w:rFonts w:eastAsia="PMingLiU" w:cs="Times New Roman"/>
                <w:sz w:val="20"/>
                <w:szCs w:val="20"/>
                <w:lang w:eastAsia="ja-JP"/>
              </w:rPr>
            </w:pPr>
          </w:p>
        </w:tc>
      </w:tr>
      <w:tr w:rsidR="008217C4" w:rsidRPr="00202046" w:rsidTr="00EE3AC6">
        <w:tblPrEx>
          <w:tblBorders>
            <w:insideH w:val="none" w:sz="0" w:space="0" w:color="auto"/>
            <w:insideV w:val="none" w:sz="0" w:space="0" w:color="auto"/>
          </w:tblBorders>
        </w:tblPrEx>
        <w:trPr>
          <w:jc w:val="center"/>
        </w:trPr>
        <w:tc>
          <w:tcPr>
            <w:tcW w:w="634" w:type="pct"/>
            <w:tcBorders>
              <w:top w:val="single" w:sz="4" w:space="0" w:color="auto"/>
              <w:left w:val="single" w:sz="4" w:space="0" w:color="auto"/>
              <w:bottom w:val="nil"/>
              <w:right w:val="nil"/>
            </w:tcBorders>
            <w:shd w:val="clear" w:color="auto" w:fill="auto"/>
            <w:hideMark/>
          </w:tcPr>
          <w:p w:rsidR="008217C4" w:rsidRPr="00202046" w:rsidRDefault="008217C4" w:rsidP="00EE3AC6">
            <w:pPr>
              <w:spacing w:line="276" w:lineRule="auto"/>
              <w:jc w:val="center"/>
              <w:rPr>
                <w:rFonts w:eastAsia="PMingLiU" w:cs="Times New Roman"/>
                <w:b/>
                <w:bCs/>
                <w:color w:val="FFFFFF"/>
                <w:sz w:val="20"/>
                <w:szCs w:val="20"/>
                <w:lang w:eastAsia="ja-JP"/>
              </w:rPr>
            </w:pPr>
            <w:r w:rsidRPr="00823916">
              <w:rPr>
                <w:b/>
                <w:lang w:val="en-GB" w:eastAsia="en-GB"/>
              </w:rPr>
              <w:t>(b)</w:t>
            </w:r>
            <w:r w:rsidR="00823916">
              <w:rPr>
                <w:b/>
                <w:lang w:val="en-GB" w:eastAsia="en-GB"/>
              </w:rPr>
              <w:t xml:space="preserve"> </w:t>
            </w:r>
          </w:p>
        </w:tc>
        <w:tc>
          <w:tcPr>
            <w:tcW w:w="647" w:type="pct"/>
            <w:tcBorders>
              <w:top w:val="single" w:sz="4" w:space="0" w:color="auto"/>
              <w:left w:val="nil"/>
              <w:bottom w:val="nil"/>
              <w:right w:val="nil"/>
            </w:tcBorders>
            <w:shd w:val="clear" w:color="auto" w:fill="auto"/>
            <w:hideMark/>
          </w:tcPr>
          <w:p w:rsidR="008217C4" w:rsidRPr="00202046" w:rsidRDefault="008217C4" w:rsidP="00E01EA9">
            <w:pPr>
              <w:spacing w:line="276" w:lineRule="auto"/>
              <w:jc w:val="center"/>
              <w:rPr>
                <w:rFonts w:eastAsia="PMingLiU" w:cs="Times New Roman"/>
                <w:b/>
                <w:bCs/>
                <w:color w:val="FFFFFF"/>
                <w:sz w:val="20"/>
                <w:szCs w:val="20"/>
                <w:lang w:eastAsia="ja-JP"/>
              </w:rPr>
            </w:pPr>
          </w:p>
        </w:tc>
        <w:tc>
          <w:tcPr>
            <w:tcW w:w="2177" w:type="pct"/>
            <w:gridSpan w:val="3"/>
            <w:tcBorders>
              <w:top w:val="single" w:sz="4" w:space="0" w:color="auto"/>
              <w:left w:val="nil"/>
              <w:bottom w:val="nil"/>
              <w:right w:val="nil"/>
            </w:tcBorders>
            <w:shd w:val="clear" w:color="auto" w:fill="auto"/>
            <w:hideMark/>
          </w:tcPr>
          <w:p w:rsidR="008217C4" w:rsidRPr="00202046" w:rsidRDefault="008217C4" w:rsidP="00E01EA9">
            <w:pPr>
              <w:spacing w:line="276" w:lineRule="auto"/>
              <w:jc w:val="center"/>
              <w:rPr>
                <w:rFonts w:eastAsia="PMingLiU" w:cs="Times New Roman"/>
                <w:b/>
                <w:bCs/>
                <w:color w:val="FFFFFF"/>
                <w:sz w:val="20"/>
                <w:szCs w:val="20"/>
                <w:lang w:eastAsia="ja-JP"/>
              </w:rPr>
            </w:pPr>
          </w:p>
        </w:tc>
        <w:tc>
          <w:tcPr>
            <w:tcW w:w="469" w:type="pct"/>
            <w:gridSpan w:val="2"/>
            <w:tcBorders>
              <w:top w:val="single" w:sz="4" w:space="0" w:color="auto"/>
              <w:left w:val="nil"/>
              <w:bottom w:val="nil"/>
              <w:right w:val="nil"/>
            </w:tcBorders>
            <w:shd w:val="clear" w:color="auto" w:fill="auto"/>
            <w:hideMark/>
          </w:tcPr>
          <w:p w:rsidR="008217C4" w:rsidRPr="00202046" w:rsidRDefault="008217C4" w:rsidP="00E01EA9">
            <w:pPr>
              <w:jc w:val="center"/>
              <w:rPr>
                <w:rFonts w:eastAsia="PMingLiU" w:cs="Times New Roman"/>
                <w:b/>
                <w:bCs/>
                <w:color w:val="FFFFFF"/>
                <w:sz w:val="20"/>
                <w:szCs w:val="20"/>
                <w:lang w:eastAsia="ja-JP"/>
              </w:rPr>
            </w:pPr>
          </w:p>
        </w:tc>
        <w:tc>
          <w:tcPr>
            <w:tcW w:w="438" w:type="pct"/>
            <w:tcBorders>
              <w:top w:val="single" w:sz="4" w:space="0" w:color="auto"/>
              <w:left w:val="nil"/>
              <w:bottom w:val="nil"/>
              <w:right w:val="nil"/>
            </w:tcBorders>
            <w:shd w:val="clear" w:color="auto" w:fill="auto"/>
            <w:hideMark/>
          </w:tcPr>
          <w:p w:rsidR="008217C4" w:rsidRPr="00202046" w:rsidRDefault="008217C4" w:rsidP="00E01EA9">
            <w:pPr>
              <w:jc w:val="center"/>
              <w:rPr>
                <w:rFonts w:eastAsia="PMingLiU" w:cs="Times New Roman"/>
                <w:b/>
                <w:bCs/>
                <w:color w:val="FFFFFF"/>
                <w:sz w:val="20"/>
                <w:szCs w:val="20"/>
                <w:lang w:eastAsia="ja-JP"/>
              </w:rPr>
            </w:pPr>
          </w:p>
        </w:tc>
        <w:tc>
          <w:tcPr>
            <w:tcW w:w="634" w:type="pct"/>
            <w:tcBorders>
              <w:top w:val="single" w:sz="4" w:space="0" w:color="auto"/>
              <w:left w:val="nil"/>
              <w:bottom w:val="nil"/>
              <w:right w:val="single" w:sz="4" w:space="0" w:color="auto"/>
            </w:tcBorders>
            <w:shd w:val="clear" w:color="auto" w:fill="auto"/>
            <w:hideMark/>
          </w:tcPr>
          <w:p w:rsidR="008217C4" w:rsidRPr="00202046" w:rsidRDefault="008217C4" w:rsidP="00E01EA9">
            <w:pPr>
              <w:spacing w:line="276" w:lineRule="auto"/>
              <w:jc w:val="center"/>
              <w:rPr>
                <w:rFonts w:eastAsia="PMingLiU" w:cs="Times New Roman"/>
                <w:b/>
                <w:bCs/>
                <w:color w:val="FFFFFF"/>
                <w:sz w:val="20"/>
                <w:szCs w:val="20"/>
                <w:lang w:eastAsia="ja-JP"/>
              </w:rPr>
            </w:pPr>
          </w:p>
        </w:tc>
      </w:tr>
      <w:tr w:rsidR="008217C4" w:rsidRPr="00202046" w:rsidTr="00823916">
        <w:tblPrEx>
          <w:tblBorders>
            <w:insideH w:val="none" w:sz="0" w:space="0" w:color="auto"/>
            <w:insideV w:val="none" w:sz="0" w:space="0" w:color="auto"/>
          </w:tblBorders>
        </w:tblPrEx>
        <w:trPr>
          <w:jc w:val="center"/>
        </w:trPr>
        <w:tc>
          <w:tcPr>
            <w:tcW w:w="634" w:type="pct"/>
            <w:tcBorders>
              <w:top w:val="nil"/>
              <w:left w:val="single" w:sz="4" w:space="0" w:color="auto"/>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1</w:t>
            </w:r>
          </w:p>
        </w:tc>
        <w:tc>
          <w:tcPr>
            <w:tcW w:w="647" w:type="pct"/>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Cn2</w:t>
            </w:r>
          </w:p>
        </w:tc>
        <w:tc>
          <w:tcPr>
            <w:tcW w:w="2177" w:type="pct"/>
            <w:gridSpan w:val="3"/>
            <w:tcBorders>
              <w:top w:val="nil"/>
              <w:left w:val="nil"/>
              <w:bottom w:val="nil"/>
              <w:right w:val="nil"/>
            </w:tcBorders>
          </w:tcPr>
          <w:p w:rsidR="00823916" w:rsidRDefault="008217C4" w:rsidP="00EE3AC6">
            <w:pPr>
              <w:jc w:val="center"/>
              <w:rPr>
                <w:i/>
                <w:sz w:val="20"/>
                <w:szCs w:val="20"/>
                <w:lang w:eastAsia="ja-JP"/>
              </w:rPr>
            </w:pPr>
            <w:r w:rsidRPr="00202046">
              <w:rPr>
                <w:i/>
                <w:sz w:val="20"/>
                <w:szCs w:val="20"/>
                <w:lang w:eastAsia="ja-JP"/>
              </w:rPr>
              <w:t xml:space="preserve">Initial Soil Conservation Service curve </w:t>
            </w:r>
          </w:p>
          <w:p w:rsidR="008217C4" w:rsidRPr="00202046" w:rsidRDefault="008217C4" w:rsidP="00EE3AC6">
            <w:pPr>
              <w:jc w:val="center"/>
              <w:rPr>
                <w:rFonts w:eastAsia="PMingLiU" w:cs="Times New Roman"/>
                <w:i/>
                <w:sz w:val="20"/>
                <w:szCs w:val="20"/>
                <w:lang w:eastAsia="ja-JP"/>
              </w:rPr>
            </w:pPr>
            <w:r w:rsidRPr="00202046">
              <w:rPr>
                <w:i/>
                <w:sz w:val="20"/>
                <w:szCs w:val="20"/>
                <w:lang w:eastAsia="ja-JP"/>
              </w:rPr>
              <w:t>number for moisture condition II</w:t>
            </w:r>
          </w:p>
        </w:tc>
        <w:tc>
          <w:tcPr>
            <w:tcW w:w="469" w:type="pct"/>
            <w:gridSpan w:val="2"/>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Default</w:t>
            </w:r>
          </w:p>
        </w:tc>
        <w:tc>
          <w:tcPr>
            <w:tcW w:w="438" w:type="pct"/>
            <w:tcBorders>
              <w:top w:val="nil"/>
              <w:left w:val="nil"/>
              <w:bottom w:val="nil"/>
              <w:right w:val="nil"/>
            </w:tcBorders>
          </w:tcPr>
          <w:p w:rsidR="008217C4" w:rsidRPr="00202046" w:rsidRDefault="008217C4" w:rsidP="00823916">
            <w:pPr>
              <w:spacing w:after="120"/>
              <w:jc w:val="center"/>
              <w:rPr>
                <w:rFonts w:eastAsia="PMingLiU" w:cs="Times New Roman"/>
                <w:sz w:val="20"/>
                <w:szCs w:val="20"/>
                <w:vertAlign w:val="superscript"/>
                <w:lang w:eastAsia="ja-JP"/>
              </w:rPr>
            </w:pPr>
            <w:r w:rsidRPr="00202046">
              <w:rPr>
                <w:color w:val="000000"/>
                <w:sz w:val="20"/>
                <w:szCs w:val="20"/>
                <w:lang w:eastAsia="ja-JP"/>
              </w:rPr>
              <w:t>±10%</w:t>
            </w:r>
            <w:r w:rsidRPr="00202046">
              <w:rPr>
                <w:color w:val="000000"/>
                <w:sz w:val="20"/>
                <w:szCs w:val="20"/>
                <w:vertAlign w:val="superscript"/>
                <w:lang w:eastAsia="ja-JP"/>
              </w:rPr>
              <w:t>b</w:t>
            </w:r>
          </w:p>
          <w:p w:rsidR="008217C4" w:rsidRPr="00202046" w:rsidRDefault="008217C4" w:rsidP="00823916">
            <w:pPr>
              <w:spacing w:after="120"/>
              <w:jc w:val="center"/>
              <w:rPr>
                <w:rFonts w:eastAsia="PMingLiU" w:cs="Times New Roman"/>
                <w:sz w:val="20"/>
                <w:szCs w:val="20"/>
                <w:lang w:eastAsia="ja-JP"/>
              </w:rPr>
            </w:pPr>
          </w:p>
        </w:tc>
        <w:tc>
          <w:tcPr>
            <w:tcW w:w="634" w:type="pct"/>
            <w:tcBorders>
              <w:top w:val="nil"/>
              <w:left w:val="nil"/>
              <w:bottom w:val="nil"/>
              <w:right w:val="single" w:sz="4" w:space="0" w:color="auto"/>
            </w:tcBorders>
          </w:tcPr>
          <w:p w:rsidR="00823916" w:rsidRDefault="008217C4" w:rsidP="00823916">
            <w:pPr>
              <w:spacing w:after="120"/>
              <w:jc w:val="center"/>
              <w:rPr>
                <w:sz w:val="20"/>
                <w:szCs w:val="20"/>
                <w:lang w:eastAsia="ja-JP"/>
              </w:rPr>
            </w:pPr>
            <w:r w:rsidRPr="00202046">
              <w:rPr>
                <w:sz w:val="20"/>
                <w:szCs w:val="20"/>
                <w:lang w:eastAsia="ja-JP"/>
              </w:rPr>
              <w:t>0.631</w:t>
            </w:r>
          </w:p>
          <w:p w:rsidR="00823916" w:rsidRDefault="00823916" w:rsidP="00823916">
            <w:pPr>
              <w:spacing w:after="120"/>
              <w:jc w:val="center"/>
              <w:rPr>
                <w:sz w:val="20"/>
                <w:szCs w:val="20"/>
                <w:lang w:eastAsia="ja-JP"/>
              </w:rPr>
            </w:pPr>
          </w:p>
          <w:p w:rsidR="00823916" w:rsidRPr="00202046" w:rsidRDefault="00823916" w:rsidP="00823916">
            <w:pPr>
              <w:spacing w:after="120"/>
              <w:jc w:val="center"/>
              <w:rPr>
                <w:rFonts w:eastAsia="PMingLiU" w:cs="Times New Roman"/>
                <w:sz w:val="20"/>
                <w:szCs w:val="20"/>
                <w:lang w:eastAsia="ja-JP"/>
              </w:rPr>
            </w:pPr>
          </w:p>
        </w:tc>
      </w:tr>
      <w:tr w:rsidR="008217C4" w:rsidRPr="00202046" w:rsidTr="00823916">
        <w:tblPrEx>
          <w:tblBorders>
            <w:insideH w:val="none" w:sz="0" w:space="0" w:color="auto"/>
            <w:insideV w:val="none" w:sz="0" w:space="0" w:color="auto"/>
          </w:tblBorders>
        </w:tblPrEx>
        <w:trPr>
          <w:jc w:val="center"/>
        </w:trPr>
        <w:tc>
          <w:tcPr>
            <w:tcW w:w="634" w:type="pct"/>
            <w:tcBorders>
              <w:top w:val="nil"/>
              <w:left w:val="single" w:sz="4" w:space="0" w:color="auto"/>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2</w:t>
            </w:r>
          </w:p>
        </w:tc>
        <w:tc>
          <w:tcPr>
            <w:tcW w:w="647" w:type="pct"/>
            <w:tcBorders>
              <w:top w:val="nil"/>
              <w:left w:val="nil"/>
              <w:bottom w:val="nil"/>
              <w:right w:val="nil"/>
            </w:tcBorders>
          </w:tcPr>
          <w:p w:rsidR="008217C4" w:rsidRPr="00202046" w:rsidRDefault="008217C4" w:rsidP="00823916">
            <w:pPr>
              <w:spacing w:after="120"/>
              <w:jc w:val="center"/>
              <w:rPr>
                <w:rFonts w:eastAsia="PMingLiU" w:cs="Times New Roman"/>
                <w:color w:val="000000"/>
                <w:sz w:val="20"/>
                <w:szCs w:val="20"/>
                <w:lang w:eastAsia="ja-JP"/>
              </w:rPr>
            </w:pPr>
            <w:r w:rsidRPr="00202046">
              <w:rPr>
                <w:color w:val="000000"/>
                <w:sz w:val="20"/>
                <w:szCs w:val="20"/>
                <w:lang w:eastAsia="ja-JP"/>
              </w:rPr>
              <w:t>Canmx</w:t>
            </w:r>
          </w:p>
          <w:p w:rsidR="008217C4" w:rsidRPr="00202046" w:rsidRDefault="008217C4" w:rsidP="00823916">
            <w:pPr>
              <w:spacing w:after="120"/>
              <w:jc w:val="center"/>
              <w:rPr>
                <w:rFonts w:eastAsia="PMingLiU" w:cs="Times New Roman"/>
                <w:sz w:val="20"/>
                <w:szCs w:val="20"/>
                <w:lang w:eastAsia="ja-JP"/>
              </w:rPr>
            </w:pPr>
          </w:p>
        </w:tc>
        <w:tc>
          <w:tcPr>
            <w:tcW w:w="2177" w:type="pct"/>
            <w:gridSpan w:val="3"/>
            <w:tcBorders>
              <w:top w:val="nil"/>
              <w:left w:val="nil"/>
              <w:bottom w:val="nil"/>
              <w:right w:val="nil"/>
            </w:tcBorders>
          </w:tcPr>
          <w:p w:rsidR="008217C4" w:rsidRPr="00202046" w:rsidRDefault="008217C4" w:rsidP="00823916">
            <w:pPr>
              <w:spacing w:after="120"/>
              <w:jc w:val="center"/>
              <w:rPr>
                <w:rFonts w:eastAsia="PMingLiU" w:cs="Times New Roman"/>
                <w:i/>
                <w:sz w:val="20"/>
                <w:szCs w:val="20"/>
                <w:lang w:eastAsia="ja-JP"/>
              </w:rPr>
            </w:pPr>
            <w:r w:rsidRPr="00202046">
              <w:rPr>
                <w:i/>
                <w:sz w:val="20"/>
                <w:szCs w:val="20"/>
              </w:rPr>
              <w:t xml:space="preserve"> </w:t>
            </w:r>
            <w:r w:rsidRPr="00202046">
              <w:rPr>
                <w:i/>
                <w:sz w:val="20"/>
                <w:szCs w:val="20"/>
                <w:lang w:eastAsia="ja-JP"/>
              </w:rPr>
              <w:t>Maximum canopy storage (mm)</w:t>
            </w:r>
          </w:p>
        </w:tc>
        <w:tc>
          <w:tcPr>
            <w:tcW w:w="469" w:type="pct"/>
            <w:gridSpan w:val="2"/>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0</w:t>
            </w:r>
          </w:p>
        </w:tc>
        <w:tc>
          <w:tcPr>
            <w:tcW w:w="438" w:type="pct"/>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0, 10</w:t>
            </w:r>
          </w:p>
        </w:tc>
        <w:tc>
          <w:tcPr>
            <w:tcW w:w="634" w:type="pct"/>
            <w:tcBorders>
              <w:top w:val="nil"/>
              <w:left w:val="nil"/>
              <w:bottom w:val="nil"/>
              <w:right w:val="single" w:sz="4" w:space="0" w:color="auto"/>
            </w:tcBorders>
            <w:hideMark/>
          </w:tcPr>
          <w:p w:rsidR="008217C4" w:rsidRPr="00202046" w:rsidRDefault="008217C4" w:rsidP="00823916">
            <w:pPr>
              <w:spacing w:after="120"/>
              <w:jc w:val="center"/>
              <w:rPr>
                <w:rFonts w:eastAsia="PMingLiU" w:cs="Times New Roman"/>
                <w:sz w:val="20"/>
                <w:szCs w:val="20"/>
                <w:lang w:eastAsia="ja-JP"/>
              </w:rPr>
            </w:pPr>
            <w:r w:rsidRPr="00202046">
              <w:rPr>
                <w:color w:val="000000"/>
                <w:sz w:val="20"/>
                <w:szCs w:val="20"/>
                <w:lang w:eastAsia="ja-JP"/>
              </w:rPr>
              <w:t>0.113</w:t>
            </w:r>
          </w:p>
        </w:tc>
      </w:tr>
      <w:tr w:rsidR="008217C4" w:rsidRPr="00202046" w:rsidTr="00823916">
        <w:tblPrEx>
          <w:tblBorders>
            <w:insideH w:val="none" w:sz="0" w:space="0" w:color="auto"/>
            <w:insideV w:val="none" w:sz="0" w:space="0" w:color="auto"/>
          </w:tblBorders>
        </w:tblPrEx>
        <w:trPr>
          <w:jc w:val="center"/>
        </w:trPr>
        <w:tc>
          <w:tcPr>
            <w:tcW w:w="634" w:type="pct"/>
            <w:tcBorders>
              <w:top w:val="nil"/>
              <w:left w:val="single" w:sz="4" w:space="0" w:color="auto"/>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3</w:t>
            </w:r>
          </w:p>
        </w:tc>
        <w:tc>
          <w:tcPr>
            <w:tcW w:w="647" w:type="pct"/>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Esco</w:t>
            </w:r>
          </w:p>
        </w:tc>
        <w:tc>
          <w:tcPr>
            <w:tcW w:w="2177" w:type="pct"/>
            <w:gridSpan w:val="3"/>
            <w:tcBorders>
              <w:top w:val="nil"/>
              <w:left w:val="nil"/>
              <w:bottom w:val="nil"/>
              <w:right w:val="nil"/>
            </w:tcBorders>
          </w:tcPr>
          <w:p w:rsidR="008217C4" w:rsidRPr="00202046" w:rsidRDefault="008217C4" w:rsidP="00823916">
            <w:pPr>
              <w:spacing w:after="120"/>
              <w:jc w:val="center"/>
              <w:rPr>
                <w:rFonts w:eastAsia="PMingLiU" w:cs="Times New Roman"/>
                <w:i/>
                <w:sz w:val="20"/>
                <w:szCs w:val="20"/>
                <w:lang w:eastAsia="ja-JP"/>
              </w:rPr>
            </w:pPr>
            <w:r w:rsidRPr="00202046">
              <w:rPr>
                <w:i/>
                <w:noProof/>
                <w:sz w:val="20"/>
                <w:szCs w:val="20"/>
              </w:rPr>
              <w:t>Soil evaportation compensation factor</w:t>
            </w:r>
          </w:p>
          <w:p w:rsidR="008217C4" w:rsidRPr="00202046" w:rsidRDefault="008217C4" w:rsidP="00823916">
            <w:pPr>
              <w:spacing w:after="120"/>
              <w:jc w:val="center"/>
              <w:rPr>
                <w:rFonts w:eastAsia="PMingLiU" w:cs="Times New Roman"/>
                <w:i/>
                <w:sz w:val="20"/>
                <w:szCs w:val="20"/>
                <w:lang w:eastAsia="ja-JP"/>
              </w:rPr>
            </w:pPr>
          </w:p>
        </w:tc>
        <w:tc>
          <w:tcPr>
            <w:tcW w:w="469" w:type="pct"/>
            <w:gridSpan w:val="2"/>
            <w:tcBorders>
              <w:top w:val="nil"/>
              <w:left w:val="nil"/>
              <w:bottom w:val="nil"/>
              <w:right w:val="nil"/>
            </w:tcBorders>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0.72</w:t>
            </w:r>
          </w:p>
          <w:p w:rsidR="008217C4" w:rsidRPr="00202046" w:rsidRDefault="008217C4" w:rsidP="00823916">
            <w:pPr>
              <w:spacing w:after="120"/>
              <w:jc w:val="center"/>
              <w:rPr>
                <w:rFonts w:eastAsia="PMingLiU" w:cs="Times New Roman"/>
                <w:sz w:val="20"/>
                <w:szCs w:val="20"/>
                <w:lang w:eastAsia="ja-JP"/>
              </w:rPr>
            </w:pPr>
          </w:p>
        </w:tc>
        <w:tc>
          <w:tcPr>
            <w:tcW w:w="438" w:type="pct"/>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0.6, 0.8</w:t>
            </w:r>
          </w:p>
        </w:tc>
        <w:tc>
          <w:tcPr>
            <w:tcW w:w="634" w:type="pct"/>
            <w:tcBorders>
              <w:top w:val="nil"/>
              <w:left w:val="nil"/>
              <w:bottom w:val="nil"/>
              <w:right w:val="single" w:sz="4" w:space="0" w:color="auto"/>
            </w:tcBorders>
            <w:hideMark/>
          </w:tcPr>
          <w:p w:rsidR="008217C4" w:rsidRPr="00202046" w:rsidRDefault="008217C4" w:rsidP="00823916">
            <w:pPr>
              <w:spacing w:after="120"/>
              <w:jc w:val="center"/>
              <w:rPr>
                <w:rFonts w:eastAsia="PMingLiU" w:cs="Times New Roman"/>
                <w:sz w:val="20"/>
                <w:szCs w:val="20"/>
                <w:lang w:eastAsia="ja-JP"/>
              </w:rPr>
            </w:pPr>
            <w:r w:rsidRPr="00202046">
              <w:rPr>
                <w:color w:val="000000"/>
                <w:sz w:val="20"/>
                <w:szCs w:val="20"/>
                <w:lang w:eastAsia="ja-JP"/>
              </w:rPr>
              <w:t>0.0789</w:t>
            </w:r>
          </w:p>
        </w:tc>
      </w:tr>
      <w:tr w:rsidR="008217C4" w:rsidRPr="00202046" w:rsidTr="00823916">
        <w:tblPrEx>
          <w:tblBorders>
            <w:insideH w:val="none" w:sz="0" w:space="0" w:color="auto"/>
            <w:insideV w:val="none" w:sz="0" w:space="0" w:color="auto"/>
          </w:tblBorders>
        </w:tblPrEx>
        <w:trPr>
          <w:jc w:val="center"/>
        </w:trPr>
        <w:tc>
          <w:tcPr>
            <w:tcW w:w="634" w:type="pct"/>
            <w:tcBorders>
              <w:top w:val="nil"/>
              <w:left w:val="single" w:sz="4" w:space="0" w:color="auto"/>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4</w:t>
            </w:r>
          </w:p>
        </w:tc>
        <w:tc>
          <w:tcPr>
            <w:tcW w:w="647" w:type="pct"/>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Sol_awc</w:t>
            </w:r>
          </w:p>
        </w:tc>
        <w:tc>
          <w:tcPr>
            <w:tcW w:w="2177" w:type="pct"/>
            <w:gridSpan w:val="3"/>
            <w:tcBorders>
              <w:top w:val="nil"/>
              <w:left w:val="nil"/>
              <w:bottom w:val="nil"/>
              <w:right w:val="nil"/>
            </w:tcBorders>
          </w:tcPr>
          <w:p w:rsidR="00823916" w:rsidRDefault="008217C4" w:rsidP="00823916">
            <w:pPr>
              <w:spacing w:after="120"/>
              <w:jc w:val="center"/>
              <w:rPr>
                <w:i/>
                <w:iCs/>
                <w:sz w:val="20"/>
                <w:szCs w:val="20"/>
                <w:lang w:eastAsia="ja-JP"/>
              </w:rPr>
            </w:pPr>
            <w:r w:rsidRPr="00202046">
              <w:rPr>
                <w:i/>
                <w:iCs/>
                <w:sz w:val="20"/>
                <w:szCs w:val="20"/>
                <w:lang w:eastAsia="ja-JP"/>
              </w:rPr>
              <w:t xml:space="preserve">Available water capacity of the soil </w:t>
            </w:r>
          </w:p>
          <w:p w:rsidR="008217C4" w:rsidRDefault="008217C4" w:rsidP="00823916">
            <w:pPr>
              <w:spacing w:after="120"/>
              <w:jc w:val="center"/>
              <w:rPr>
                <w:i/>
                <w:iCs/>
                <w:sz w:val="20"/>
                <w:szCs w:val="20"/>
                <w:lang w:eastAsia="ja-JP"/>
              </w:rPr>
            </w:pPr>
            <w:r w:rsidRPr="00202046">
              <w:rPr>
                <w:i/>
                <w:iCs/>
                <w:sz w:val="20"/>
                <w:szCs w:val="20"/>
                <w:lang w:eastAsia="ja-JP"/>
              </w:rPr>
              <w:t>layer (mm H</w:t>
            </w:r>
            <w:r w:rsidRPr="00202046">
              <w:rPr>
                <w:i/>
                <w:iCs/>
                <w:sz w:val="20"/>
                <w:szCs w:val="20"/>
                <w:vertAlign w:val="subscript"/>
                <w:lang w:eastAsia="ja-JP"/>
              </w:rPr>
              <w:t>2</w:t>
            </w:r>
            <w:r w:rsidRPr="00202046">
              <w:rPr>
                <w:i/>
                <w:iCs/>
                <w:sz w:val="20"/>
                <w:szCs w:val="20"/>
                <w:lang w:eastAsia="ja-JP"/>
              </w:rPr>
              <w:t>0/mm soil)</w:t>
            </w:r>
          </w:p>
          <w:p w:rsidR="00823916" w:rsidRPr="00202046" w:rsidRDefault="00823916" w:rsidP="00823916">
            <w:pPr>
              <w:spacing w:after="120"/>
              <w:jc w:val="center"/>
              <w:rPr>
                <w:rFonts w:eastAsia="PMingLiU" w:cs="Times New Roman"/>
                <w:i/>
                <w:iCs/>
                <w:sz w:val="20"/>
                <w:szCs w:val="20"/>
                <w:lang w:eastAsia="ja-JP"/>
              </w:rPr>
            </w:pPr>
          </w:p>
        </w:tc>
        <w:tc>
          <w:tcPr>
            <w:tcW w:w="469" w:type="pct"/>
            <w:gridSpan w:val="2"/>
            <w:tcBorders>
              <w:top w:val="nil"/>
              <w:left w:val="nil"/>
              <w:bottom w:val="nil"/>
              <w:right w:val="nil"/>
            </w:tcBorders>
          </w:tcPr>
          <w:p w:rsidR="008217C4" w:rsidRDefault="008217C4" w:rsidP="00823916">
            <w:pPr>
              <w:spacing w:after="120"/>
              <w:jc w:val="center"/>
              <w:rPr>
                <w:sz w:val="20"/>
                <w:szCs w:val="20"/>
                <w:lang w:eastAsia="ja-JP"/>
              </w:rPr>
            </w:pPr>
            <w:r w:rsidRPr="00202046">
              <w:rPr>
                <w:sz w:val="20"/>
                <w:szCs w:val="20"/>
                <w:lang w:eastAsia="ja-JP"/>
              </w:rPr>
              <w:t>Default</w:t>
            </w:r>
          </w:p>
          <w:p w:rsidR="008217C4" w:rsidRPr="00202046" w:rsidRDefault="008217C4" w:rsidP="00823916">
            <w:pPr>
              <w:spacing w:after="120"/>
              <w:jc w:val="center"/>
              <w:rPr>
                <w:rFonts w:eastAsia="PMingLiU" w:cs="Times New Roman"/>
                <w:sz w:val="20"/>
                <w:szCs w:val="20"/>
                <w:lang w:eastAsia="ja-JP"/>
              </w:rPr>
            </w:pPr>
          </w:p>
        </w:tc>
        <w:tc>
          <w:tcPr>
            <w:tcW w:w="438" w:type="pct"/>
            <w:tcBorders>
              <w:top w:val="nil"/>
              <w:left w:val="nil"/>
              <w:bottom w:val="nil"/>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-±4%</w:t>
            </w:r>
            <w:r w:rsidRPr="00202046">
              <w:rPr>
                <w:sz w:val="20"/>
                <w:szCs w:val="20"/>
                <w:vertAlign w:val="superscript"/>
                <w:lang w:eastAsia="ja-JP"/>
              </w:rPr>
              <w:t>b</w:t>
            </w:r>
          </w:p>
        </w:tc>
        <w:tc>
          <w:tcPr>
            <w:tcW w:w="634" w:type="pct"/>
            <w:tcBorders>
              <w:top w:val="nil"/>
              <w:left w:val="nil"/>
              <w:bottom w:val="nil"/>
              <w:right w:val="single" w:sz="4" w:space="0" w:color="auto"/>
            </w:tcBorders>
            <w:hideMark/>
          </w:tcPr>
          <w:p w:rsidR="008217C4" w:rsidRPr="00202046" w:rsidRDefault="008217C4" w:rsidP="00823916">
            <w:pPr>
              <w:spacing w:after="120"/>
              <w:jc w:val="center"/>
              <w:rPr>
                <w:rFonts w:eastAsia="PMingLiU" w:cs="Times New Roman"/>
                <w:sz w:val="20"/>
                <w:szCs w:val="20"/>
                <w:lang w:eastAsia="ja-JP"/>
              </w:rPr>
            </w:pPr>
            <w:r w:rsidRPr="00202046">
              <w:rPr>
                <w:color w:val="000000"/>
                <w:sz w:val="20"/>
                <w:szCs w:val="20"/>
                <w:lang w:eastAsia="ja-JP"/>
              </w:rPr>
              <w:t>0.0642</w:t>
            </w:r>
          </w:p>
        </w:tc>
      </w:tr>
      <w:tr w:rsidR="008217C4" w:rsidRPr="00202046" w:rsidTr="00823916">
        <w:tblPrEx>
          <w:tblBorders>
            <w:insideH w:val="none" w:sz="0" w:space="0" w:color="auto"/>
            <w:insideV w:val="none" w:sz="0" w:space="0" w:color="auto"/>
          </w:tblBorders>
        </w:tblPrEx>
        <w:trPr>
          <w:jc w:val="center"/>
        </w:trPr>
        <w:tc>
          <w:tcPr>
            <w:tcW w:w="634" w:type="pct"/>
            <w:tcBorders>
              <w:top w:val="nil"/>
              <w:left w:val="single" w:sz="4" w:space="0" w:color="auto"/>
              <w:bottom w:val="single" w:sz="4" w:space="0" w:color="auto"/>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5</w:t>
            </w:r>
          </w:p>
        </w:tc>
        <w:tc>
          <w:tcPr>
            <w:tcW w:w="647" w:type="pct"/>
            <w:tcBorders>
              <w:top w:val="nil"/>
              <w:left w:val="nil"/>
              <w:bottom w:val="single" w:sz="4" w:space="0" w:color="auto"/>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Surlag</w:t>
            </w:r>
          </w:p>
        </w:tc>
        <w:tc>
          <w:tcPr>
            <w:tcW w:w="2177" w:type="pct"/>
            <w:gridSpan w:val="3"/>
            <w:tcBorders>
              <w:top w:val="nil"/>
              <w:left w:val="nil"/>
              <w:bottom w:val="single" w:sz="4" w:space="0" w:color="auto"/>
              <w:right w:val="nil"/>
            </w:tcBorders>
            <w:hideMark/>
          </w:tcPr>
          <w:p w:rsidR="008217C4" w:rsidRPr="00202046" w:rsidRDefault="008217C4" w:rsidP="00823916">
            <w:pPr>
              <w:spacing w:after="120"/>
              <w:jc w:val="center"/>
              <w:rPr>
                <w:rFonts w:eastAsia="PMingLiU" w:cs="Times New Roman"/>
                <w:i/>
                <w:sz w:val="20"/>
                <w:szCs w:val="20"/>
                <w:lang w:eastAsia="ja-JP"/>
              </w:rPr>
            </w:pPr>
            <w:r w:rsidRPr="00202046">
              <w:rPr>
                <w:i/>
                <w:sz w:val="20"/>
                <w:szCs w:val="20"/>
                <w:lang w:eastAsia="ja-JP"/>
              </w:rPr>
              <w:t>Surface runoff lag coefficient (days)</w:t>
            </w:r>
          </w:p>
        </w:tc>
        <w:tc>
          <w:tcPr>
            <w:tcW w:w="469" w:type="pct"/>
            <w:gridSpan w:val="2"/>
            <w:tcBorders>
              <w:top w:val="nil"/>
              <w:left w:val="nil"/>
              <w:bottom w:val="single" w:sz="4" w:space="0" w:color="auto"/>
              <w:right w:val="nil"/>
            </w:tcBorders>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24</w:t>
            </w:r>
          </w:p>
        </w:tc>
        <w:tc>
          <w:tcPr>
            <w:tcW w:w="438" w:type="pct"/>
            <w:tcBorders>
              <w:top w:val="nil"/>
              <w:left w:val="nil"/>
              <w:bottom w:val="single" w:sz="4" w:space="0" w:color="auto"/>
              <w:right w:val="nil"/>
            </w:tcBorders>
            <w:hideMark/>
          </w:tcPr>
          <w:p w:rsidR="008217C4" w:rsidRPr="00202046" w:rsidRDefault="008217C4" w:rsidP="00823916">
            <w:pPr>
              <w:spacing w:after="120"/>
              <w:jc w:val="center"/>
              <w:rPr>
                <w:rFonts w:eastAsia="PMingLiU" w:cs="Times New Roman"/>
                <w:sz w:val="20"/>
                <w:szCs w:val="20"/>
                <w:lang w:eastAsia="ja-JP"/>
              </w:rPr>
            </w:pPr>
            <w:r w:rsidRPr="00202046">
              <w:rPr>
                <w:sz w:val="20"/>
                <w:szCs w:val="20"/>
                <w:lang w:eastAsia="ja-JP"/>
              </w:rPr>
              <w:t>1, 24</w:t>
            </w:r>
          </w:p>
        </w:tc>
        <w:tc>
          <w:tcPr>
            <w:tcW w:w="634" w:type="pct"/>
            <w:tcBorders>
              <w:top w:val="nil"/>
              <w:left w:val="nil"/>
              <w:bottom w:val="single" w:sz="4" w:space="0" w:color="auto"/>
              <w:right w:val="single" w:sz="4" w:space="0" w:color="auto"/>
            </w:tcBorders>
            <w:hideMark/>
          </w:tcPr>
          <w:p w:rsidR="008217C4" w:rsidRPr="00202046" w:rsidRDefault="008217C4" w:rsidP="00823916">
            <w:pPr>
              <w:spacing w:after="120"/>
              <w:jc w:val="center"/>
              <w:rPr>
                <w:rFonts w:eastAsia="PMingLiU" w:cs="Times New Roman"/>
                <w:sz w:val="20"/>
                <w:szCs w:val="20"/>
                <w:lang w:eastAsia="ja-JP"/>
              </w:rPr>
            </w:pPr>
            <w:r w:rsidRPr="00202046">
              <w:rPr>
                <w:color w:val="000000"/>
                <w:sz w:val="20"/>
                <w:szCs w:val="20"/>
                <w:lang w:eastAsia="ja-JP"/>
              </w:rPr>
              <w:t>0.0598</w:t>
            </w:r>
          </w:p>
        </w:tc>
      </w:tr>
    </w:tbl>
    <w:p w:rsidR="008217C4" w:rsidRPr="00D35B95" w:rsidRDefault="008217C4" w:rsidP="008217C4">
      <w:pPr>
        <w:rPr>
          <w:lang w:val="en-GB" w:eastAsia="en-GB"/>
        </w:rPr>
      </w:pPr>
      <w:proofErr w:type="gramStart"/>
      <w:r>
        <w:rPr>
          <w:vertAlign w:val="superscript"/>
        </w:rPr>
        <w:t>a</w:t>
      </w:r>
      <w:proofErr w:type="gramEnd"/>
      <w:r>
        <w:t xml:space="preserve"> in decreasing order of sensitivity                </w:t>
      </w:r>
      <w:r>
        <w:rPr>
          <w:vertAlign w:val="superscript"/>
        </w:rPr>
        <w:t>b</w:t>
      </w:r>
      <w:r>
        <w:t xml:space="preserve"> multiplied initial value by values in range.</w:t>
      </w:r>
    </w:p>
    <w:p w:rsidR="00BF3F17" w:rsidRDefault="00BF3F17" w:rsidP="00BF3F17">
      <w:pPr>
        <w:jc w:val="center"/>
      </w:pPr>
      <w:r>
        <w:rPr>
          <w:noProof/>
        </w:rPr>
        <w:lastRenderedPageBreak/>
        <w:drawing>
          <wp:inline distT="0" distB="0" distL="0" distR="0" wp14:anchorId="7F0D4C90" wp14:editId="3C3F19F6">
            <wp:extent cx="5486400" cy="6369050"/>
            <wp:effectExtent l="0" t="0" r="0" b="0"/>
            <wp:docPr id="101" name="Picture 101" descr="C:\Users\gold9629\Dropbox\Paper3-enid\PostATdraft1\PostATdraft2\PostATdraft3\PostATdraft4\Fig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gold9629\Dropbox\Paper3-enid\PostATdraft1\PostATdraft2\PostATdraft3\PostATdraft4\Fig4.t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6369050"/>
                    </a:xfrm>
                    <a:prstGeom prst="rect">
                      <a:avLst/>
                    </a:prstGeom>
                    <a:noFill/>
                    <a:ln>
                      <a:noFill/>
                    </a:ln>
                  </pic:spPr>
                </pic:pic>
              </a:graphicData>
            </a:graphic>
          </wp:inline>
        </w:drawing>
      </w:r>
    </w:p>
    <w:p w:rsidR="00BF3F17" w:rsidRPr="008502C4" w:rsidRDefault="00BF3F17" w:rsidP="00796484">
      <w:pPr>
        <w:pStyle w:val="Figurecaption"/>
      </w:pPr>
      <w:bookmarkStart w:id="192" w:name="_Toc362784363"/>
      <w:bookmarkStart w:id="193" w:name="_Toc364442695"/>
      <w:bookmarkStart w:id="194" w:name="_Toc364505738"/>
      <w:bookmarkStart w:id="195" w:name="_Toc367004750"/>
      <w:r w:rsidRPr="008502C4">
        <w:t>Figure 4</w:t>
      </w:r>
      <w:r>
        <w:t>.4</w:t>
      </w:r>
      <w:r w:rsidR="00E67207">
        <w:t xml:space="preserve">: </w:t>
      </w:r>
      <w:r w:rsidRPr="008502C4">
        <w:t>Strength of calibration between simulated monthly discharges, 2002-2010, at the (a) “Skeleton Creek at Enid, OK” stream gage and at (b) the “Skeleton Creek near Lovell, OK” USGS stream gages.</w:t>
      </w:r>
      <w:bookmarkEnd w:id="192"/>
      <w:bookmarkEnd w:id="193"/>
      <w:bookmarkEnd w:id="194"/>
      <w:bookmarkEnd w:id="195"/>
    </w:p>
    <w:p w:rsidR="00BF3F17" w:rsidRDefault="00BF3F17" w:rsidP="000C7091"/>
    <w:p w:rsidR="00BF3F17" w:rsidRDefault="00BF3F17" w:rsidP="00F86E62">
      <w:pPr>
        <w:spacing w:line="480" w:lineRule="auto"/>
        <w:jc w:val="center"/>
      </w:pPr>
      <w:r>
        <w:rPr>
          <w:noProof/>
        </w:rPr>
        <w:lastRenderedPageBreak/>
        <w:drawing>
          <wp:inline distT="0" distB="0" distL="0" distR="0" wp14:anchorId="5BD3D08D" wp14:editId="67F4976C">
            <wp:extent cx="3713259" cy="5486603"/>
            <wp:effectExtent l="19050" t="19050" r="1905" b="0"/>
            <wp:docPr id="102" name="Picture 102" descr="C:\Users\gold9629\Dropbox\Paper3-enid\PostATdraft1\PostATdraft2\PostATdraft3\PostATdraft4\Fig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gold9629\Dropbox\Paper3-enid\PostATdraft1\PostATdraft2\PostATdraft3\PostATdraft4\Fig5.t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09540" cy="5481108"/>
                    </a:xfrm>
                    <a:prstGeom prst="rect">
                      <a:avLst/>
                    </a:prstGeom>
                    <a:noFill/>
                    <a:ln>
                      <a:solidFill>
                        <a:prstClr val="black"/>
                      </a:solidFill>
                    </a:ln>
                  </pic:spPr>
                </pic:pic>
              </a:graphicData>
            </a:graphic>
          </wp:inline>
        </w:drawing>
      </w:r>
    </w:p>
    <w:p w:rsidR="00BF3F17" w:rsidRDefault="00BF3F17" w:rsidP="00796484">
      <w:pPr>
        <w:pStyle w:val="Figurecaption"/>
      </w:pPr>
      <w:bookmarkStart w:id="196" w:name="_Toc362784364"/>
      <w:bookmarkStart w:id="197" w:name="_Toc364442696"/>
      <w:bookmarkStart w:id="198" w:name="_Toc364505739"/>
      <w:bookmarkStart w:id="199" w:name="_Toc367004751"/>
      <w:r w:rsidRPr="008502C4">
        <w:t xml:space="preserve">Figure </w:t>
      </w:r>
      <w:r w:rsidR="00E67207">
        <w:t>4.5</w:t>
      </w:r>
      <w:r>
        <w:t>:</w:t>
      </w:r>
      <w:r w:rsidR="00F53943">
        <w:t xml:space="preserve"> </w:t>
      </w:r>
      <w:r w:rsidRPr="008502C4">
        <w:t>Strength of calibration on simulated (a) winter, b) spring, and (c) summer discharges relative to observed, 2002-2010, at the watershed outlet: the “Skeleton Creek near Lovell, OK” USGS stream gage</w:t>
      </w:r>
      <w:bookmarkEnd w:id="196"/>
      <w:bookmarkEnd w:id="197"/>
      <w:bookmarkEnd w:id="198"/>
      <w:bookmarkEnd w:id="199"/>
    </w:p>
    <w:p w:rsidR="00BF3F17" w:rsidRDefault="00BF3F17" w:rsidP="000C7091"/>
    <w:p w:rsidR="00CD20B4" w:rsidRPr="00A25DD0" w:rsidRDefault="005D2319" w:rsidP="00A25DD0">
      <w:pPr>
        <w:pStyle w:val="Heading3"/>
        <w:spacing w:line="480" w:lineRule="auto"/>
        <w:rPr>
          <w:b w:val="0"/>
        </w:rPr>
      </w:pPr>
      <w:bookmarkStart w:id="200" w:name="_Toc364501663"/>
      <w:bookmarkStart w:id="201" w:name="_Toc368046194"/>
      <w:r w:rsidRPr="00A25DD0">
        <w:rPr>
          <w:b w:val="0"/>
        </w:rPr>
        <w:lastRenderedPageBreak/>
        <w:t>4.</w:t>
      </w:r>
      <w:r w:rsidR="00CD20B4" w:rsidRPr="00A25DD0">
        <w:rPr>
          <w:b w:val="0"/>
        </w:rPr>
        <w:t>4.2: Impacts of Projected Climate Change on the SCW</w:t>
      </w:r>
      <w:bookmarkEnd w:id="200"/>
      <w:bookmarkEnd w:id="201"/>
    </w:p>
    <w:p w:rsidR="00CD20B4" w:rsidRDefault="00CD20B4" w:rsidP="00CD20B4">
      <w:pPr>
        <w:spacing w:line="480" w:lineRule="auto"/>
      </w:pPr>
      <w:r>
        <w:rPr>
          <w:b/>
          <w:bCs/>
        </w:rPr>
        <w:t xml:space="preserve">   </w:t>
      </w:r>
      <w:r w:rsidR="0034511D">
        <w:t xml:space="preserve">The impacts of climate change </w:t>
      </w:r>
      <w:r>
        <w:t xml:space="preserve">are mixed but not surprising; exactly half of the 192 GCM monthly precipitation series show increased precipitation while the other half shows decreased precipitation. Other studies (e.g. Tebaldi </w:t>
      </w:r>
      <w:r w:rsidRPr="00745C65">
        <w:rPr>
          <w:i/>
          <w:iCs/>
        </w:rPr>
        <w:t>et al.</w:t>
      </w:r>
      <w:r w:rsidRPr="00745C65">
        <w:t xml:space="preserve">, </w:t>
      </w:r>
      <w:r>
        <w:t xml:space="preserve">2011; Deser </w:t>
      </w:r>
      <w:r w:rsidRPr="00745C65">
        <w:rPr>
          <w:i/>
          <w:iCs/>
        </w:rPr>
        <w:t>et al.</w:t>
      </w:r>
      <w:r w:rsidRPr="00745C65">
        <w:t xml:space="preserve">, </w:t>
      </w:r>
      <w:r>
        <w:t>2012; Jin and Sridhar, 2012) found similar results for precipitation projections elsewhere.  Considering each season separately, the projections show increases in winter months in 54% of cases, compared to 46% which show decreases.  These percentages are almost exactly reversed in spring and fall.  In summer, however, the models show relatively greater agreement, with increases projected in 40% of cases and decreases in 60%.</w:t>
      </w:r>
      <w:r w:rsidR="0034511D">
        <w:t xml:space="preserve">  Not surprisingly, the GCMs also disagree regarding the direction of change in seasonal precipitation (Figure 4.6a).</w:t>
      </w:r>
      <w:r>
        <w:t xml:space="preserve">  </w:t>
      </w:r>
    </w:p>
    <w:p w:rsidR="00BF3F17" w:rsidRDefault="00BF3F17" w:rsidP="00BF3F17">
      <w:pPr>
        <w:spacing w:line="480" w:lineRule="auto"/>
      </w:pPr>
      <w:r>
        <w:t xml:space="preserve">      The changes in temperature are more decisive; 172 (90.0%) </w:t>
      </w:r>
      <w:r w:rsidR="001B1CC9">
        <w:t xml:space="preserve">of the 192 GCM-months simulated </w:t>
      </w:r>
      <w:r>
        <w:t>(12 months * 16 GCM runs) project higher temperatures during 2042-205</w:t>
      </w:r>
      <w:r w:rsidR="0034511D">
        <w:t xml:space="preserve">0 relative to the base period.  </w:t>
      </w:r>
      <w:r>
        <w:t>Reg</w:t>
      </w:r>
      <w:r w:rsidR="00A4338D">
        <w:t>arding the seasonal values (Figure</w:t>
      </w:r>
      <w:r>
        <w:t xml:space="preserve"> 4.6b), the median tempe</w:t>
      </w:r>
      <w:r w:rsidR="0034511D">
        <w:t>rature increases range from 1.0</w:t>
      </w:r>
      <w:r>
        <w:t xml:space="preserve"> </w:t>
      </w:r>
      <w:r w:rsidR="0034511D">
        <w:rPr>
          <w:rFonts w:cs="Times New Roman"/>
          <w:vertAlign w:val="superscript"/>
        </w:rPr>
        <w:t>°</w:t>
      </w:r>
      <w:r w:rsidR="0034511D">
        <w:t>C (winter) to 1.2</w:t>
      </w:r>
      <w:r w:rsidRPr="00186CBE">
        <w:rPr>
          <w:vertAlign w:val="superscript"/>
        </w:rPr>
        <w:t xml:space="preserve"> </w:t>
      </w:r>
      <w:r w:rsidR="0034511D">
        <w:rPr>
          <w:rFonts w:cs="Times New Roman"/>
          <w:vertAlign w:val="superscript"/>
        </w:rPr>
        <w:t>°</w:t>
      </w:r>
      <w:r>
        <w:t>C (</w:t>
      </w:r>
      <w:r w:rsidR="0034511D">
        <w:t xml:space="preserve">spring and </w:t>
      </w:r>
      <w:r>
        <w:t xml:space="preserve">summer).  In addition, </w:t>
      </w:r>
      <w:r w:rsidR="0034511D">
        <w:t>note that the 1</w:t>
      </w:r>
      <w:r w:rsidR="0034511D" w:rsidRPr="00A15DA4">
        <w:rPr>
          <w:vertAlign w:val="superscript"/>
        </w:rPr>
        <w:t>st</w:t>
      </w:r>
      <w:r w:rsidR="0034511D">
        <w:t xml:space="preserve"> and 3</w:t>
      </w:r>
      <w:r w:rsidR="0034511D" w:rsidRPr="00A15DA4">
        <w:rPr>
          <w:vertAlign w:val="superscript"/>
        </w:rPr>
        <w:t>rd</w:t>
      </w:r>
      <w:r w:rsidR="0034511D">
        <w:t xml:space="preserve"> quartiles and temperature ranges are also highest in the summer, and the variance among the GCM outputs exceeds those of the winter and spring by three-fold.  These are</w:t>
      </w:r>
      <w:r>
        <w:t xml:space="preserve"> noteworthy because the</w:t>
      </w:r>
      <w:r w:rsidR="0034511D">
        <w:t>y imply that the largest changes in temperature may coincide with the largest changes in precipitation</w:t>
      </w:r>
      <w:r>
        <w:t xml:space="preserve">.  </w:t>
      </w:r>
    </w:p>
    <w:p w:rsidR="00BF3F17" w:rsidRDefault="00BF3F17" w:rsidP="00CD20B4">
      <w:pPr>
        <w:spacing w:line="480" w:lineRule="auto"/>
      </w:pPr>
    </w:p>
    <w:p w:rsidR="00BF3F17" w:rsidRDefault="00BF3F17" w:rsidP="00CD20B4">
      <w:pPr>
        <w:spacing w:line="480" w:lineRule="auto"/>
      </w:pPr>
    </w:p>
    <w:p w:rsidR="008217C4" w:rsidRDefault="00CF5E14" w:rsidP="00F86E62">
      <w:pPr>
        <w:spacing w:after="120"/>
        <w:jc w:val="center"/>
      </w:pPr>
      <w:r>
        <w:rPr>
          <w:noProof/>
        </w:rPr>
        <w:lastRenderedPageBreak/>
        <w:drawing>
          <wp:inline distT="0" distB="0" distL="0" distR="0" wp14:anchorId="2D620126" wp14:editId="23D2CC66">
            <wp:extent cx="5391150" cy="2428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p_plot_Ch4.png"/>
                    <pic:cNvPicPr/>
                  </pic:nvPicPr>
                  <pic:blipFill rotWithShape="1">
                    <a:blip r:embed="rId35">
                      <a:extLst>
                        <a:ext uri="{28A0092B-C50C-407E-A947-70E740481C1C}">
                          <a14:useLocalDpi xmlns:a14="http://schemas.microsoft.com/office/drawing/2010/main" val="0"/>
                        </a:ext>
                      </a:extLst>
                    </a:blip>
                    <a:srcRect b="15559"/>
                    <a:stretch/>
                  </pic:blipFill>
                  <pic:spPr bwMode="auto">
                    <a:xfrm>
                      <a:off x="0" y="0"/>
                      <a:ext cx="5394960" cy="2430592"/>
                    </a:xfrm>
                    <a:prstGeom prst="rect">
                      <a:avLst/>
                    </a:prstGeom>
                    <a:ln>
                      <a:noFill/>
                    </a:ln>
                    <a:extLst>
                      <a:ext uri="{53640926-AAD7-44D8-BBD7-CCE9431645EC}">
                        <a14:shadowObscured xmlns:a14="http://schemas.microsoft.com/office/drawing/2010/main"/>
                      </a:ext>
                    </a:extLst>
                  </pic:spPr>
                </pic:pic>
              </a:graphicData>
            </a:graphic>
          </wp:inline>
        </w:drawing>
      </w:r>
    </w:p>
    <w:p w:rsidR="008217C4" w:rsidRPr="008502C4" w:rsidRDefault="00CF5E14" w:rsidP="00F86E62">
      <w:pPr>
        <w:spacing w:after="120"/>
      </w:pPr>
      <w:r>
        <w:rPr>
          <w:noProof/>
        </w:rPr>
        <w:drawing>
          <wp:inline distT="0" distB="0" distL="0" distR="0" wp14:anchorId="68F8245E" wp14:editId="129816A6">
            <wp:extent cx="5391150" cy="25050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p_plot_Ch4.png"/>
                    <pic:cNvPicPr/>
                  </pic:nvPicPr>
                  <pic:blipFill rotWithShape="1">
                    <a:blip r:embed="rId36">
                      <a:extLst>
                        <a:ext uri="{28A0092B-C50C-407E-A947-70E740481C1C}">
                          <a14:useLocalDpi xmlns:a14="http://schemas.microsoft.com/office/drawing/2010/main" val="0"/>
                        </a:ext>
                      </a:extLst>
                    </a:blip>
                    <a:srcRect t="3973" b="8938"/>
                    <a:stretch/>
                  </pic:blipFill>
                  <pic:spPr bwMode="auto">
                    <a:xfrm>
                      <a:off x="0" y="0"/>
                      <a:ext cx="5394960" cy="2506845"/>
                    </a:xfrm>
                    <a:prstGeom prst="rect">
                      <a:avLst/>
                    </a:prstGeom>
                    <a:ln>
                      <a:noFill/>
                    </a:ln>
                    <a:extLst>
                      <a:ext uri="{53640926-AAD7-44D8-BBD7-CCE9431645EC}">
                        <a14:shadowObscured xmlns:a14="http://schemas.microsoft.com/office/drawing/2010/main"/>
                      </a:ext>
                    </a:extLst>
                  </pic:spPr>
                </pic:pic>
              </a:graphicData>
            </a:graphic>
          </wp:inline>
        </w:drawing>
      </w:r>
    </w:p>
    <w:p w:rsidR="008217C4" w:rsidRDefault="008217C4" w:rsidP="00796484">
      <w:pPr>
        <w:pStyle w:val="Figurecaption"/>
      </w:pPr>
      <w:bookmarkStart w:id="202" w:name="_Toc362784365"/>
      <w:bookmarkStart w:id="203" w:name="_Toc364442697"/>
      <w:bookmarkStart w:id="204" w:name="_Toc364505740"/>
      <w:bookmarkStart w:id="205" w:name="_Toc367004752"/>
      <w:r>
        <w:t xml:space="preserve">Figure 4.6: The </w:t>
      </w:r>
      <w:r w:rsidR="00456EEA">
        <w:t>percent change in mean climate-change induced</w:t>
      </w:r>
      <w:r>
        <w:t xml:space="preserve"> </w:t>
      </w:r>
      <w:r w:rsidR="00C45335">
        <w:t xml:space="preserve">seasonal </w:t>
      </w:r>
      <w:r w:rsidR="00423D79">
        <w:t>a) precipitation and b) temperature</w:t>
      </w:r>
      <w:r>
        <w:t xml:space="preserve">, </w:t>
      </w:r>
      <w:r w:rsidR="00E018A8">
        <w:t xml:space="preserve">relative to 2000-2010 conditions, </w:t>
      </w:r>
      <w:r>
        <w:t xml:space="preserve">as evaluated by sixteen GCMs.  </w:t>
      </w:r>
      <w:r w:rsidR="00C45335">
        <w:t xml:space="preserve">The median values (black lines) are provided.  </w:t>
      </w:r>
      <w:r>
        <w:t xml:space="preserve">Circles </w:t>
      </w:r>
      <w:r w:rsidR="00423D79">
        <w:t>indicate outlying values</w:t>
      </w:r>
      <w:bookmarkEnd w:id="202"/>
      <w:bookmarkEnd w:id="203"/>
      <w:bookmarkEnd w:id="204"/>
      <w:r w:rsidR="00C45335">
        <w:t>.</w:t>
      </w:r>
      <w:bookmarkEnd w:id="205"/>
    </w:p>
    <w:p w:rsidR="008217C4" w:rsidRDefault="008217C4" w:rsidP="008217C4">
      <w:pPr>
        <w:spacing w:line="480" w:lineRule="auto"/>
      </w:pPr>
    </w:p>
    <w:p w:rsidR="008217C4" w:rsidRDefault="008217C4" w:rsidP="008217C4">
      <w:pPr>
        <w:spacing w:line="480" w:lineRule="auto"/>
      </w:pPr>
    </w:p>
    <w:p w:rsidR="00CD20B4" w:rsidRPr="00A25DD0" w:rsidRDefault="005D2319" w:rsidP="00A25DD0">
      <w:pPr>
        <w:pStyle w:val="Heading3"/>
        <w:spacing w:line="480" w:lineRule="auto"/>
        <w:rPr>
          <w:b w:val="0"/>
        </w:rPr>
      </w:pPr>
      <w:bookmarkStart w:id="206" w:name="_Toc364501664"/>
      <w:bookmarkStart w:id="207" w:name="_Toc368046195"/>
      <w:r w:rsidRPr="00A25DD0">
        <w:rPr>
          <w:b w:val="0"/>
        </w:rPr>
        <w:lastRenderedPageBreak/>
        <w:t>4.</w:t>
      </w:r>
      <w:r w:rsidR="00CD20B4" w:rsidRPr="00A25DD0">
        <w:rPr>
          <w:b w:val="0"/>
        </w:rPr>
        <w:t>4.3: Response of the SCW to Climate Change and Switchgrass Cultivation</w:t>
      </w:r>
      <w:bookmarkEnd w:id="206"/>
      <w:bookmarkEnd w:id="207"/>
      <w:r w:rsidR="00CD20B4" w:rsidRPr="00A25DD0">
        <w:rPr>
          <w:b w:val="0"/>
        </w:rPr>
        <w:t xml:space="preserve">    </w:t>
      </w:r>
    </w:p>
    <w:p w:rsidR="00544832" w:rsidRDefault="00CD20B4" w:rsidP="00CD20B4">
      <w:pPr>
        <w:spacing w:line="480" w:lineRule="auto"/>
        <w:rPr>
          <w:color w:val="000000"/>
        </w:rPr>
      </w:pPr>
      <w:r>
        <w:t xml:space="preserve">     Tables presenting the</w:t>
      </w:r>
      <w:r w:rsidRPr="00D252BD">
        <w:t xml:space="preserve"> change</w:t>
      </w:r>
      <w:r>
        <w:t xml:space="preserve"> </w:t>
      </w:r>
      <w:r w:rsidRPr="00D252BD">
        <w:t>in average seasonal precipitation</w:t>
      </w:r>
      <w:r>
        <w:t xml:space="preserve"> (</w:t>
      </w:r>
      <w:r w:rsidRPr="009B7E2F">
        <w:rPr>
          <w:rFonts w:ascii="Cambria Math" w:hAnsi="Cambria Math"/>
        </w:rPr>
        <w:t>%ΔP</w:t>
      </w:r>
      <w:r>
        <w:t>), temperature (</w:t>
      </w:r>
      <w:r w:rsidRPr="009B7E2F">
        <w:rPr>
          <w:rFonts w:ascii="Cambria Math" w:hAnsi="Cambria Math"/>
        </w:rPr>
        <w:t>ΔT</w:t>
      </w:r>
      <w:r>
        <w:t>), surface runoff (</w:t>
      </w:r>
      <w:r w:rsidRPr="009B7E2F">
        <w:rPr>
          <w:rFonts w:ascii="Cambria Math" w:hAnsi="Cambria Math"/>
          <w:color w:val="000000"/>
        </w:rPr>
        <w:t>%Δr</w:t>
      </w:r>
      <w:r w:rsidRPr="009B7E2F">
        <w:rPr>
          <w:rFonts w:ascii="Cambria Math" w:hAnsi="Cambria Math"/>
          <w:color w:val="000000"/>
          <w:vertAlign w:val="subscript"/>
        </w:rPr>
        <w:t>s</w:t>
      </w:r>
      <w:r w:rsidRPr="00051202">
        <w:rPr>
          <w:rFonts w:ascii="Cambria Math" w:hAnsi="Cambria Math"/>
          <w:color w:val="000000"/>
          <w:sz w:val="22"/>
          <w:szCs w:val="22"/>
        </w:rPr>
        <w:t>)</w:t>
      </w:r>
      <w:r w:rsidRPr="00630BB1">
        <w:fldChar w:fldCharType="begin"/>
      </w:r>
      <w:r w:rsidRPr="00630BB1">
        <w:instrText xml:space="preserve"> QUOTE </w:instrText>
      </w:r>
      <w:r>
        <w:rPr>
          <w:noProof/>
        </w:rPr>
        <w:drawing>
          <wp:inline distT="0" distB="0" distL="0" distR="0" wp14:anchorId="6FA99261" wp14:editId="5761764B">
            <wp:extent cx="230505" cy="1428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0505" cy="142875"/>
                    </a:xfrm>
                    <a:prstGeom prst="rect">
                      <a:avLst/>
                    </a:prstGeom>
                    <a:noFill/>
                    <a:ln>
                      <a:noFill/>
                    </a:ln>
                  </pic:spPr>
                </pic:pic>
              </a:graphicData>
            </a:graphic>
          </wp:inline>
        </w:drawing>
      </w:r>
      <w:r w:rsidRPr="00630BB1">
        <w:instrText xml:space="preserve"> </w:instrText>
      </w:r>
      <w:r w:rsidRPr="00630BB1">
        <w:fldChar w:fldCharType="end"/>
      </w:r>
      <w:r>
        <w:t>, and evapotranspiration (</w:t>
      </w:r>
      <w:r w:rsidRPr="009B7E2F">
        <w:rPr>
          <w:rFonts w:ascii="Cambria Math" w:hAnsi="Cambria Math"/>
        </w:rPr>
        <w:t>%</w:t>
      </w:r>
      <w:r w:rsidRPr="009B7E2F">
        <w:rPr>
          <w:rFonts w:ascii="Cambria Math" w:hAnsi="Cambria Math"/>
          <w:color w:val="000000"/>
        </w:rPr>
        <w:t>ΔeT</w:t>
      </w:r>
      <w:r>
        <w:rPr>
          <w:rFonts w:ascii="Cambria Math" w:hAnsi="Cambria Math"/>
          <w:color w:val="000000"/>
          <w:sz w:val="22"/>
          <w:szCs w:val="22"/>
        </w:rPr>
        <w:t>)</w:t>
      </w:r>
      <w:r>
        <w:t xml:space="preserve"> </w:t>
      </w:r>
      <w:r w:rsidRPr="00D252BD">
        <w:t xml:space="preserve">between the 2040s </w:t>
      </w:r>
      <w:r>
        <w:t>and</w:t>
      </w:r>
      <w:r w:rsidRPr="00D252BD">
        <w:t xml:space="preserve"> </w:t>
      </w:r>
      <w:r>
        <w:t>the base period for</w:t>
      </w:r>
      <w:r w:rsidRPr="00537312">
        <w:t xml:space="preserve"> </w:t>
      </w:r>
      <w:r>
        <w:rPr>
          <w:color w:val="000000"/>
        </w:rPr>
        <w:t xml:space="preserve">the winter, spring, and summer seasons, respectively, by GCM are included </w:t>
      </w:r>
      <w:r w:rsidR="00CF7BEE">
        <w:rPr>
          <w:color w:val="000000"/>
        </w:rPr>
        <w:t xml:space="preserve">in </w:t>
      </w:r>
      <w:r w:rsidR="005D2319">
        <w:rPr>
          <w:color w:val="000000"/>
        </w:rPr>
        <w:t xml:space="preserve">the </w:t>
      </w:r>
      <w:r w:rsidR="00BF3F17">
        <w:rPr>
          <w:color w:val="000000"/>
        </w:rPr>
        <w:t xml:space="preserve">Dissertation </w:t>
      </w:r>
      <w:r w:rsidR="00CF7BEE">
        <w:rPr>
          <w:color w:val="000000"/>
        </w:rPr>
        <w:t xml:space="preserve">Appendix </w:t>
      </w:r>
      <w:r w:rsidR="005D2319">
        <w:rPr>
          <w:color w:val="000000"/>
        </w:rPr>
        <w:t>(Tables A.1-A.3)</w:t>
      </w:r>
      <w:r>
        <w:rPr>
          <w:color w:val="000000"/>
        </w:rPr>
        <w:t xml:space="preserve">.  Boxplots illustrating the statistical summaries of </w:t>
      </w:r>
      <w:r w:rsidRPr="009B7E2F">
        <w:rPr>
          <w:rFonts w:ascii="Cambria Math" w:hAnsi="Cambria Math"/>
          <w:color w:val="000000"/>
        </w:rPr>
        <w:t>%Δr</w:t>
      </w:r>
      <w:r w:rsidRPr="009B7E2F">
        <w:rPr>
          <w:rFonts w:ascii="Cambria Math" w:hAnsi="Cambria Math"/>
          <w:color w:val="000000"/>
          <w:vertAlign w:val="subscript"/>
        </w:rPr>
        <w:t>s</w:t>
      </w:r>
      <w:r>
        <w:rPr>
          <w:color w:val="000000"/>
        </w:rPr>
        <w:t xml:space="preserve"> and </w:t>
      </w:r>
      <w:r w:rsidRPr="009B7E2F">
        <w:rPr>
          <w:rFonts w:ascii="Cambria Math" w:hAnsi="Cambria Math"/>
        </w:rPr>
        <w:t>%</w:t>
      </w:r>
      <w:r w:rsidRPr="009B7E2F">
        <w:rPr>
          <w:rFonts w:ascii="Cambria Math" w:hAnsi="Cambria Math"/>
          <w:color w:val="000000"/>
        </w:rPr>
        <w:t>ΔeT</w:t>
      </w:r>
      <w:r>
        <w:rPr>
          <w:color w:val="000000"/>
        </w:rPr>
        <w:t>, according to season, are displayed as Figure 4.7</w:t>
      </w:r>
      <w:r w:rsidR="00544832">
        <w:rPr>
          <w:color w:val="000000"/>
        </w:rPr>
        <w:t xml:space="preserve">, and a division of the medians (CCS/CCO), by season for the purpose of investigating the extent of the amplification of decreased winter and summer </w:t>
      </w:r>
      <w:r w:rsidR="00544832" w:rsidRPr="009B7E2F">
        <w:rPr>
          <w:rFonts w:ascii="Cambria Math" w:hAnsi="Cambria Math"/>
          <w:color w:val="000000"/>
        </w:rPr>
        <w:t>%Δr</w:t>
      </w:r>
      <w:r w:rsidR="00544832" w:rsidRPr="009B7E2F">
        <w:rPr>
          <w:rFonts w:ascii="Cambria Math" w:hAnsi="Cambria Math"/>
          <w:color w:val="000000"/>
          <w:vertAlign w:val="subscript"/>
        </w:rPr>
        <w:t>s</w:t>
      </w:r>
      <w:r w:rsidR="00544832">
        <w:rPr>
          <w:color w:val="000000"/>
        </w:rPr>
        <w:t xml:space="preserve"> and amplification of increased winter and spring </w:t>
      </w:r>
      <w:r w:rsidR="00544832" w:rsidRPr="009B7E2F">
        <w:rPr>
          <w:rFonts w:ascii="Cambria Math" w:hAnsi="Cambria Math"/>
        </w:rPr>
        <w:t>%</w:t>
      </w:r>
      <w:r w:rsidR="00544832" w:rsidRPr="009B7E2F">
        <w:rPr>
          <w:rFonts w:ascii="Cambria Math" w:hAnsi="Cambria Math"/>
          <w:color w:val="000000"/>
        </w:rPr>
        <w:t>ΔeT</w:t>
      </w:r>
      <w:r w:rsidR="00544832" w:rsidRPr="00544832">
        <w:rPr>
          <w:rFonts w:asciiTheme="majorHAnsi" w:hAnsiTheme="majorHAnsi" w:cstheme="majorHAnsi"/>
          <w:color w:val="000000"/>
        </w:rPr>
        <w:t>, is presented</w:t>
      </w:r>
      <w:r w:rsidR="007E2263">
        <w:rPr>
          <w:rFonts w:asciiTheme="majorHAnsi" w:hAnsiTheme="majorHAnsi" w:cstheme="majorHAnsi"/>
          <w:color w:val="000000"/>
        </w:rPr>
        <w:t xml:space="preserve"> as Table 4.4</w:t>
      </w:r>
      <w:r w:rsidR="00544832" w:rsidRPr="00544832">
        <w:rPr>
          <w:rFonts w:asciiTheme="majorHAnsi" w:hAnsiTheme="majorHAnsi" w:cstheme="majorHAnsi"/>
          <w:color w:val="000000"/>
        </w:rPr>
        <w:t xml:space="preserve">.  </w:t>
      </w:r>
      <w:r w:rsidRPr="00544832">
        <w:rPr>
          <w:rFonts w:asciiTheme="majorHAnsi" w:hAnsiTheme="majorHAnsi" w:cstheme="majorHAnsi"/>
          <w:color w:val="000000"/>
        </w:rPr>
        <w:t>Regarding</w:t>
      </w:r>
      <w:r>
        <w:rPr>
          <w:color w:val="000000"/>
        </w:rPr>
        <w:t xml:space="preserve"> </w:t>
      </w:r>
      <w:r w:rsidRPr="009B7E2F">
        <w:rPr>
          <w:rFonts w:ascii="Cambria Math" w:hAnsi="Cambria Math"/>
          <w:color w:val="000000"/>
        </w:rPr>
        <w:t>%Δr</w:t>
      </w:r>
      <w:r w:rsidRPr="009B7E2F">
        <w:rPr>
          <w:rFonts w:ascii="Cambria Math" w:hAnsi="Cambria Math"/>
          <w:color w:val="000000"/>
          <w:vertAlign w:val="subscript"/>
        </w:rPr>
        <w:t>s</w:t>
      </w:r>
      <w:r>
        <w:rPr>
          <w:color w:val="000000"/>
        </w:rPr>
        <w:t xml:space="preserve">, note that the values of the 5-number summary under CCO always exceed those for CCS, and such values under CCS are always negative.  </w:t>
      </w:r>
      <w:r w:rsidR="00D95BDC">
        <w:rPr>
          <w:color w:val="000000"/>
        </w:rPr>
        <w:t xml:space="preserve">The reduced variation in </w:t>
      </w:r>
      <w:r w:rsidR="00D95BDC" w:rsidRPr="009B7E2F">
        <w:rPr>
          <w:rFonts w:ascii="Cambria Math" w:hAnsi="Cambria Math"/>
          <w:color w:val="000000"/>
        </w:rPr>
        <w:t>%Δr</w:t>
      </w:r>
      <w:r w:rsidR="00D95BDC" w:rsidRPr="009B7E2F">
        <w:rPr>
          <w:rFonts w:ascii="Cambria Math" w:hAnsi="Cambria Math"/>
          <w:color w:val="000000"/>
          <w:vertAlign w:val="subscript"/>
        </w:rPr>
        <w:t>s</w:t>
      </w:r>
      <w:r w:rsidR="00D95BDC">
        <w:rPr>
          <w:color w:val="000000"/>
        </w:rPr>
        <w:t xml:space="preserve"> under the CCS scenario relative to the CCO scenario may result from prairie streams having increased baseflow, higher infiltration, and a lower contribution from direct runoff, relative to agricultural streams (e.g. Heimann 2009).  </w:t>
      </w:r>
      <w:r w:rsidR="00544832">
        <w:rPr>
          <w:color w:val="000000"/>
        </w:rPr>
        <w:t>The</w:t>
      </w:r>
      <w:r w:rsidR="00D95BDC">
        <w:rPr>
          <w:color w:val="000000"/>
        </w:rPr>
        <w:t xml:space="preserve"> reduced contribution from direct runoff </w:t>
      </w:r>
      <w:r w:rsidR="00544832">
        <w:rPr>
          <w:color w:val="000000"/>
        </w:rPr>
        <w:t>causes the</w:t>
      </w:r>
      <w:r w:rsidR="00D95BDC">
        <w:rPr>
          <w:color w:val="000000"/>
        </w:rPr>
        <w:t xml:space="preserve"> prairie streams </w:t>
      </w:r>
      <w:r w:rsidR="00544832">
        <w:rPr>
          <w:color w:val="000000"/>
        </w:rPr>
        <w:t xml:space="preserve">to possess </w:t>
      </w:r>
      <w:r w:rsidR="00D95BDC">
        <w:rPr>
          <w:color w:val="000000"/>
        </w:rPr>
        <w:t xml:space="preserve">a less “flashy” character than their agricultural counterparts.  </w:t>
      </w:r>
    </w:p>
    <w:p w:rsidR="00CC1B9F" w:rsidRPr="00CC1B9F" w:rsidRDefault="00544832" w:rsidP="000D5404">
      <w:pPr>
        <w:spacing w:line="480" w:lineRule="auto"/>
        <w:rPr>
          <w:rFonts w:ascii="Cambria Math" w:hAnsi="Cambria Math"/>
          <w:color w:val="000000"/>
          <w:sz w:val="22"/>
          <w:szCs w:val="22"/>
        </w:rPr>
      </w:pPr>
      <w:r>
        <w:rPr>
          <w:color w:val="000000"/>
        </w:rPr>
        <w:t xml:space="preserve">     </w:t>
      </w:r>
      <w:r w:rsidR="00CD20B4">
        <w:rPr>
          <w:color w:val="000000"/>
        </w:rPr>
        <w:t xml:space="preserve">For </w:t>
      </w:r>
      <w:r w:rsidR="00CD20B4" w:rsidRPr="000844CF">
        <w:rPr>
          <w:rFonts w:ascii="Cambria Math" w:hAnsi="Cambria Math"/>
        </w:rPr>
        <w:t>%</w:t>
      </w:r>
      <w:r w:rsidR="00CD20B4" w:rsidRPr="000844CF">
        <w:rPr>
          <w:rFonts w:ascii="Cambria Math" w:hAnsi="Cambria Math"/>
          <w:color w:val="000000"/>
        </w:rPr>
        <w:t>ΔeT</w:t>
      </w:r>
      <w:r w:rsidR="00CD20B4" w:rsidRPr="00253923">
        <w:rPr>
          <w:color w:val="000000"/>
        </w:rPr>
        <w:t>, the winter-</w:t>
      </w:r>
      <w:r w:rsidR="00CD20B4">
        <w:rPr>
          <w:color w:val="000000"/>
        </w:rPr>
        <w:t>season</w:t>
      </w:r>
      <w:r w:rsidR="00CD20B4" w:rsidRPr="00253923">
        <w:rPr>
          <w:color w:val="000000"/>
        </w:rPr>
        <w:t xml:space="preserve"> values </w:t>
      </w:r>
      <w:r w:rsidR="00CD20B4">
        <w:rPr>
          <w:color w:val="000000"/>
        </w:rPr>
        <w:t>of</w:t>
      </w:r>
      <w:r w:rsidR="00CD20B4" w:rsidRPr="00253923">
        <w:rPr>
          <w:color w:val="000000"/>
        </w:rPr>
        <w:t xml:space="preserve"> CC</w:t>
      </w:r>
      <w:r w:rsidR="00CD20B4">
        <w:rPr>
          <w:color w:val="000000"/>
        </w:rPr>
        <w:t>S are smaller than those under CCO, but those for spring and summer are larger.</w:t>
      </w:r>
      <w:r w:rsidR="00CD4E21">
        <w:rPr>
          <w:color w:val="000000"/>
        </w:rPr>
        <w:t xml:space="preserve">  The replacement of winter wheat results in dormant switchgrass stubble during the winter, red</w:t>
      </w:r>
      <w:r>
        <w:rPr>
          <w:color w:val="000000"/>
        </w:rPr>
        <w:t xml:space="preserve">ucing </w:t>
      </w:r>
      <w:proofErr w:type="gramStart"/>
      <w:r>
        <w:rPr>
          <w:color w:val="000000"/>
        </w:rPr>
        <w:t>eT</w:t>
      </w:r>
      <w:proofErr w:type="gramEnd"/>
      <w:r>
        <w:rPr>
          <w:color w:val="000000"/>
        </w:rPr>
        <w:t xml:space="preserve">.  </w:t>
      </w:r>
      <w:r w:rsidR="008C7C5C">
        <w:rPr>
          <w:color w:val="000000"/>
        </w:rPr>
        <w:t>I speculate that r</w:t>
      </w:r>
      <w:r>
        <w:rPr>
          <w:color w:val="000000"/>
        </w:rPr>
        <w:t>educed streamflow may be</w:t>
      </w:r>
      <w:r w:rsidR="00CD4E21">
        <w:rPr>
          <w:color w:val="000000"/>
        </w:rPr>
        <w:t xml:space="preserve"> a function of a lack of available soil moisture due to switchgrass having exhausted the soil moisture during the late spring/early summer rainy season.  With regard to the spring, while winter wheat and range grasses are not at full </w:t>
      </w:r>
      <w:r w:rsidR="00CD4E21">
        <w:rPr>
          <w:color w:val="000000"/>
        </w:rPr>
        <w:lastRenderedPageBreak/>
        <w:t xml:space="preserve">productivity, the impacts of the mid-April and mid-May fertilizer applications for switchgrass generated a nine-fold increase in </w:t>
      </w:r>
      <w:r w:rsidR="00CD4E21" w:rsidRPr="001B1CC9">
        <w:rPr>
          <w:rFonts w:ascii="Cambria Math" w:hAnsi="Cambria Math"/>
        </w:rPr>
        <w:t>%</w:t>
      </w:r>
      <w:r w:rsidR="00CD4E21" w:rsidRPr="001B1CC9">
        <w:rPr>
          <w:rFonts w:ascii="Cambria Math" w:hAnsi="Cambria Math"/>
          <w:color w:val="000000"/>
        </w:rPr>
        <w:t>ΔeT</w:t>
      </w:r>
      <w:r w:rsidR="00CD4E21" w:rsidRPr="009B5621">
        <w:rPr>
          <w:color w:val="000000"/>
        </w:rPr>
        <w:t xml:space="preserve"> </w:t>
      </w:r>
      <w:r w:rsidR="00CD4E21" w:rsidRPr="00253923">
        <w:rPr>
          <w:color w:val="000000"/>
        </w:rPr>
        <w:t xml:space="preserve">under CCS </w:t>
      </w:r>
      <w:r w:rsidR="00CD4E21">
        <w:rPr>
          <w:color w:val="000000"/>
        </w:rPr>
        <w:t>relative to that under</w:t>
      </w:r>
      <w:r w:rsidR="00CD4E21" w:rsidRPr="00253923">
        <w:rPr>
          <w:color w:val="000000"/>
        </w:rPr>
        <w:t xml:space="preserve"> CCO</w:t>
      </w:r>
      <w:r w:rsidR="00CD4E21">
        <w:rPr>
          <w:color w:val="000000"/>
        </w:rPr>
        <w:t>, which is the largest amplification presented in Table 4.</w:t>
      </w:r>
      <w:r w:rsidR="007E2263">
        <w:rPr>
          <w:color w:val="000000"/>
        </w:rPr>
        <w:t>4</w:t>
      </w:r>
      <w:r w:rsidR="00CD4E21">
        <w:rPr>
          <w:rFonts w:ascii="Cambria Math" w:hAnsi="Cambria Math"/>
          <w:color w:val="000000"/>
          <w:sz w:val="22"/>
          <w:szCs w:val="22"/>
        </w:rPr>
        <w:t xml:space="preserve">.  </w:t>
      </w:r>
      <w:r w:rsidR="00CD4E21" w:rsidRPr="009B5621">
        <w:rPr>
          <w:color w:val="000000"/>
        </w:rPr>
        <w:t xml:space="preserve">Consequently, the large amplification in </w:t>
      </w:r>
      <w:r w:rsidR="00CD4E21">
        <w:rPr>
          <w:color w:val="000000"/>
        </w:rPr>
        <w:t xml:space="preserve">spring </w:t>
      </w:r>
      <w:r w:rsidR="00CD4E21" w:rsidRPr="001B1CC9">
        <w:rPr>
          <w:rFonts w:ascii="Cambria Math" w:hAnsi="Cambria Math"/>
        </w:rPr>
        <w:t>%</w:t>
      </w:r>
      <w:r w:rsidR="00CD4E21" w:rsidRPr="001B1CC9">
        <w:rPr>
          <w:rFonts w:ascii="Cambria Math" w:hAnsi="Cambria Math"/>
          <w:color w:val="000000"/>
        </w:rPr>
        <w:t>ΔeT</w:t>
      </w:r>
      <w:r w:rsidR="00CD4E21">
        <w:rPr>
          <w:color w:val="000000"/>
        </w:rPr>
        <w:t xml:space="preserve"> results in a drastic reduction in </w:t>
      </w:r>
      <w:r w:rsidR="00CD4E21" w:rsidRPr="001B1CC9">
        <w:rPr>
          <w:rFonts w:ascii="Cambria Math" w:hAnsi="Cambria Math"/>
          <w:color w:val="000000"/>
        </w:rPr>
        <w:t>%Δr</w:t>
      </w:r>
      <w:r w:rsidR="00CD4E21" w:rsidRPr="001B1CC9">
        <w:rPr>
          <w:rFonts w:ascii="Cambria Math" w:hAnsi="Cambria Math"/>
          <w:color w:val="000000"/>
          <w:vertAlign w:val="subscript"/>
        </w:rPr>
        <w:t>s</w:t>
      </w:r>
      <w:r w:rsidR="00CD4E21">
        <w:rPr>
          <w:color w:val="000000"/>
        </w:rPr>
        <w:t xml:space="preserve">.  </w:t>
      </w:r>
      <w:r w:rsidR="00CD4E21" w:rsidRPr="009B5621">
        <w:rPr>
          <w:color w:val="000000"/>
        </w:rPr>
        <w:t>The</w:t>
      </w:r>
      <w:r w:rsidR="00CD4E21" w:rsidRPr="00253923">
        <w:rPr>
          <w:color w:val="000000"/>
        </w:rPr>
        <w:t xml:space="preserve"> 48% of the watershed associated with winter wheat cultivation</w:t>
      </w:r>
      <w:r w:rsidR="00CD4E21">
        <w:rPr>
          <w:color w:val="000000"/>
        </w:rPr>
        <w:t>,</w:t>
      </w:r>
      <w:r w:rsidR="00CD4E21" w:rsidRPr="00253923">
        <w:rPr>
          <w:color w:val="000000"/>
        </w:rPr>
        <w:t xml:space="preserve"> which is dormant under CCO during the summer</w:t>
      </w:r>
      <w:r w:rsidR="00CD4E21">
        <w:rPr>
          <w:color w:val="000000"/>
        </w:rPr>
        <w:t>,</w:t>
      </w:r>
      <w:r w:rsidR="00CD4E21" w:rsidRPr="00253923">
        <w:rPr>
          <w:color w:val="000000"/>
        </w:rPr>
        <w:t xml:space="preserve"> is replaced with large quantities of active switchgrass, likewise resulting in increased basin-wide </w:t>
      </w:r>
      <w:proofErr w:type="gramStart"/>
      <w:r w:rsidR="00CD4E21" w:rsidRPr="00253923">
        <w:rPr>
          <w:color w:val="000000"/>
        </w:rPr>
        <w:t>eT</w:t>
      </w:r>
      <w:proofErr w:type="gramEnd"/>
      <w:r w:rsidR="00CD4E21" w:rsidRPr="00253923">
        <w:rPr>
          <w:color w:val="000000"/>
        </w:rPr>
        <w:t>.</w:t>
      </w:r>
      <w:r w:rsidR="00CD4E21">
        <w:rPr>
          <w:color w:val="000000"/>
        </w:rPr>
        <w:t xml:space="preserve">  </w:t>
      </w:r>
      <w:r w:rsidR="00CD4E21">
        <w:t>The decreased surface runoff and increased evapotranspiration associated with switchgrass management absent a change in climate during the spring and summer is consistent with previous findings (i.e. Goldstein et al. 2013).</w:t>
      </w:r>
      <w:r w:rsidR="00CD4E21">
        <w:rPr>
          <w:rFonts w:ascii="Cambria Math" w:hAnsi="Cambria Math"/>
          <w:color w:val="000000"/>
          <w:sz w:val="22"/>
          <w:szCs w:val="22"/>
        </w:rPr>
        <w:t xml:space="preserve">  </w:t>
      </w:r>
    </w:p>
    <w:p w:rsidR="000D5404" w:rsidRPr="008217C4" w:rsidRDefault="00FC4E2B" w:rsidP="000D5404">
      <w:pPr>
        <w:spacing w:line="480" w:lineRule="auto"/>
        <w:rPr>
          <w:rFonts w:ascii="Cambria Math" w:hAnsi="Cambria Math" w:cs="Cambria Math"/>
          <w:color w:val="000000"/>
        </w:rPr>
      </w:pPr>
      <w:r>
        <w:rPr>
          <w:rFonts w:ascii="Cambria Math" w:hAnsi="Cambria Math"/>
          <w:color w:val="000000"/>
          <w:sz w:val="22"/>
          <w:szCs w:val="22"/>
        </w:rPr>
        <w:t xml:space="preserve">     </w:t>
      </w:r>
      <w:r w:rsidR="000D5404">
        <w:t>Based on the results of multiple regression analysis (see also Vogel, 2006; Liu and Cui, 2011)</w:t>
      </w:r>
      <w:r w:rsidR="00874073">
        <w:t xml:space="preserve"> in which </w:t>
      </w:r>
      <w:r w:rsidR="00874073">
        <w:rPr>
          <w:rFonts w:ascii="Cambria Math" w:hAnsi="Cambria Math"/>
          <w:color w:val="000000"/>
          <w:sz w:val="22"/>
          <w:szCs w:val="22"/>
        </w:rPr>
        <w:t>precipitation and temperature</w:t>
      </w:r>
      <w:r w:rsidR="00874073">
        <w:t xml:space="preserve"> were plotted against </w:t>
      </w:r>
      <w:r w:rsidR="00874073" w:rsidRPr="001B1CC9">
        <w:rPr>
          <w:rFonts w:ascii="Cambria Math" w:hAnsi="Cambria Math"/>
          <w:color w:val="000000"/>
        </w:rPr>
        <w:t>%Δr</w:t>
      </w:r>
      <w:r w:rsidR="00874073" w:rsidRPr="001B1CC9">
        <w:rPr>
          <w:rFonts w:ascii="Cambria Math" w:hAnsi="Cambria Math"/>
          <w:color w:val="000000"/>
          <w:vertAlign w:val="subscript"/>
        </w:rPr>
        <w:t>s</w:t>
      </w:r>
      <w:r w:rsidR="00874073">
        <w:t xml:space="preserve"> and separately against </w:t>
      </w:r>
      <w:r w:rsidR="00874073" w:rsidRPr="001B1CC9">
        <w:rPr>
          <w:rFonts w:ascii="Cambria Math" w:hAnsi="Cambria Math"/>
        </w:rPr>
        <w:t>%</w:t>
      </w:r>
      <w:r w:rsidR="00874073" w:rsidRPr="001B1CC9">
        <w:rPr>
          <w:rFonts w:ascii="Cambria Math" w:hAnsi="Cambria Math"/>
          <w:color w:val="000000"/>
        </w:rPr>
        <w:t>ΔeT</w:t>
      </w:r>
      <w:r w:rsidR="000D5404">
        <w:t xml:space="preserve">, </w:t>
      </w:r>
      <w:r w:rsidR="000D5404" w:rsidRPr="001B1CC9">
        <w:rPr>
          <w:rFonts w:ascii="Cambria Math" w:hAnsi="Cambria Math"/>
          <w:color w:val="000000"/>
        </w:rPr>
        <w:t>%Δr</w:t>
      </w:r>
      <w:r w:rsidR="000D5404" w:rsidRPr="001B1CC9">
        <w:rPr>
          <w:rFonts w:ascii="Cambria Math" w:hAnsi="Cambria Math"/>
          <w:color w:val="000000"/>
          <w:vertAlign w:val="subscript"/>
        </w:rPr>
        <w:t>s</w:t>
      </w:r>
      <w:r w:rsidR="000D5404" w:rsidDel="00BC028E">
        <w:t xml:space="preserve"> </w:t>
      </w:r>
      <w:r w:rsidR="000D5404">
        <w:t>is strongly associated with the change in precipitation, but not temperature, in all three seasons, with R</w:t>
      </w:r>
      <w:r w:rsidR="000D5404">
        <w:rPr>
          <w:vertAlign w:val="superscript"/>
        </w:rPr>
        <w:t>2</w:t>
      </w:r>
      <w:r w:rsidR="000D5404">
        <w:t xml:space="preserve"> values of 0.74, 0.93, and 0.91, respectively (p&lt;0.05 in all cases).  </w:t>
      </w:r>
      <w:r w:rsidR="000D5404">
        <w:rPr>
          <w:color w:val="000000"/>
        </w:rPr>
        <w:t xml:space="preserve">Similarly, </w:t>
      </w:r>
      <w:r w:rsidR="000D5404" w:rsidRPr="001B1CC9">
        <w:rPr>
          <w:rFonts w:ascii="Cambria Math" w:hAnsi="Cambria Math"/>
        </w:rPr>
        <w:t>%</w:t>
      </w:r>
      <w:r w:rsidR="000D5404" w:rsidRPr="001B1CC9">
        <w:rPr>
          <w:rFonts w:ascii="Cambria Math" w:hAnsi="Cambria Math"/>
          <w:color w:val="000000"/>
        </w:rPr>
        <w:t>ΔeT</w:t>
      </w:r>
      <w:r w:rsidR="000D5404">
        <w:rPr>
          <w:rFonts w:ascii="Cambria Math" w:hAnsi="Cambria Math"/>
          <w:color w:val="000000"/>
          <w:sz w:val="22"/>
          <w:szCs w:val="22"/>
        </w:rPr>
        <w:t xml:space="preserve"> is </w:t>
      </w:r>
      <w:r w:rsidR="000D5404">
        <w:rPr>
          <w:color w:val="000000"/>
        </w:rPr>
        <w:t>also strongly associated with changes in precipitation for the spring and summer, with R</w:t>
      </w:r>
      <w:r w:rsidR="000D5404">
        <w:rPr>
          <w:color w:val="000000"/>
          <w:vertAlign w:val="superscript"/>
        </w:rPr>
        <w:t>2</w:t>
      </w:r>
      <w:r w:rsidR="000D5404">
        <w:rPr>
          <w:color w:val="000000"/>
        </w:rPr>
        <w:t xml:space="preserve"> values of 0.71 and </w:t>
      </w:r>
      <w:r w:rsidR="000D5404" w:rsidRPr="005A42C1">
        <w:rPr>
          <w:color w:val="000000"/>
        </w:rPr>
        <w:t>0.87</w:t>
      </w:r>
      <w:r w:rsidR="000D5404">
        <w:rPr>
          <w:color w:val="000000"/>
        </w:rPr>
        <w:t xml:space="preserve">, respectively.  </w:t>
      </w:r>
      <w:r w:rsidR="000D5404" w:rsidRPr="00A15DA4">
        <w:rPr>
          <w:color w:val="000000"/>
        </w:rPr>
        <w:t xml:space="preserve">The multiple regression also shows changes in summer </w:t>
      </w:r>
      <w:proofErr w:type="gramStart"/>
      <w:r w:rsidR="000D5404" w:rsidRPr="00A15DA4">
        <w:rPr>
          <w:color w:val="000000"/>
        </w:rPr>
        <w:t>eT</w:t>
      </w:r>
      <w:proofErr w:type="gramEnd"/>
      <w:r w:rsidR="000D5404" w:rsidRPr="00A15DA4">
        <w:rPr>
          <w:color w:val="000000"/>
        </w:rPr>
        <w:t xml:space="preserve"> to be the only parameter significantly associated with both changes </w:t>
      </w:r>
      <w:r w:rsidR="000D5404">
        <w:rPr>
          <w:color w:val="000000"/>
        </w:rPr>
        <w:t xml:space="preserve">in </w:t>
      </w:r>
      <w:r w:rsidR="000D5404" w:rsidRPr="00A15DA4">
        <w:rPr>
          <w:color w:val="000000"/>
        </w:rPr>
        <w:t>precipitation and temperature (p&lt;0.05).</w:t>
      </w:r>
      <w:r w:rsidR="000D5404">
        <w:rPr>
          <w:b/>
          <w:color w:val="000000"/>
        </w:rPr>
        <w:t xml:space="preserve"> </w:t>
      </w:r>
    </w:p>
    <w:p w:rsidR="00F53943" w:rsidRDefault="00F53943" w:rsidP="00CD20B4">
      <w:pPr>
        <w:spacing w:line="480" w:lineRule="auto"/>
        <w:rPr>
          <w:rFonts w:ascii="Cambria Math" w:hAnsi="Cambria Math"/>
          <w:color w:val="000000"/>
          <w:sz w:val="22"/>
          <w:szCs w:val="22"/>
        </w:rPr>
      </w:pPr>
    </w:p>
    <w:p w:rsidR="00637A87" w:rsidRDefault="00637A87" w:rsidP="00CD20B4">
      <w:pPr>
        <w:spacing w:line="480" w:lineRule="auto"/>
        <w:rPr>
          <w:rFonts w:ascii="Cambria Math" w:hAnsi="Cambria Math"/>
          <w:color w:val="000000"/>
          <w:sz w:val="22"/>
          <w:szCs w:val="22"/>
        </w:rPr>
      </w:pPr>
    </w:p>
    <w:p w:rsidR="00637A87" w:rsidRDefault="00637A87" w:rsidP="00CD20B4">
      <w:pPr>
        <w:spacing w:line="480" w:lineRule="auto"/>
        <w:rPr>
          <w:rFonts w:ascii="Cambria Math" w:hAnsi="Cambria Math"/>
          <w:color w:val="000000"/>
          <w:sz w:val="22"/>
          <w:szCs w:val="22"/>
        </w:rPr>
      </w:pPr>
    </w:p>
    <w:p w:rsidR="00BF3F17" w:rsidRDefault="00BF3F17" w:rsidP="00BF3F17">
      <w:pPr>
        <w:pStyle w:val="Tabletitle"/>
      </w:pPr>
      <w:bookmarkStart w:id="208" w:name="_Toc364503716"/>
      <w:bookmarkStart w:id="209" w:name="_Toc367550609"/>
      <w:r w:rsidRPr="00A0270A">
        <w:lastRenderedPageBreak/>
        <w:t xml:space="preserve">Table </w:t>
      </w:r>
      <w:r>
        <w:t>4.</w:t>
      </w:r>
      <w:r w:rsidR="007E2263">
        <w:t>4</w:t>
      </w:r>
      <w:r w:rsidRPr="00A0270A">
        <w:t xml:space="preserve">: </w:t>
      </w:r>
      <w:r>
        <w:t xml:space="preserve">Comparison of the median </w:t>
      </w:r>
      <w:r w:rsidRPr="001B1CC9">
        <w:rPr>
          <w:rFonts w:ascii="Cambria Math" w:hAnsi="Cambria Math"/>
        </w:rPr>
        <w:t>%Δr</w:t>
      </w:r>
      <w:r w:rsidRPr="001B1CC9">
        <w:rPr>
          <w:rFonts w:ascii="Cambria Math" w:hAnsi="Cambria Math"/>
          <w:vertAlign w:val="subscript"/>
        </w:rPr>
        <w:t>s</w:t>
      </w:r>
      <w:r w:rsidRPr="00F9637E">
        <w:t xml:space="preserve"> </w:t>
      </w:r>
      <w:r>
        <w:t xml:space="preserve">and </w:t>
      </w:r>
      <w:r w:rsidRPr="001B1CC9">
        <w:rPr>
          <w:rFonts w:ascii="Cambria Math" w:hAnsi="Cambria Math"/>
        </w:rPr>
        <w:t>%ΔeT</w:t>
      </w:r>
      <w:r w:rsidRPr="00F9637E">
        <w:t xml:space="preserve"> </w:t>
      </w:r>
      <w:r>
        <w:t>values listed in Figures 6 and 7.    Positive values indicate the switchgrass-based amplification of the hydrologic output.   Negative values indicate a difference in the sign of the medians in the CCO and CCS scenarios</w:t>
      </w:r>
      <w:r w:rsidR="00637A87">
        <w:t>, in which case there is no amplification</w:t>
      </w:r>
      <w:r>
        <w:t>.</w:t>
      </w:r>
      <w:bookmarkEnd w:id="208"/>
      <w:bookmarkEnd w:id="20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275"/>
        <w:gridCol w:w="1216"/>
      </w:tblGrid>
      <w:tr w:rsidR="00BF3F17" w:rsidRPr="00CE05DE" w:rsidTr="00E01EA9">
        <w:trPr>
          <w:jc w:val="center"/>
        </w:trPr>
        <w:tc>
          <w:tcPr>
            <w:tcW w:w="1205" w:type="dxa"/>
            <w:tcBorders>
              <w:bottom w:val="nil"/>
              <w:right w:val="nil"/>
            </w:tcBorders>
            <w:shd w:val="clear" w:color="auto" w:fill="auto"/>
          </w:tcPr>
          <w:p w:rsidR="00BF3F17" w:rsidRPr="00CE05DE" w:rsidRDefault="00BF3F17" w:rsidP="00E01EA9">
            <w:pPr>
              <w:spacing w:after="120"/>
              <w:jc w:val="center"/>
              <w:rPr>
                <w:b/>
                <w:color w:val="000000" w:themeColor="text1"/>
                <w:sz w:val="22"/>
                <w:szCs w:val="22"/>
              </w:rPr>
            </w:pPr>
          </w:p>
        </w:tc>
        <w:tc>
          <w:tcPr>
            <w:tcW w:w="1275" w:type="dxa"/>
            <w:tcBorders>
              <w:left w:val="nil"/>
              <w:bottom w:val="nil"/>
              <w:right w:val="nil"/>
            </w:tcBorders>
            <w:shd w:val="clear" w:color="auto" w:fill="auto"/>
          </w:tcPr>
          <w:p w:rsidR="00BF3F17" w:rsidRPr="00CE05DE" w:rsidRDefault="00BF3F17" w:rsidP="00E01EA9">
            <w:pPr>
              <w:spacing w:after="120"/>
              <w:jc w:val="center"/>
              <w:rPr>
                <w:b/>
                <w:color w:val="000000" w:themeColor="text1"/>
              </w:rPr>
            </w:pPr>
            <w:r w:rsidRPr="00CE05DE">
              <w:rPr>
                <w:rFonts w:ascii="Cambria Math" w:hAnsi="Cambria Math"/>
                <w:b/>
                <w:color w:val="000000" w:themeColor="text1"/>
              </w:rPr>
              <w:t>%Δr</w:t>
            </w:r>
            <w:r w:rsidRPr="00CE05DE">
              <w:rPr>
                <w:rFonts w:ascii="Cambria Math" w:hAnsi="Cambria Math"/>
                <w:b/>
                <w:color w:val="000000" w:themeColor="text1"/>
                <w:vertAlign w:val="subscript"/>
              </w:rPr>
              <w:t>s</w:t>
            </w:r>
          </w:p>
        </w:tc>
        <w:tc>
          <w:tcPr>
            <w:tcW w:w="1216" w:type="dxa"/>
            <w:tcBorders>
              <w:left w:val="nil"/>
              <w:bottom w:val="nil"/>
              <w:right w:val="single" w:sz="4" w:space="0" w:color="auto"/>
            </w:tcBorders>
            <w:shd w:val="clear" w:color="auto" w:fill="auto"/>
          </w:tcPr>
          <w:p w:rsidR="00BF3F17" w:rsidRPr="001B1CC9" w:rsidRDefault="00BF3F17" w:rsidP="00E01EA9">
            <w:pPr>
              <w:spacing w:after="120"/>
              <w:jc w:val="center"/>
              <w:rPr>
                <w:b/>
                <w:color w:val="000000" w:themeColor="text1"/>
              </w:rPr>
            </w:pPr>
            <w:r w:rsidRPr="001B1CC9">
              <w:rPr>
                <w:rFonts w:ascii="Cambria Math" w:hAnsi="Cambria Math"/>
                <w:b/>
                <w:color w:val="000000" w:themeColor="text1"/>
              </w:rPr>
              <w:t>%ΔeT</w:t>
            </w:r>
          </w:p>
        </w:tc>
      </w:tr>
      <w:tr w:rsidR="00BF3F17" w:rsidRPr="00CE05DE" w:rsidTr="00E01EA9">
        <w:trPr>
          <w:jc w:val="center"/>
        </w:trPr>
        <w:tc>
          <w:tcPr>
            <w:tcW w:w="1205" w:type="dxa"/>
            <w:tcBorders>
              <w:bottom w:val="nil"/>
              <w:right w:val="nil"/>
            </w:tcBorders>
            <w:shd w:val="clear" w:color="auto" w:fill="auto"/>
          </w:tcPr>
          <w:p w:rsidR="00BF3F17" w:rsidRPr="00CE05DE" w:rsidRDefault="00BF3F17" w:rsidP="00E01EA9">
            <w:pPr>
              <w:spacing w:after="120"/>
              <w:jc w:val="center"/>
              <w:rPr>
                <w:b/>
                <w:color w:val="000000" w:themeColor="text1"/>
                <w:sz w:val="22"/>
                <w:szCs w:val="22"/>
              </w:rPr>
            </w:pPr>
            <w:r w:rsidRPr="00CE05DE">
              <w:rPr>
                <w:b/>
                <w:color w:val="000000" w:themeColor="text1"/>
                <w:sz w:val="22"/>
                <w:szCs w:val="22"/>
              </w:rPr>
              <w:t>Season</w:t>
            </w:r>
          </w:p>
        </w:tc>
        <w:tc>
          <w:tcPr>
            <w:tcW w:w="1275" w:type="dxa"/>
            <w:tcBorders>
              <w:left w:val="nil"/>
              <w:bottom w:val="nil"/>
              <w:right w:val="nil"/>
            </w:tcBorders>
            <w:shd w:val="clear" w:color="auto" w:fill="auto"/>
          </w:tcPr>
          <w:p w:rsidR="00BF3F17" w:rsidRPr="00CE05DE" w:rsidRDefault="00BF3F17" w:rsidP="00E01EA9">
            <w:pPr>
              <w:spacing w:after="120"/>
              <w:jc w:val="center"/>
              <w:rPr>
                <w:b/>
                <w:color w:val="000000" w:themeColor="text1"/>
                <w:sz w:val="22"/>
                <w:szCs w:val="22"/>
              </w:rPr>
            </w:pPr>
            <w:r w:rsidRPr="00CE05DE">
              <w:rPr>
                <w:b/>
                <w:color w:val="000000" w:themeColor="text1"/>
                <w:sz w:val="22"/>
                <w:szCs w:val="22"/>
              </w:rPr>
              <w:t>CCS/CCO</w:t>
            </w:r>
          </w:p>
        </w:tc>
        <w:tc>
          <w:tcPr>
            <w:tcW w:w="1216" w:type="dxa"/>
            <w:tcBorders>
              <w:left w:val="nil"/>
              <w:bottom w:val="nil"/>
              <w:right w:val="single" w:sz="4" w:space="0" w:color="auto"/>
            </w:tcBorders>
            <w:shd w:val="clear" w:color="auto" w:fill="auto"/>
          </w:tcPr>
          <w:p w:rsidR="00BF3F17" w:rsidRPr="00CE05DE" w:rsidRDefault="00BF3F17" w:rsidP="00E01EA9">
            <w:pPr>
              <w:spacing w:after="120"/>
              <w:jc w:val="center"/>
              <w:rPr>
                <w:b/>
                <w:color w:val="000000" w:themeColor="text1"/>
                <w:sz w:val="22"/>
                <w:szCs w:val="22"/>
              </w:rPr>
            </w:pPr>
            <w:r w:rsidRPr="00CE05DE">
              <w:rPr>
                <w:b/>
                <w:color w:val="000000" w:themeColor="text1"/>
                <w:sz w:val="22"/>
                <w:szCs w:val="22"/>
              </w:rPr>
              <w:t>CCS/CCO</w:t>
            </w:r>
          </w:p>
        </w:tc>
      </w:tr>
      <w:tr w:rsidR="00BF3F17" w:rsidRPr="00CE05DE" w:rsidTr="00E01EA9">
        <w:trPr>
          <w:jc w:val="center"/>
        </w:trPr>
        <w:tc>
          <w:tcPr>
            <w:tcW w:w="1205" w:type="dxa"/>
            <w:tcBorders>
              <w:top w:val="nil"/>
              <w:bottom w:val="nil"/>
              <w:right w:val="nil"/>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Winter</w:t>
            </w:r>
          </w:p>
        </w:tc>
        <w:tc>
          <w:tcPr>
            <w:tcW w:w="1275" w:type="dxa"/>
            <w:tcBorders>
              <w:top w:val="nil"/>
              <w:left w:val="nil"/>
              <w:bottom w:val="nil"/>
              <w:right w:val="nil"/>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3.31</w:t>
            </w:r>
          </w:p>
        </w:tc>
        <w:tc>
          <w:tcPr>
            <w:tcW w:w="1216" w:type="dxa"/>
            <w:tcBorders>
              <w:top w:val="nil"/>
              <w:left w:val="nil"/>
              <w:bottom w:val="nil"/>
              <w:right w:val="single" w:sz="4" w:space="0" w:color="auto"/>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2.92</w:t>
            </w:r>
          </w:p>
        </w:tc>
      </w:tr>
      <w:tr w:rsidR="00BF3F17" w:rsidRPr="00CE05DE" w:rsidTr="00E01EA9">
        <w:trPr>
          <w:jc w:val="center"/>
        </w:trPr>
        <w:tc>
          <w:tcPr>
            <w:tcW w:w="1205" w:type="dxa"/>
            <w:tcBorders>
              <w:top w:val="nil"/>
              <w:bottom w:val="nil"/>
              <w:right w:val="nil"/>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Spring</w:t>
            </w:r>
          </w:p>
        </w:tc>
        <w:tc>
          <w:tcPr>
            <w:tcW w:w="1275" w:type="dxa"/>
            <w:tcBorders>
              <w:top w:val="nil"/>
              <w:left w:val="nil"/>
              <w:bottom w:val="nil"/>
              <w:right w:val="nil"/>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-9.27</w:t>
            </w:r>
          </w:p>
        </w:tc>
        <w:tc>
          <w:tcPr>
            <w:tcW w:w="1216" w:type="dxa"/>
            <w:tcBorders>
              <w:top w:val="nil"/>
              <w:left w:val="nil"/>
              <w:bottom w:val="nil"/>
              <w:right w:val="single" w:sz="4" w:space="0" w:color="auto"/>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9.4</w:t>
            </w:r>
          </w:p>
        </w:tc>
      </w:tr>
      <w:tr w:rsidR="00BF3F17" w:rsidRPr="00CE05DE" w:rsidTr="00E01EA9">
        <w:trPr>
          <w:jc w:val="center"/>
        </w:trPr>
        <w:tc>
          <w:tcPr>
            <w:tcW w:w="1205" w:type="dxa"/>
            <w:tcBorders>
              <w:top w:val="nil"/>
              <w:right w:val="nil"/>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Summer</w:t>
            </w:r>
          </w:p>
        </w:tc>
        <w:tc>
          <w:tcPr>
            <w:tcW w:w="1275" w:type="dxa"/>
            <w:tcBorders>
              <w:top w:val="nil"/>
              <w:left w:val="nil"/>
              <w:right w:val="nil"/>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4.47</w:t>
            </w:r>
          </w:p>
        </w:tc>
        <w:tc>
          <w:tcPr>
            <w:tcW w:w="1216" w:type="dxa"/>
            <w:tcBorders>
              <w:top w:val="nil"/>
              <w:left w:val="nil"/>
              <w:right w:val="single" w:sz="4" w:space="0" w:color="auto"/>
            </w:tcBorders>
            <w:shd w:val="clear" w:color="auto" w:fill="auto"/>
          </w:tcPr>
          <w:p w:rsidR="00BF3F17" w:rsidRPr="00CE05DE" w:rsidRDefault="00BF3F17" w:rsidP="00E01EA9">
            <w:pPr>
              <w:spacing w:after="120"/>
              <w:jc w:val="center"/>
              <w:rPr>
                <w:color w:val="000000" w:themeColor="text1"/>
                <w:sz w:val="22"/>
                <w:szCs w:val="22"/>
              </w:rPr>
            </w:pPr>
            <w:r w:rsidRPr="00CE05DE">
              <w:rPr>
                <w:color w:val="000000" w:themeColor="text1"/>
                <w:sz w:val="22"/>
                <w:szCs w:val="22"/>
              </w:rPr>
              <w:t>n/a</w:t>
            </w:r>
            <w:r w:rsidRPr="00CE05DE">
              <w:rPr>
                <w:color w:val="000000" w:themeColor="text1"/>
                <w:sz w:val="22"/>
                <w:szCs w:val="22"/>
                <w:vertAlign w:val="superscript"/>
              </w:rPr>
              <w:t>+</w:t>
            </w:r>
          </w:p>
        </w:tc>
      </w:tr>
    </w:tbl>
    <w:p w:rsidR="00BF3F17" w:rsidRDefault="00BF3F17" w:rsidP="00A1319D">
      <w:pPr>
        <w:rPr>
          <w:color w:val="000000" w:themeColor="text1"/>
        </w:rPr>
      </w:pPr>
      <w:r w:rsidRPr="00CE05DE">
        <w:rPr>
          <w:color w:val="000000" w:themeColor="text1"/>
          <w:vertAlign w:val="superscript"/>
        </w:rPr>
        <w:t>+</w:t>
      </w:r>
      <w:r w:rsidR="00A1319D">
        <w:rPr>
          <w:color w:val="000000" w:themeColor="text1"/>
        </w:rPr>
        <w:t>Division by zero.</w:t>
      </w:r>
    </w:p>
    <w:p w:rsidR="00A1319D" w:rsidRPr="00A1319D" w:rsidRDefault="00A1319D" w:rsidP="00A1319D">
      <w:pPr>
        <w:rPr>
          <w:color w:val="000000" w:themeColor="text1"/>
        </w:rPr>
      </w:pPr>
    </w:p>
    <w:p w:rsidR="00637A87" w:rsidRPr="00A25DD0" w:rsidRDefault="00637A87" w:rsidP="00637A87">
      <w:pPr>
        <w:pStyle w:val="Heading3"/>
        <w:spacing w:line="480" w:lineRule="auto"/>
        <w:rPr>
          <w:b w:val="0"/>
        </w:rPr>
      </w:pPr>
      <w:bookmarkStart w:id="210" w:name="_Toc364501665"/>
      <w:bookmarkStart w:id="211" w:name="_Toc368046196"/>
      <w:r w:rsidRPr="00A25DD0">
        <w:rPr>
          <w:b w:val="0"/>
        </w:rPr>
        <w:t>4.4.4: Determination of dominant mechanism affecting hydrology</w:t>
      </w:r>
      <w:bookmarkEnd w:id="210"/>
      <w:bookmarkEnd w:id="211"/>
    </w:p>
    <w:p w:rsidR="00637A87" w:rsidRDefault="00637A87" w:rsidP="00637A87">
      <w:pPr>
        <w:spacing w:line="480" w:lineRule="auto"/>
      </w:pPr>
      <w:r>
        <w:rPr>
          <w:b/>
          <w:bCs/>
        </w:rPr>
        <w:t xml:space="preserve">     </w:t>
      </w:r>
      <w:r>
        <w:t xml:space="preserve">The individual contributions of climate change and land use change (switchgrass cultivation) to the percent change in average seasonal runoff and </w:t>
      </w:r>
      <w:proofErr w:type="gramStart"/>
      <w:r>
        <w:t>eT</w:t>
      </w:r>
      <w:proofErr w:type="gramEnd"/>
      <w:r>
        <w:t xml:space="preserve"> associated with the CCS scenario are analyzed by dividing the percent change resulting from the CCO only scenario by that in the CCS scenario.  No dominant process can be identified where the signs of the changes in these drivers differ and where the hydrologic output under CCO exceeds that of CCS.</w:t>
      </w:r>
    </w:p>
    <w:p w:rsidR="00637A87" w:rsidRDefault="00637A87" w:rsidP="00637A87">
      <w:pPr>
        <w:spacing w:line="480" w:lineRule="auto"/>
      </w:pPr>
      <w:r>
        <w:t xml:space="preserve">     The dominant process in each season is identified in Tables 4.5 (for surface runoff) and 4.6 (for </w:t>
      </w:r>
      <w:proofErr w:type="gramStart"/>
      <w:r>
        <w:t>eT</w:t>
      </w:r>
      <w:proofErr w:type="gramEnd"/>
      <w:r>
        <w:t xml:space="preserve">).  The results are mixed.  The dominant process is a function of the GCM employed.  Regarding </w:t>
      </w:r>
      <w:r w:rsidRPr="001B1CC9">
        <w:rPr>
          <w:rFonts w:ascii="Cambria Math" w:hAnsi="Cambria Math"/>
          <w:color w:val="000000"/>
        </w:rPr>
        <w:t>%Δr</w:t>
      </w:r>
      <w:r w:rsidRPr="001B1CC9">
        <w:rPr>
          <w:rFonts w:ascii="Cambria Math" w:hAnsi="Cambria Math"/>
          <w:color w:val="000000"/>
          <w:vertAlign w:val="subscript"/>
        </w:rPr>
        <w:t>s</w:t>
      </w:r>
      <w:r>
        <w:t xml:space="preserve">, the contribution of climate change exceeds that of switchgrass cultivation in five of the nine GCMs (56%) during the winter months, three of seven (43%) during the spring, and five of twelve (42%) during the summer.  In contrast to the multifaceted picture of surface runoff-generating mechanisms, switchgrass is very clearly the dominant driver in the percent change in </w:t>
      </w:r>
      <w:r w:rsidRPr="001B1CC9">
        <w:rPr>
          <w:rFonts w:ascii="Cambria Math" w:hAnsi="Cambria Math"/>
        </w:rPr>
        <w:t>%</w:t>
      </w:r>
      <w:r w:rsidRPr="001B1CC9">
        <w:rPr>
          <w:rFonts w:ascii="Cambria Math" w:hAnsi="Cambria Math"/>
          <w:color w:val="000000"/>
        </w:rPr>
        <w:t>ΔeT</w:t>
      </w:r>
      <w:r>
        <w:t xml:space="preserve"> (Table </w:t>
      </w:r>
      <w:r>
        <w:lastRenderedPageBreak/>
        <w:t xml:space="preserve">4.6).  Climate dominates in four of the thirteen GCMs (31%) during the winter, in none during the spring, and in only one of nine (11%) during the summer.  In Table 4.6, the plethora of blank spaces for spring </w:t>
      </w:r>
      <w:r w:rsidRPr="009B7E2F">
        <w:rPr>
          <w:rFonts w:ascii="Cambria Math" w:hAnsi="Cambria Math"/>
        </w:rPr>
        <w:t>%</w:t>
      </w:r>
      <w:r w:rsidRPr="009B7E2F">
        <w:rPr>
          <w:rFonts w:ascii="Cambria Math" w:hAnsi="Cambria Math"/>
          <w:color w:val="000000"/>
        </w:rPr>
        <w:t>ΔeT</w:t>
      </w:r>
      <w:r>
        <w:rPr>
          <w:color w:val="000000"/>
        </w:rPr>
        <w:t xml:space="preserve"> represents that in 15 of the 16 GCMs, switchgrass cultivation is responsible</w:t>
      </w:r>
      <w:r>
        <w:t xml:space="preserve"> for </w:t>
      </w:r>
      <w:r w:rsidR="001769DB">
        <w:t>reversing</w:t>
      </w:r>
      <w:r>
        <w:t xml:space="preserve"> the change in </w:t>
      </w:r>
      <w:proofErr w:type="gramStart"/>
      <w:r>
        <w:t>eT</w:t>
      </w:r>
      <w:proofErr w:type="gramEnd"/>
      <w:r>
        <w:t xml:space="preserve"> from positive under CCO to negative under CCS.</w:t>
      </w:r>
    </w:p>
    <w:p w:rsidR="00B64B2A" w:rsidRPr="00E259F4" w:rsidRDefault="00B64B2A" w:rsidP="00B64B2A">
      <w:pPr>
        <w:pStyle w:val="Heading2"/>
      </w:pPr>
      <w:bookmarkStart w:id="212" w:name="_Toc364501666"/>
      <w:bookmarkStart w:id="213" w:name="_Toc368046197"/>
      <w:r>
        <w:t>4.5:</w:t>
      </w:r>
      <w:r w:rsidRPr="00E259F4">
        <w:t xml:space="preserve"> </w:t>
      </w:r>
      <w:r>
        <w:t>Conclusions</w:t>
      </w:r>
      <w:bookmarkEnd w:id="212"/>
      <w:bookmarkEnd w:id="213"/>
    </w:p>
    <w:p w:rsidR="00B64B2A" w:rsidRDefault="00B64B2A" w:rsidP="00B64B2A">
      <w:pPr>
        <w:spacing w:line="480" w:lineRule="auto"/>
      </w:pPr>
      <w:r>
        <w:t xml:space="preserve">      V</w:t>
      </w:r>
      <w:r w:rsidRPr="006F7214">
        <w:t xml:space="preserve">arious studies have investigated the relative impacts of climate and land use change on local hydrology.  Often, these results are mixed and the contributions </w:t>
      </w:r>
      <w:r>
        <w:t xml:space="preserve">appear to be </w:t>
      </w:r>
      <w:r w:rsidRPr="006F7214">
        <w:t>governed by spatial and temporal scale.</w:t>
      </w:r>
      <w:r>
        <w:t xml:space="preserve">  A SWAT model of the 1061 km</w:t>
      </w:r>
      <w:r w:rsidRPr="00ED39A5">
        <w:rPr>
          <w:vertAlign w:val="superscript"/>
        </w:rPr>
        <w:t>2</w:t>
      </w:r>
      <w:r>
        <w:t xml:space="preserve"> Skeleton Creek Watershed (SCW) in the US Great Plains was created for the years 2000-2010.  Simulated discharges were successfully calibrated to observed discharges on the monthly timescales and for winter, spring, and summer only.  To investigate the impact of changing precipitation and temperature patterns on this watershed during the middle of the 21</w:t>
      </w:r>
      <w:r w:rsidRPr="00ED0F19">
        <w:rPr>
          <w:vertAlign w:val="superscript"/>
        </w:rPr>
        <w:t>st</w:t>
      </w:r>
      <w:r>
        <w:t xml:space="preserve"> century (2040-2050), SWAT was run by adding the projected anomalies in percent change in monthly precipitation and raw change in temperature relative to the observed period for each of sixteen GCMs to the observed precipitation and temperature data for 2000-2010.   The climate change runs were subsequently rerun on top of a land use change scenario in which existing agricultural land (89% of the watershed) was converted to Alamo switchgrass.  The main findings of this study are as follows:</w:t>
      </w:r>
    </w:p>
    <w:p w:rsidR="00B64B2A" w:rsidRDefault="00B64B2A" w:rsidP="00637A87">
      <w:pPr>
        <w:spacing w:line="480" w:lineRule="auto"/>
      </w:pPr>
    </w:p>
    <w:p w:rsidR="008217C4" w:rsidRDefault="00642564" w:rsidP="007838D5">
      <w:pPr>
        <w:spacing w:after="60"/>
        <w:jc w:val="center"/>
      </w:pPr>
      <w:bookmarkStart w:id="214" w:name="_Toc362784366"/>
      <w:r>
        <w:rPr>
          <w:noProof/>
        </w:rPr>
        <w:lastRenderedPageBreak/>
        <w:drawing>
          <wp:inline distT="0" distB="0" distL="0" distR="0" wp14:anchorId="67217A58" wp14:editId="0A5F71B1">
            <wp:extent cx="5386290" cy="2755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7a.png"/>
                    <pic:cNvPicPr/>
                  </pic:nvPicPr>
                  <pic:blipFill rotWithShape="1">
                    <a:blip r:embed="rId38">
                      <a:extLst>
                        <a:ext uri="{28A0092B-C50C-407E-A947-70E740481C1C}">
                          <a14:useLocalDpi xmlns:a14="http://schemas.microsoft.com/office/drawing/2010/main" val="0"/>
                        </a:ext>
                      </a:extLst>
                    </a:blip>
                    <a:srcRect b="4132"/>
                    <a:stretch/>
                  </pic:blipFill>
                  <pic:spPr bwMode="auto">
                    <a:xfrm>
                      <a:off x="0" y="0"/>
                      <a:ext cx="5394960" cy="2759510"/>
                    </a:xfrm>
                    <a:prstGeom prst="rect">
                      <a:avLst/>
                    </a:prstGeom>
                    <a:ln>
                      <a:noFill/>
                    </a:ln>
                    <a:extLst>
                      <a:ext uri="{53640926-AAD7-44D8-BBD7-CCE9431645EC}">
                        <a14:shadowObscured xmlns:a14="http://schemas.microsoft.com/office/drawing/2010/main"/>
                      </a:ext>
                    </a:extLst>
                  </pic:spPr>
                </pic:pic>
              </a:graphicData>
            </a:graphic>
          </wp:inline>
        </w:drawing>
      </w:r>
    </w:p>
    <w:p w:rsidR="006E1CB1" w:rsidRDefault="006E1CB1" w:rsidP="00F86E62">
      <w:pPr>
        <w:jc w:val="center"/>
      </w:pPr>
      <w:bookmarkStart w:id="215" w:name="_Toc364505741"/>
      <w:r>
        <w:rPr>
          <w:noProof/>
        </w:rPr>
        <w:drawing>
          <wp:inline distT="0" distB="0" distL="0" distR="0" wp14:anchorId="0A99401D" wp14:editId="343D3D7A">
            <wp:extent cx="5391150" cy="258114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7b.png"/>
                    <pic:cNvPicPr/>
                  </pic:nvPicPr>
                  <pic:blipFill rotWithShape="1">
                    <a:blip r:embed="rId39">
                      <a:extLst>
                        <a:ext uri="{28A0092B-C50C-407E-A947-70E740481C1C}">
                          <a14:useLocalDpi xmlns:a14="http://schemas.microsoft.com/office/drawing/2010/main" val="0"/>
                        </a:ext>
                      </a:extLst>
                    </a:blip>
                    <a:srcRect t="10266"/>
                    <a:stretch/>
                  </pic:blipFill>
                  <pic:spPr bwMode="auto">
                    <a:xfrm>
                      <a:off x="0" y="0"/>
                      <a:ext cx="5394960" cy="2582971"/>
                    </a:xfrm>
                    <a:prstGeom prst="rect">
                      <a:avLst/>
                    </a:prstGeom>
                    <a:ln>
                      <a:noFill/>
                    </a:ln>
                    <a:extLst>
                      <a:ext uri="{53640926-AAD7-44D8-BBD7-CCE9431645EC}">
                        <a14:shadowObscured xmlns:a14="http://schemas.microsoft.com/office/drawing/2010/main"/>
                      </a:ext>
                    </a:extLst>
                  </pic:spPr>
                </pic:pic>
              </a:graphicData>
            </a:graphic>
          </wp:inline>
        </w:drawing>
      </w:r>
    </w:p>
    <w:p w:rsidR="008217C4" w:rsidRDefault="008217C4" w:rsidP="00BE288B">
      <w:pPr>
        <w:pStyle w:val="Figurecaption"/>
      </w:pPr>
      <w:bookmarkStart w:id="216" w:name="_Toc367004753"/>
      <w:r>
        <w:t>Figure 4.7: Comparison of percent change in (a) surface runoff and (b)</w:t>
      </w:r>
      <w:r w:rsidR="00637A87">
        <w:t xml:space="preserve"> </w:t>
      </w:r>
      <w:r w:rsidR="001B1CC9">
        <w:t>ev</w:t>
      </w:r>
      <w:r>
        <w:t>apotranspiration, by season, for the 2040s relative to baseline under the CCO and CCS scenarios</w:t>
      </w:r>
      <w:r w:rsidR="00E5480E">
        <w:t xml:space="preserve"> as simulated based on 16 GCMs</w:t>
      </w:r>
      <w:r>
        <w:t>.  The values of the medians are listed.  Circles indicate outliers.</w:t>
      </w:r>
      <w:bookmarkEnd w:id="214"/>
      <w:bookmarkEnd w:id="215"/>
      <w:bookmarkEnd w:id="216"/>
    </w:p>
    <w:p w:rsidR="00BE288B" w:rsidRPr="00BE288B" w:rsidRDefault="00BE288B" w:rsidP="00BE288B">
      <w:pPr>
        <w:rPr>
          <w:lang w:val="en-GB" w:eastAsia="en-GB"/>
        </w:rPr>
      </w:pPr>
    </w:p>
    <w:p w:rsidR="00BF3F17" w:rsidRDefault="00BF3F17" w:rsidP="00BF3F17">
      <w:pPr>
        <w:spacing w:line="480" w:lineRule="auto"/>
      </w:pPr>
      <w:r>
        <w:t xml:space="preserve">     (a) The GCMs disagree on the direction of the change in precipitation during the 2040s, but they largely agree on a 1-2</w:t>
      </w:r>
      <w:r w:rsidRPr="001A36EB">
        <w:rPr>
          <w:vertAlign w:val="superscript"/>
        </w:rPr>
        <w:t>O</w:t>
      </w:r>
      <w:r>
        <w:rPr>
          <w:vertAlign w:val="superscript"/>
        </w:rPr>
        <w:t xml:space="preserve"> </w:t>
      </w:r>
      <w:r>
        <w:t>C increase in seasonal temperature.</w:t>
      </w:r>
    </w:p>
    <w:p w:rsidR="00BF3F17" w:rsidRDefault="00BF3F17" w:rsidP="00BF3F17">
      <w:pPr>
        <w:spacing w:line="480" w:lineRule="auto"/>
      </w:pPr>
      <w:r>
        <w:lastRenderedPageBreak/>
        <w:t xml:space="preserve">     (b) The direction of the percent changes in average surface runoff projected by SWAT during the three seasons varies by GCM, resulting in predictions of both increases and decreases.  While precipitation was associated with changes in winter, spring, and summer surface runoff, in addition to spring and summer </w:t>
      </w:r>
      <w:proofErr w:type="gramStart"/>
      <w:r>
        <w:t>eT</w:t>
      </w:r>
      <w:proofErr w:type="gramEnd"/>
      <w:r>
        <w:t xml:space="preserve">, changes in temperature only impacted changes in summer eT.  </w:t>
      </w:r>
    </w:p>
    <w:p w:rsidR="00BF3F17" w:rsidRDefault="00BF3F17" w:rsidP="00BF3F17">
      <w:pPr>
        <w:spacing w:line="480" w:lineRule="auto"/>
      </w:pPr>
      <w:r>
        <w:t xml:space="preserve">     (c) During winter, spring, and summer, switchgrass cultivation results in decreased </w:t>
      </w:r>
      <w:r>
        <w:rPr>
          <w:color w:val="000000"/>
        </w:rPr>
        <w:t xml:space="preserve">surface runoff relative to the CCO scenario.  Switchgrass cultivation also results in decreased winter </w:t>
      </w:r>
      <w:proofErr w:type="gramStart"/>
      <w:r>
        <w:rPr>
          <w:color w:val="000000"/>
        </w:rPr>
        <w:t>eT</w:t>
      </w:r>
      <w:proofErr w:type="gramEnd"/>
      <w:r>
        <w:rPr>
          <w:color w:val="000000"/>
        </w:rPr>
        <w:t xml:space="preserve"> and increased spring and summer eT relative to the CCO scenario</w:t>
      </w:r>
      <w:r>
        <w:t xml:space="preserve">.  </w:t>
      </w:r>
    </w:p>
    <w:p w:rsidR="00BF3F17" w:rsidRDefault="00BF3F17" w:rsidP="00BF3F17">
      <w:pPr>
        <w:spacing w:line="480" w:lineRule="auto"/>
      </w:pPr>
      <w:r>
        <w:t xml:space="preserve">    (d) Depending on the GCM employed and the season, either climate change or switchgrass cultivation can be identified as the dominant driver of changes in surface runoff.  Under the vast majority of GCMs, switchgrass cultivation is the dominant driver of changes in </w:t>
      </w:r>
      <w:proofErr w:type="gramStart"/>
      <w:r>
        <w:t>eT</w:t>
      </w:r>
      <w:proofErr w:type="gramEnd"/>
      <w:r>
        <w:t xml:space="preserve">.  </w:t>
      </w:r>
    </w:p>
    <w:p w:rsidR="00BF3F17" w:rsidRDefault="00BF3F17" w:rsidP="00BF3F17">
      <w:pPr>
        <w:spacing w:line="480" w:lineRule="auto"/>
      </w:pPr>
      <w:r>
        <w:t xml:space="preserve">     Further investigation into the impacts of changing other climatic parameters and into the analysis of longer-time periods is warranted in order to more definitively investigate the impacts of climate change and switch grass cultivation on basin hydrology.  Additionally, further research into biofuel crops other than switchgrass is necessary in order to gain </w:t>
      </w:r>
      <w:r w:rsidR="003709EB">
        <w:t xml:space="preserve">a </w:t>
      </w:r>
      <w:r>
        <w:t>more coherent picture of the impacts of biofuel production.</w:t>
      </w:r>
    </w:p>
    <w:p w:rsidR="00BF3F17" w:rsidRDefault="00BF3F17" w:rsidP="008217C4">
      <w:pPr>
        <w:pStyle w:val="Tabletitle"/>
      </w:pPr>
    </w:p>
    <w:p w:rsidR="000A6E34" w:rsidRDefault="000A6E34" w:rsidP="000A6E34">
      <w:pPr>
        <w:rPr>
          <w:lang w:val="en-GB" w:eastAsia="en-GB"/>
        </w:rPr>
      </w:pPr>
    </w:p>
    <w:p w:rsidR="000A6E34" w:rsidRDefault="000A6E34" w:rsidP="000A6E34">
      <w:pPr>
        <w:rPr>
          <w:lang w:val="en-GB" w:eastAsia="en-GB"/>
        </w:rPr>
      </w:pPr>
    </w:p>
    <w:p w:rsidR="000A6E34" w:rsidRDefault="000A6E34" w:rsidP="000A6E34">
      <w:pPr>
        <w:rPr>
          <w:lang w:val="en-GB" w:eastAsia="en-GB"/>
        </w:rPr>
      </w:pPr>
    </w:p>
    <w:p w:rsidR="00EE3AC6" w:rsidRDefault="00EE3AC6" w:rsidP="000A6E34">
      <w:pPr>
        <w:rPr>
          <w:lang w:val="en-GB" w:eastAsia="en-GB"/>
        </w:rPr>
      </w:pPr>
    </w:p>
    <w:p w:rsidR="008217C4" w:rsidRDefault="008217C4" w:rsidP="00553399">
      <w:pPr>
        <w:pStyle w:val="Tabletitle"/>
        <w:spacing w:line="480" w:lineRule="auto"/>
      </w:pPr>
      <w:bookmarkStart w:id="217" w:name="_Toc364503717"/>
      <w:bookmarkStart w:id="218" w:name="_Toc367550610"/>
      <w:r w:rsidRPr="00E25490">
        <w:lastRenderedPageBreak/>
        <w:t xml:space="preserve">Table </w:t>
      </w:r>
      <w:r w:rsidR="007E2263">
        <w:t>4.5</w:t>
      </w:r>
      <w:r w:rsidR="00D02F62">
        <w:t xml:space="preserve">: </w:t>
      </w:r>
      <w:r w:rsidRPr="00E25490">
        <w:t xml:space="preserve">Contributions of climate change </w:t>
      </w:r>
      <w:r w:rsidR="00553399">
        <w:t xml:space="preserve">(“Clim”) </w:t>
      </w:r>
      <w:r w:rsidRPr="00E25490">
        <w:t xml:space="preserve">and switchgrass cultivation </w:t>
      </w:r>
      <w:r w:rsidR="00553399">
        <w:t xml:space="preserve">(“Swch”) </w:t>
      </w:r>
      <w:r w:rsidRPr="00E25490">
        <w:t xml:space="preserve">to </w:t>
      </w:r>
      <w:r w:rsidRPr="001B1CC9">
        <w:rPr>
          <w:rFonts w:ascii="Cambria Math" w:hAnsi="Cambria Math"/>
        </w:rPr>
        <w:t>%Δr</w:t>
      </w:r>
      <w:r w:rsidRPr="001B1CC9">
        <w:rPr>
          <w:rFonts w:ascii="Cambria Math" w:hAnsi="Cambria Math"/>
          <w:vertAlign w:val="subscript"/>
        </w:rPr>
        <w:t>s</w:t>
      </w:r>
      <w:r w:rsidRPr="00E25490">
        <w:t xml:space="preserve"> in the 2040s under the CCS scenario, relative to the present, during the winter, spring, and summer seasons.  Blank entries refer to situations where the sign of </w:t>
      </w:r>
      <w:r w:rsidRPr="001B1CC9">
        <w:rPr>
          <w:rFonts w:ascii="Cambria Math" w:hAnsi="Cambria Math"/>
        </w:rPr>
        <w:t>%ΔeT</w:t>
      </w:r>
      <w:r w:rsidRPr="00E25490">
        <w:rPr>
          <w:vertAlign w:val="subscript"/>
        </w:rPr>
        <w:t xml:space="preserve"> </w:t>
      </w:r>
      <w:r w:rsidRPr="00E25490">
        <w:t xml:space="preserve">differs by situation.  Dashes identify </w:t>
      </w:r>
      <w:proofErr w:type="gramStart"/>
      <w:r w:rsidRPr="00E25490">
        <w:t>GCMs</w:t>
      </w:r>
      <w:proofErr w:type="gramEnd"/>
      <w:r w:rsidRPr="00E25490">
        <w:t xml:space="preserve"> under which the % contribution of climate change </w:t>
      </w:r>
      <w:r>
        <w:t xml:space="preserve">relative to that under the CCS simulation </w:t>
      </w:r>
      <w:r w:rsidRPr="00E25490">
        <w:t xml:space="preserve">exceeds 100%, meaning that the climate </w:t>
      </w:r>
      <w:r>
        <w:t>change contribution exceeds that of switchgrass.</w:t>
      </w:r>
      <w:bookmarkEnd w:id="217"/>
      <w:bookmarkEnd w:id="218"/>
    </w:p>
    <w:p w:rsidR="00553399" w:rsidRPr="00553399" w:rsidRDefault="00553399" w:rsidP="00553399">
      <w:pPr>
        <w:rPr>
          <w:lang w:val="en-GB" w:eastAsia="en-GB"/>
        </w:rPr>
      </w:pPr>
    </w:p>
    <w:tbl>
      <w:tblPr>
        <w:tblW w:w="82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20" w:firstRow="1" w:lastRow="0" w:firstColumn="0" w:lastColumn="0" w:noHBand="1" w:noVBand="1"/>
      </w:tblPr>
      <w:tblGrid>
        <w:gridCol w:w="2259"/>
        <w:gridCol w:w="998"/>
        <w:gridCol w:w="1339"/>
        <w:gridCol w:w="899"/>
        <w:gridCol w:w="907"/>
        <w:gridCol w:w="899"/>
        <w:gridCol w:w="907"/>
      </w:tblGrid>
      <w:tr w:rsidR="00553399" w:rsidTr="00B67D8D">
        <w:trPr>
          <w:jc w:val="center"/>
        </w:trPr>
        <w:tc>
          <w:tcPr>
            <w:tcW w:w="2258" w:type="dxa"/>
            <w:tcBorders>
              <w:top w:val="single" w:sz="8" w:space="0" w:color="000000"/>
              <w:left w:val="single" w:sz="8" w:space="0" w:color="000000"/>
              <w:bottom w:val="single" w:sz="18" w:space="0" w:color="000000"/>
              <w:right w:val="single" w:sz="8" w:space="0" w:color="000000"/>
            </w:tcBorders>
            <w:hideMark/>
          </w:tcPr>
          <w:p w:rsidR="00553399" w:rsidRPr="00ED6976" w:rsidRDefault="00553399" w:rsidP="004C3198">
            <w:pPr>
              <w:jc w:val="center"/>
              <w:rPr>
                <w:rFonts w:asciiTheme="majorHAnsi" w:eastAsia="Times New Roman" w:hAnsiTheme="majorHAnsi" w:cstheme="majorHAnsi"/>
                <w:b/>
                <w:bCs/>
                <w:sz w:val="20"/>
                <w:szCs w:val="20"/>
              </w:rPr>
            </w:pPr>
            <w:r w:rsidRPr="00ED6976">
              <w:rPr>
                <w:rFonts w:asciiTheme="majorHAnsi" w:eastAsia="Times New Roman" w:hAnsiTheme="majorHAnsi" w:cstheme="majorHAnsi"/>
                <w:b/>
                <w:bCs/>
                <w:sz w:val="20"/>
                <w:szCs w:val="20"/>
              </w:rPr>
              <w:t>GCM</w:t>
            </w:r>
          </w:p>
        </w:tc>
        <w:tc>
          <w:tcPr>
            <w:tcW w:w="2337" w:type="dxa"/>
            <w:gridSpan w:val="2"/>
            <w:tcBorders>
              <w:top w:val="single" w:sz="8" w:space="0" w:color="000000"/>
              <w:left w:val="single" w:sz="8" w:space="0" w:color="000000"/>
              <w:bottom w:val="single" w:sz="8" w:space="0" w:color="000000"/>
              <w:right w:val="single" w:sz="8" w:space="0" w:color="000000"/>
            </w:tcBorders>
            <w:hideMark/>
          </w:tcPr>
          <w:p w:rsidR="00553399" w:rsidRPr="00ED6976" w:rsidRDefault="00553399" w:rsidP="004C3198">
            <w:pPr>
              <w:jc w:val="center"/>
              <w:rPr>
                <w:rFonts w:asciiTheme="majorHAnsi" w:eastAsia="Times New Roman" w:hAnsiTheme="majorHAnsi" w:cstheme="majorHAnsi"/>
                <w:b/>
                <w:bCs/>
                <w:sz w:val="20"/>
                <w:szCs w:val="20"/>
              </w:rPr>
            </w:pPr>
            <w:r w:rsidRPr="00ED6976">
              <w:rPr>
                <w:rFonts w:asciiTheme="majorHAnsi" w:eastAsia="Times New Roman" w:hAnsiTheme="majorHAnsi" w:cstheme="majorHAnsi"/>
                <w:b/>
                <w:bCs/>
                <w:sz w:val="20"/>
                <w:szCs w:val="20"/>
              </w:rPr>
              <w:t>Winter</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553399" w:rsidRPr="00ED6976" w:rsidRDefault="00553399" w:rsidP="004C3198">
            <w:pPr>
              <w:jc w:val="center"/>
              <w:rPr>
                <w:rFonts w:asciiTheme="majorHAnsi" w:eastAsia="Times New Roman" w:hAnsiTheme="majorHAnsi" w:cstheme="majorHAnsi"/>
                <w:b/>
                <w:bCs/>
                <w:sz w:val="20"/>
                <w:szCs w:val="20"/>
              </w:rPr>
            </w:pPr>
            <w:r w:rsidRPr="00ED6976">
              <w:rPr>
                <w:rFonts w:asciiTheme="majorHAnsi" w:eastAsia="Times New Roman" w:hAnsiTheme="majorHAnsi" w:cstheme="majorHAnsi"/>
                <w:b/>
                <w:bCs/>
                <w:sz w:val="20"/>
                <w:szCs w:val="20"/>
              </w:rPr>
              <w:t>Spring</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553399" w:rsidRPr="00ED6976" w:rsidRDefault="00553399" w:rsidP="004C3198">
            <w:pPr>
              <w:jc w:val="center"/>
              <w:rPr>
                <w:rFonts w:asciiTheme="majorHAnsi" w:eastAsia="Times New Roman" w:hAnsiTheme="majorHAnsi" w:cstheme="majorHAnsi"/>
                <w:b/>
                <w:bCs/>
                <w:sz w:val="20"/>
                <w:szCs w:val="20"/>
              </w:rPr>
            </w:pPr>
            <w:r w:rsidRPr="00ED6976">
              <w:rPr>
                <w:rFonts w:asciiTheme="majorHAnsi" w:eastAsia="Times New Roman" w:hAnsiTheme="majorHAnsi" w:cstheme="majorHAnsi"/>
                <w:b/>
                <w:bCs/>
                <w:sz w:val="20"/>
                <w:szCs w:val="20"/>
              </w:rPr>
              <w:t>Summer</w:t>
            </w:r>
          </w:p>
        </w:tc>
      </w:tr>
      <w:tr w:rsidR="00B67D8D" w:rsidTr="00B67D8D">
        <w:trPr>
          <w:jc w:val="center"/>
        </w:trPr>
        <w:tc>
          <w:tcPr>
            <w:tcW w:w="2258" w:type="dxa"/>
            <w:tcBorders>
              <w:top w:val="single" w:sz="8" w:space="0" w:color="000000"/>
              <w:left w:val="single" w:sz="8" w:space="0" w:color="000000"/>
              <w:bottom w:val="single" w:sz="8" w:space="0" w:color="000000"/>
              <w:right w:val="single" w:sz="8" w:space="0" w:color="000000"/>
            </w:tcBorders>
          </w:tcPr>
          <w:p w:rsidR="00553399" w:rsidRPr="00ED6976" w:rsidRDefault="00553399" w:rsidP="004C3198">
            <w:pPr>
              <w:jc w:val="center"/>
              <w:rPr>
                <w:rFonts w:asciiTheme="majorHAnsi" w:eastAsia="Times New Roman" w:hAnsiTheme="majorHAnsi" w:cstheme="majorHAnsi"/>
                <w:color w:val="000000"/>
                <w:sz w:val="20"/>
                <w:szCs w:val="20"/>
              </w:rPr>
            </w:pPr>
          </w:p>
        </w:tc>
        <w:tc>
          <w:tcPr>
            <w:tcW w:w="998" w:type="dxa"/>
            <w:tcBorders>
              <w:top w:val="single" w:sz="8" w:space="0" w:color="000000"/>
              <w:left w:val="single" w:sz="8" w:space="0" w:color="000000"/>
              <w:bottom w:val="single" w:sz="8" w:space="0" w:color="000000"/>
              <w:right w:val="nil"/>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Clim</w:t>
            </w:r>
          </w:p>
        </w:tc>
        <w:tc>
          <w:tcPr>
            <w:tcW w:w="0" w:type="auto"/>
            <w:tcBorders>
              <w:top w:val="single" w:sz="8" w:space="0" w:color="000000"/>
              <w:left w:val="nil"/>
              <w:bottom w:val="single" w:sz="8" w:space="0" w:color="000000"/>
              <w:right w:val="single" w:sz="8" w:space="0" w:color="000000"/>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Swch</w:t>
            </w:r>
          </w:p>
        </w:tc>
        <w:tc>
          <w:tcPr>
            <w:tcW w:w="0" w:type="auto"/>
            <w:tcBorders>
              <w:top w:val="single" w:sz="8" w:space="0" w:color="000000"/>
              <w:left w:val="single" w:sz="8" w:space="0" w:color="000000"/>
              <w:bottom w:val="single" w:sz="8" w:space="0" w:color="000000"/>
              <w:right w:val="nil"/>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Clim</w:t>
            </w:r>
          </w:p>
        </w:tc>
        <w:tc>
          <w:tcPr>
            <w:tcW w:w="0" w:type="auto"/>
            <w:tcBorders>
              <w:top w:val="single" w:sz="8" w:space="0" w:color="000000"/>
              <w:left w:val="nil"/>
              <w:bottom w:val="single" w:sz="8" w:space="0" w:color="000000"/>
              <w:right w:val="single" w:sz="8" w:space="0" w:color="000000"/>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Swch</w:t>
            </w:r>
          </w:p>
        </w:tc>
        <w:tc>
          <w:tcPr>
            <w:tcW w:w="0" w:type="auto"/>
            <w:tcBorders>
              <w:top w:val="single" w:sz="8" w:space="0" w:color="000000"/>
              <w:left w:val="single" w:sz="8" w:space="0" w:color="000000"/>
              <w:bottom w:val="single" w:sz="8" w:space="0" w:color="000000"/>
              <w:right w:val="nil"/>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Clim</w:t>
            </w:r>
          </w:p>
        </w:tc>
        <w:tc>
          <w:tcPr>
            <w:tcW w:w="0" w:type="auto"/>
            <w:tcBorders>
              <w:top w:val="single" w:sz="8" w:space="0" w:color="000000"/>
              <w:left w:val="nil"/>
              <w:bottom w:val="single" w:sz="8" w:space="0" w:color="000000"/>
              <w:right w:val="single" w:sz="8" w:space="0" w:color="000000"/>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Swch</w:t>
            </w:r>
          </w:p>
        </w:tc>
      </w:tr>
      <w:tr w:rsidR="00B67D8D" w:rsidTr="00B67D8D">
        <w:trPr>
          <w:jc w:val="center"/>
        </w:trPr>
        <w:tc>
          <w:tcPr>
            <w:tcW w:w="2258" w:type="dxa"/>
            <w:tcBorders>
              <w:top w:val="single" w:sz="8" w:space="0" w:color="000000"/>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BCCR_BCM_2.0</w:t>
            </w:r>
          </w:p>
        </w:tc>
        <w:tc>
          <w:tcPr>
            <w:tcW w:w="998" w:type="dxa"/>
            <w:tcBorders>
              <w:top w:val="single" w:sz="8" w:space="0" w:color="000000"/>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74.16</w:t>
            </w:r>
          </w:p>
        </w:tc>
        <w:tc>
          <w:tcPr>
            <w:tcW w:w="0" w:type="auto"/>
            <w:tcBorders>
              <w:top w:val="single" w:sz="8" w:space="0" w:color="000000"/>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25.84</w:t>
            </w:r>
          </w:p>
        </w:tc>
        <w:tc>
          <w:tcPr>
            <w:tcW w:w="0" w:type="auto"/>
            <w:tcBorders>
              <w:top w:val="single" w:sz="8" w:space="0" w:color="000000"/>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single" w:sz="8" w:space="0" w:color="000000"/>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single" w:sz="8" w:space="0" w:color="000000"/>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39.27</w:t>
            </w:r>
          </w:p>
        </w:tc>
        <w:tc>
          <w:tcPr>
            <w:tcW w:w="0" w:type="auto"/>
            <w:tcBorders>
              <w:top w:val="single" w:sz="8" w:space="0" w:color="000000"/>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60.73</w:t>
            </w:r>
          </w:p>
        </w:tc>
      </w:tr>
      <w:tr w:rsidR="00B67D8D" w:rsidTr="00B67D8D">
        <w:trPr>
          <w:jc w:val="center"/>
        </w:trPr>
        <w:tc>
          <w:tcPr>
            <w:tcW w:w="2258" w:type="dxa"/>
            <w:tcBorders>
              <w:top w:val="nil"/>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CCSM3</w:t>
            </w:r>
          </w:p>
        </w:tc>
        <w:tc>
          <w:tcPr>
            <w:tcW w:w="998" w:type="dxa"/>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52.58</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47.42</w:t>
            </w: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r>
      <w:tr w:rsidR="00B67D8D" w:rsidTr="00B67D8D">
        <w:trPr>
          <w:jc w:val="center"/>
        </w:trPr>
        <w:tc>
          <w:tcPr>
            <w:tcW w:w="2258" w:type="dxa"/>
            <w:tcBorders>
              <w:top w:val="nil"/>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CGCM3.1 (T47)</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80.12</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19.88</w:t>
            </w:r>
          </w:p>
        </w:tc>
      </w:tr>
      <w:tr w:rsidR="00B67D8D" w:rsidTr="00B67D8D">
        <w:trPr>
          <w:jc w:val="center"/>
        </w:trPr>
        <w:tc>
          <w:tcPr>
            <w:tcW w:w="2258" w:type="dxa"/>
            <w:tcBorders>
              <w:top w:val="nil"/>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CNRM_CM3</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28.66</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71.34</w:t>
            </w: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70.58</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29.42</w:t>
            </w:r>
          </w:p>
        </w:tc>
      </w:tr>
      <w:tr w:rsidR="00B67D8D" w:rsidTr="00B67D8D">
        <w:trPr>
          <w:jc w:val="center"/>
        </w:trPr>
        <w:tc>
          <w:tcPr>
            <w:tcW w:w="2258" w:type="dxa"/>
            <w:tcBorders>
              <w:top w:val="nil"/>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CSIRO_MK3_0</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28.72</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71.28</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14.94</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85.06</w:t>
            </w:r>
          </w:p>
        </w:tc>
      </w:tr>
      <w:tr w:rsidR="00B67D8D" w:rsidTr="00B67D8D">
        <w:trPr>
          <w:jc w:val="center"/>
        </w:trPr>
        <w:tc>
          <w:tcPr>
            <w:tcW w:w="2258" w:type="dxa"/>
            <w:tcBorders>
              <w:top w:val="nil"/>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ECHAM5/MPI-OM</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56.39</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43.61</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r>
      <w:tr w:rsidR="00B67D8D" w:rsidTr="00B67D8D">
        <w:trPr>
          <w:jc w:val="center"/>
        </w:trPr>
        <w:tc>
          <w:tcPr>
            <w:tcW w:w="2258" w:type="dxa"/>
            <w:tcBorders>
              <w:top w:val="nil"/>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GFDL_CM_2_0</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66.95</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33.05</w:t>
            </w: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91.48</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8.52</w:t>
            </w:r>
          </w:p>
        </w:tc>
      </w:tr>
      <w:tr w:rsidR="00B67D8D" w:rsidTr="00B67D8D">
        <w:trPr>
          <w:jc w:val="center"/>
        </w:trPr>
        <w:tc>
          <w:tcPr>
            <w:tcW w:w="2258" w:type="dxa"/>
            <w:tcBorders>
              <w:top w:val="nil"/>
              <w:left w:val="single" w:sz="8" w:space="0" w:color="000000"/>
              <w:bottom w:val="nil"/>
              <w:right w:val="single" w:sz="8" w:space="0" w:color="000000"/>
            </w:tcBorders>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GFDL_CM2_1</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24.79</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75.21</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32.46</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67.54</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56.14</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43.86</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GISS_MODEL_E_R</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78.54</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21.46</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24.56</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75.44</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23.21</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76.79</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INMCM3_0</w:t>
            </w:r>
          </w:p>
        </w:tc>
        <w:tc>
          <w:tcPr>
            <w:tcW w:w="998" w:type="dxa"/>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48.37</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51.63</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23.93</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76.07</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IPSL_CM4</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75.01</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24.99</w:t>
            </w: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MIROC3.2 (MEDRES)</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25.13</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74.87</w:t>
            </w: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72.04</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27.96</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MIUB_ECHOG</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69.64</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30.36</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3.05</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96.95</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4.26</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95.74</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MRI-HADCM3</w:t>
            </w:r>
          </w:p>
        </w:tc>
        <w:tc>
          <w:tcPr>
            <w:tcW w:w="998" w:type="dxa"/>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18.41</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81.59</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PCM</w:t>
            </w:r>
          </w:p>
        </w:tc>
        <w:tc>
          <w:tcPr>
            <w:tcW w:w="998" w:type="dxa"/>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nil"/>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nil"/>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r>
      <w:tr w:rsidR="00B67D8D" w:rsidTr="00B67D8D">
        <w:trPr>
          <w:jc w:val="center"/>
        </w:trPr>
        <w:tc>
          <w:tcPr>
            <w:tcW w:w="2258" w:type="dxa"/>
            <w:tcBorders>
              <w:top w:val="nil"/>
              <w:left w:val="single" w:sz="8" w:space="0" w:color="000000"/>
              <w:bottom w:val="single" w:sz="8" w:space="0" w:color="000000"/>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u w:val="single"/>
              </w:rPr>
            </w:pPr>
            <w:r w:rsidRPr="00ED6976">
              <w:rPr>
                <w:rFonts w:asciiTheme="majorHAnsi" w:eastAsia="Times New Roman" w:hAnsiTheme="majorHAnsi" w:cstheme="majorHAnsi"/>
                <w:color w:val="000000"/>
                <w:sz w:val="20"/>
                <w:szCs w:val="20"/>
                <w:u w:val="single"/>
              </w:rPr>
              <w:t>UKMO-HADCM3</w:t>
            </w:r>
          </w:p>
        </w:tc>
        <w:tc>
          <w:tcPr>
            <w:tcW w:w="998" w:type="dxa"/>
            <w:tcBorders>
              <w:top w:val="nil"/>
              <w:left w:val="single" w:sz="8" w:space="0" w:color="000000"/>
              <w:bottom w:val="single" w:sz="8" w:space="0" w:color="000000"/>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81.38</w:t>
            </w:r>
          </w:p>
        </w:tc>
        <w:tc>
          <w:tcPr>
            <w:tcW w:w="0" w:type="auto"/>
            <w:tcBorders>
              <w:top w:val="nil"/>
              <w:left w:val="nil"/>
              <w:bottom w:val="single" w:sz="8" w:space="0" w:color="000000"/>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18.62</w:t>
            </w:r>
          </w:p>
        </w:tc>
        <w:tc>
          <w:tcPr>
            <w:tcW w:w="0" w:type="auto"/>
            <w:tcBorders>
              <w:top w:val="nil"/>
              <w:left w:val="single" w:sz="8" w:space="0" w:color="000000"/>
              <w:bottom w:val="single" w:sz="8" w:space="0" w:color="000000"/>
              <w:right w:val="nil"/>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nil"/>
              <w:bottom w:val="single" w:sz="8" w:space="0" w:color="000000"/>
              <w:right w:val="single" w:sz="8" w:space="0" w:color="000000"/>
            </w:tcBorders>
            <w:vAlign w:val="bottom"/>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p>
        </w:tc>
        <w:tc>
          <w:tcPr>
            <w:tcW w:w="0" w:type="auto"/>
            <w:tcBorders>
              <w:top w:val="nil"/>
              <w:left w:val="single" w:sz="8" w:space="0" w:color="000000"/>
              <w:bottom w:val="single" w:sz="8" w:space="0" w:color="000000"/>
              <w:right w:val="nil"/>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19.63</w:t>
            </w:r>
          </w:p>
        </w:tc>
        <w:tc>
          <w:tcPr>
            <w:tcW w:w="0" w:type="auto"/>
            <w:tcBorders>
              <w:top w:val="nil"/>
              <w:left w:val="nil"/>
              <w:bottom w:val="single" w:sz="8" w:space="0" w:color="000000"/>
              <w:right w:val="single" w:sz="8" w:space="0" w:color="000000"/>
            </w:tcBorders>
            <w:vAlign w:val="bottom"/>
            <w:hideMark/>
          </w:tcPr>
          <w:p w:rsidR="00553399" w:rsidRPr="00ED6976" w:rsidRDefault="00553399" w:rsidP="004C3198">
            <w:pPr>
              <w:spacing w:after="0" w:line="360" w:lineRule="auto"/>
              <w:jc w:val="center"/>
              <w:rPr>
                <w:rFonts w:asciiTheme="majorHAnsi" w:eastAsia="Times New Roman" w:hAnsiTheme="majorHAnsi" w:cstheme="majorHAnsi"/>
                <w:color w:val="000000"/>
                <w:sz w:val="20"/>
                <w:szCs w:val="20"/>
              </w:rPr>
            </w:pPr>
            <w:r w:rsidRPr="00ED6976">
              <w:rPr>
                <w:rFonts w:asciiTheme="majorHAnsi" w:eastAsia="Times New Roman" w:hAnsiTheme="majorHAnsi" w:cstheme="majorHAnsi"/>
                <w:color w:val="000000"/>
                <w:sz w:val="20"/>
                <w:szCs w:val="20"/>
              </w:rPr>
              <w:t>80.37</w:t>
            </w:r>
          </w:p>
        </w:tc>
      </w:tr>
      <w:tr w:rsidR="00B67D8D" w:rsidTr="00B67D8D">
        <w:trPr>
          <w:jc w:val="center"/>
        </w:trPr>
        <w:tc>
          <w:tcPr>
            <w:tcW w:w="2258" w:type="dxa"/>
            <w:tcBorders>
              <w:top w:val="single" w:sz="8" w:space="0" w:color="000000"/>
              <w:left w:val="single" w:sz="8" w:space="0" w:color="000000"/>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Minimum</w:t>
            </w:r>
          </w:p>
        </w:tc>
        <w:tc>
          <w:tcPr>
            <w:tcW w:w="998" w:type="dxa"/>
            <w:tcBorders>
              <w:top w:val="single" w:sz="8" w:space="0" w:color="000000"/>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24.79</w:t>
            </w:r>
          </w:p>
        </w:tc>
        <w:tc>
          <w:tcPr>
            <w:tcW w:w="0" w:type="auto"/>
            <w:tcBorders>
              <w:top w:val="single" w:sz="8" w:space="0" w:color="000000"/>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18.62</w:t>
            </w:r>
          </w:p>
        </w:tc>
        <w:tc>
          <w:tcPr>
            <w:tcW w:w="0" w:type="auto"/>
            <w:tcBorders>
              <w:top w:val="single" w:sz="8" w:space="0" w:color="000000"/>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3.05</w:t>
            </w:r>
          </w:p>
        </w:tc>
        <w:tc>
          <w:tcPr>
            <w:tcW w:w="0" w:type="auto"/>
            <w:tcBorders>
              <w:top w:val="single" w:sz="8" w:space="0" w:color="000000"/>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24.99</w:t>
            </w:r>
          </w:p>
        </w:tc>
        <w:tc>
          <w:tcPr>
            <w:tcW w:w="0" w:type="auto"/>
            <w:tcBorders>
              <w:top w:val="single" w:sz="8" w:space="0" w:color="000000"/>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4.26</w:t>
            </w:r>
          </w:p>
        </w:tc>
        <w:tc>
          <w:tcPr>
            <w:tcW w:w="0" w:type="auto"/>
            <w:tcBorders>
              <w:top w:val="single" w:sz="8" w:space="0" w:color="000000"/>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8.52</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1</w:t>
            </w:r>
            <w:r w:rsidRPr="00ED6976">
              <w:rPr>
                <w:rFonts w:asciiTheme="majorHAnsi" w:eastAsia="Times New Roman" w:hAnsiTheme="majorHAnsi" w:cstheme="majorHAnsi"/>
                <w:b/>
                <w:color w:val="000000"/>
                <w:sz w:val="20"/>
                <w:szCs w:val="20"/>
                <w:vertAlign w:val="superscript"/>
              </w:rPr>
              <w:t>st</w:t>
            </w:r>
            <w:r w:rsidRPr="00ED6976">
              <w:rPr>
                <w:rFonts w:asciiTheme="majorHAnsi" w:eastAsia="Times New Roman" w:hAnsiTheme="majorHAnsi" w:cstheme="majorHAnsi"/>
                <w:b/>
                <w:color w:val="000000"/>
                <w:sz w:val="20"/>
                <w:szCs w:val="20"/>
              </w:rPr>
              <w:t xml:space="preserve"> Quartile</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28.66</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25.84</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28.51</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45.52</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19.33</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29.06</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Median</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66.95</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33.05</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48.37</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51.63</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31.6</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68.4</w:t>
            </w:r>
          </w:p>
        </w:tc>
      </w:tr>
      <w:tr w:rsidR="00B67D8D" w:rsidTr="00B67D8D">
        <w:trPr>
          <w:jc w:val="center"/>
        </w:trPr>
        <w:tc>
          <w:tcPr>
            <w:tcW w:w="2258" w:type="dxa"/>
            <w:tcBorders>
              <w:top w:val="nil"/>
              <w:left w:val="single" w:sz="8" w:space="0" w:color="000000"/>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3</w:t>
            </w:r>
            <w:r w:rsidRPr="00ED6976">
              <w:rPr>
                <w:rFonts w:asciiTheme="majorHAnsi" w:eastAsia="Times New Roman" w:hAnsiTheme="majorHAnsi" w:cstheme="majorHAnsi"/>
                <w:b/>
                <w:color w:val="000000"/>
                <w:sz w:val="20"/>
                <w:szCs w:val="20"/>
                <w:vertAlign w:val="superscript"/>
              </w:rPr>
              <w:t>rd</w:t>
            </w:r>
            <w:r w:rsidRPr="00ED6976">
              <w:rPr>
                <w:rFonts w:asciiTheme="majorHAnsi" w:eastAsia="Times New Roman" w:hAnsiTheme="majorHAnsi" w:cstheme="majorHAnsi"/>
                <w:b/>
                <w:color w:val="000000"/>
                <w:sz w:val="20"/>
                <w:szCs w:val="20"/>
              </w:rPr>
              <w:t xml:space="preserve"> Quartile</w:t>
            </w:r>
          </w:p>
        </w:tc>
        <w:tc>
          <w:tcPr>
            <w:tcW w:w="998" w:type="dxa"/>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74.16</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71.34</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54.49</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71.49</w:t>
            </w:r>
          </w:p>
        </w:tc>
        <w:tc>
          <w:tcPr>
            <w:tcW w:w="0" w:type="auto"/>
            <w:tcBorders>
              <w:top w:val="nil"/>
              <w:left w:val="single" w:sz="8" w:space="0" w:color="000000"/>
              <w:bottom w:val="nil"/>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70.95</w:t>
            </w:r>
          </w:p>
        </w:tc>
        <w:tc>
          <w:tcPr>
            <w:tcW w:w="0" w:type="auto"/>
            <w:tcBorders>
              <w:top w:val="nil"/>
              <w:left w:val="nil"/>
              <w:bottom w:val="nil"/>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80.68</w:t>
            </w:r>
          </w:p>
        </w:tc>
      </w:tr>
      <w:tr w:rsidR="00B67D8D" w:rsidTr="00B67D8D">
        <w:trPr>
          <w:jc w:val="center"/>
        </w:trPr>
        <w:tc>
          <w:tcPr>
            <w:tcW w:w="2258" w:type="dxa"/>
            <w:tcBorders>
              <w:top w:val="nil"/>
              <w:left w:val="single" w:sz="8" w:space="0" w:color="000000"/>
              <w:bottom w:val="single" w:sz="8" w:space="0" w:color="000000"/>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Maximum</w:t>
            </w:r>
          </w:p>
        </w:tc>
        <w:tc>
          <w:tcPr>
            <w:tcW w:w="998" w:type="dxa"/>
            <w:tcBorders>
              <w:top w:val="nil"/>
              <w:left w:val="single" w:sz="8" w:space="0" w:color="000000"/>
              <w:bottom w:val="single" w:sz="8" w:space="0" w:color="000000"/>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81.38</w:t>
            </w:r>
          </w:p>
        </w:tc>
        <w:tc>
          <w:tcPr>
            <w:tcW w:w="0" w:type="auto"/>
            <w:tcBorders>
              <w:top w:val="nil"/>
              <w:left w:val="nil"/>
              <w:bottom w:val="single" w:sz="8" w:space="0" w:color="000000"/>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75.21</w:t>
            </w:r>
          </w:p>
        </w:tc>
        <w:tc>
          <w:tcPr>
            <w:tcW w:w="0" w:type="auto"/>
            <w:tcBorders>
              <w:top w:val="nil"/>
              <w:left w:val="single" w:sz="8" w:space="0" w:color="000000"/>
              <w:bottom w:val="single" w:sz="8" w:space="0" w:color="000000"/>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75.01</w:t>
            </w:r>
          </w:p>
        </w:tc>
        <w:tc>
          <w:tcPr>
            <w:tcW w:w="0" w:type="auto"/>
            <w:tcBorders>
              <w:top w:val="nil"/>
              <w:left w:val="nil"/>
              <w:bottom w:val="single" w:sz="8" w:space="0" w:color="000000"/>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96.95</w:t>
            </w:r>
          </w:p>
        </w:tc>
        <w:tc>
          <w:tcPr>
            <w:tcW w:w="0" w:type="auto"/>
            <w:tcBorders>
              <w:top w:val="nil"/>
              <w:left w:val="single" w:sz="8" w:space="0" w:color="000000"/>
              <w:bottom w:val="single" w:sz="8" w:space="0" w:color="000000"/>
              <w:right w:val="nil"/>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91.48</w:t>
            </w:r>
          </w:p>
        </w:tc>
        <w:tc>
          <w:tcPr>
            <w:tcW w:w="0" w:type="auto"/>
            <w:tcBorders>
              <w:top w:val="nil"/>
              <w:left w:val="nil"/>
              <w:bottom w:val="single" w:sz="8" w:space="0" w:color="000000"/>
              <w:right w:val="single" w:sz="8" w:space="0" w:color="000000"/>
            </w:tcBorders>
            <w:vAlign w:val="bottom"/>
            <w:hideMark/>
          </w:tcPr>
          <w:p w:rsidR="00553399" w:rsidRPr="00ED6976" w:rsidRDefault="00553399" w:rsidP="004C3198">
            <w:pPr>
              <w:spacing w:after="0"/>
              <w:jc w:val="center"/>
              <w:rPr>
                <w:rFonts w:asciiTheme="majorHAnsi" w:eastAsia="Times New Roman" w:hAnsiTheme="majorHAnsi" w:cstheme="majorHAnsi"/>
                <w:b/>
                <w:color w:val="000000"/>
                <w:sz w:val="20"/>
                <w:szCs w:val="20"/>
              </w:rPr>
            </w:pPr>
            <w:r w:rsidRPr="00ED6976">
              <w:rPr>
                <w:rFonts w:asciiTheme="majorHAnsi" w:eastAsia="Times New Roman" w:hAnsiTheme="majorHAnsi" w:cstheme="majorHAnsi"/>
                <w:b/>
                <w:color w:val="000000"/>
                <w:sz w:val="20"/>
                <w:szCs w:val="20"/>
              </w:rPr>
              <w:t>95.74</w:t>
            </w:r>
          </w:p>
        </w:tc>
      </w:tr>
    </w:tbl>
    <w:p w:rsidR="008217C4" w:rsidRDefault="008217C4" w:rsidP="00CD20B4">
      <w:pPr>
        <w:spacing w:line="480" w:lineRule="auto"/>
      </w:pPr>
    </w:p>
    <w:p w:rsidR="00553399" w:rsidRDefault="00553399" w:rsidP="00CD20B4">
      <w:pPr>
        <w:spacing w:line="480" w:lineRule="auto"/>
      </w:pPr>
    </w:p>
    <w:p w:rsidR="00BF3F17" w:rsidRDefault="007E2263" w:rsidP="00553399">
      <w:pPr>
        <w:pStyle w:val="Tabletitle"/>
        <w:spacing w:line="480" w:lineRule="auto"/>
      </w:pPr>
      <w:bookmarkStart w:id="219" w:name="_Toc367550611"/>
      <w:r>
        <w:lastRenderedPageBreak/>
        <w:t>Table 4.6</w:t>
      </w:r>
      <w:r w:rsidR="00D02F62">
        <w:t xml:space="preserve">: </w:t>
      </w:r>
      <w:r w:rsidR="00553399" w:rsidRPr="00E25490">
        <w:t xml:space="preserve">Contributions of climate change </w:t>
      </w:r>
      <w:r w:rsidR="00553399">
        <w:t xml:space="preserve">(“Clim”) </w:t>
      </w:r>
      <w:r w:rsidR="00553399" w:rsidRPr="00E25490">
        <w:t xml:space="preserve">and switchgrass cultivation </w:t>
      </w:r>
      <w:r w:rsidR="00553399">
        <w:t xml:space="preserve">(“Swch”) </w:t>
      </w:r>
      <w:r w:rsidR="00553399" w:rsidRPr="00E25490">
        <w:t xml:space="preserve">to </w:t>
      </w:r>
      <w:r w:rsidR="00553399" w:rsidRPr="001B1CC9">
        <w:rPr>
          <w:rFonts w:ascii="Cambria Math" w:hAnsi="Cambria Math"/>
        </w:rPr>
        <w:t>%Δr</w:t>
      </w:r>
      <w:r w:rsidR="00553399" w:rsidRPr="001B1CC9">
        <w:rPr>
          <w:rFonts w:ascii="Cambria Math" w:hAnsi="Cambria Math"/>
          <w:vertAlign w:val="subscript"/>
        </w:rPr>
        <w:t>s</w:t>
      </w:r>
      <w:r w:rsidR="00553399" w:rsidRPr="00E25490">
        <w:t xml:space="preserve"> in the 2040s under the CCS scenario, relative to the present, during the winter, spring, and summer seasons.  </w:t>
      </w:r>
      <w:r w:rsidR="00BF3F17">
        <w:t xml:space="preserve">Blank entries refer to situations where the sign of </w:t>
      </w:r>
      <w:r w:rsidR="00BF3F17" w:rsidRPr="001B1CC9">
        <w:rPr>
          <w:rFonts w:ascii="Cambria Math" w:hAnsi="Cambria Math"/>
        </w:rPr>
        <w:t>%ΔeT</w:t>
      </w:r>
      <w:r w:rsidR="00BF3F17">
        <w:rPr>
          <w:vertAlign w:val="subscript"/>
        </w:rPr>
        <w:t xml:space="preserve"> </w:t>
      </w:r>
      <w:r w:rsidR="00BF3F17">
        <w:t xml:space="preserve">differs by situation.  Dashes identify </w:t>
      </w:r>
      <w:proofErr w:type="gramStart"/>
      <w:r w:rsidR="00BF3F17">
        <w:t>GCMs</w:t>
      </w:r>
      <w:proofErr w:type="gramEnd"/>
      <w:r w:rsidR="00BF3F17">
        <w:t xml:space="preserve"> under which the % contribution of climate change relative to that under the CCS simulation exceeds 100%, meaning that the climate change contribution exceeds that of switchgrass.</w:t>
      </w:r>
      <w:bookmarkEnd w:id="219"/>
      <w:r w:rsidR="00BF3F17">
        <w:t xml:space="preserve">  </w:t>
      </w:r>
    </w:p>
    <w:p w:rsidR="00553399" w:rsidRPr="00553399" w:rsidRDefault="00553399" w:rsidP="00553399">
      <w:pPr>
        <w:rPr>
          <w:lang w:val="en-GB" w:eastAsia="en-GB"/>
        </w:rPr>
      </w:pPr>
    </w:p>
    <w:tbl>
      <w:tblPr>
        <w:tblW w:w="82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20" w:firstRow="1" w:lastRow="0" w:firstColumn="0" w:lastColumn="0" w:noHBand="1" w:noVBand="1"/>
      </w:tblPr>
      <w:tblGrid>
        <w:gridCol w:w="2833"/>
        <w:gridCol w:w="891"/>
        <w:gridCol w:w="900"/>
        <w:gridCol w:w="892"/>
        <w:gridCol w:w="900"/>
        <w:gridCol w:w="892"/>
        <w:gridCol w:w="900"/>
      </w:tblGrid>
      <w:tr w:rsidR="00BF3F17" w:rsidTr="00B67D8D">
        <w:trPr>
          <w:jc w:val="center"/>
        </w:trPr>
        <w:tc>
          <w:tcPr>
            <w:tcW w:w="0" w:type="auto"/>
            <w:tcBorders>
              <w:top w:val="single" w:sz="8" w:space="0" w:color="000000"/>
              <w:left w:val="single" w:sz="8" w:space="0" w:color="000000"/>
              <w:bottom w:val="single" w:sz="18" w:space="0" w:color="000000"/>
              <w:right w:val="single" w:sz="8" w:space="0" w:color="000000"/>
            </w:tcBorders>
            <w:hideMark/>
          </w:tcPr>
          <w:p w:rsidR="00BF3F17" w:rsidRPr="00CF7BEE" w:rsidRDefault="00BF3F17" w:rsidP="00553399">
            <w:pPr>
              <w:spacing w:line="300" w:lineRule="auto"/>
              <w:jc w:val="center"/>
              <w:rPr>
                <w:rFonts w:eastAsia="Times New Roman" w:cs="Times New Roman"/>
                <w:b/>
                <w:bCs/>
                <w:sz w:val="20"/>
                <w:szCs w:val="20"/>
              </w:rPr>
            </w:pPr>
            <w:r>
              <w:rPr>
                <w:rFonts w:eastAsia="Times New Roman"/>
                <w:b/>
                <w:bCs/>
                <w:sz w:val="20"/>
                <w:szCs w:val="20"/>
              </w:rPr>
              <w:t>G</w:t>
            </w:r>
            <w:r w:rsidRPr="00CF7BEE">
              <w:rPr>
                <w:rFonts w:eastAsia="Times New Roman"/>
                <w:b/>
                <w:bCs/>
                <w:sz w:val="20"/>
                <w:szCs w:val="20"/>
              </w:rPr>
              <w:t>CM</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BF3F17" w:rsidRPr="00CF7BEE" w:rsidRDefault="00BF3F17" w:rsidP="00553399">
            <w:pPr>
              <w:spacing w:line="300" w:lineRule="auto"/>
              <w:jc w:val="center"/>
              <w:rPr>
                <w:rFonts w:eastAsia="Times New Roman" w:cs="Times New Roman"/>
                <w:b/>
                <w:bCs/>
                <w:sz w:val="20"/>
                <w:szCs w:val="20"/>
              </w:rPr>
            </w:pPr>
            <w:r w:rsidRPr="00CF7BEE">
              <w:rPr>
                <w:rFonts w:eastAsia="Times New Roman"/>
                <w:b/>
                <w:bCs/>
                <w:sz w:val="20"/>
                <w:szCs w:val="20"/>
              </w:rPr>
              <w:t>Winter</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BF3F17" w:rsidRPr="00CF7BEE" w:rsidRDefault="00BF3F17" w:rsidP="00553399">
            <w:pPr>
              <w:spacing w:line="300" w:lineRule="auto"/>
              <w:jc w:val="center"/>
              <w:rPr>
                <w:rFonts w:eastAsia="Times New Roman" w:cs="Times New Roman"/>
                <w:b/>
                <w:bCs/>
                <w:sz w:val="20"/>
                <w:szCs w:val="20"/>
              </w:rPr>
            </w:pPr>
            <w:r w:rsidRPr="00CF7BEE">
              <w:rPr>
                <w:rFonts w:eastAsia="Times New Roman"/>
                <w:b/>
                <w:bCs/>
                <w:sz w:val="20"/>
                <w:szCs w:val="20"/>
              </w:rPr>
              <w:t>Spring</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BF3F17" w:rsidRPr="00CF7BEE" w:rsidRDefault="00BF3F17" w:rsidP="00553399">
            <w:pPr>
              <w:spacing w:line="300" w:lineRule="auto"/>
              <w:jc w:val="center"/>
              <w:rPr>
                <w:rFonts w:eastAsia="Times New Roman" w:cs="Times New Roman"/>
                <w:b/>
                <w:bCs/>
                <w:sz w:val="20"/>
                <w:szCs w:val="20"/>
              </w:rPr>
            </w:pPr>
            <w:r w:rsidRPr="00CF7BEE">
              <w:rPr>
                <w:rFonts w:eastAsia="Times New Roman"/>
                <w:b/>
                <w:bCs/>
                <w:sz w:val="20"/>
                <w:szCs w:val="20"/>
              </w:rPr>
              <w:t>Summer</w:t>
            </w:r>
          </w:p>
        </w:tc>
      </w:tr>
      <w:tr w:rsidR="00553399" w:rsidTr="00B67D8D">
        <w:trPr>
          <w:jc w:val="center"/>
        </w:trPr>
        <w:tc>
          <w:tcPr>
            <w:tcW w:w="0" w:type="auto"/>
            <w:tcBorders>
              <w:top w:val="single" w:sz="8" w:space="0" w:color="000000"/>
              <w:left w:val="single" w:sz="8" w:space="0" w:color="000000"/>
              <w:bottom w:val="single" w:sz="8" w:space="0" w:color="000000"/>
              <w:right w:val="single" w:sz="8" w:space="0" w:color="000000"/>
            </w:tcBorders>
          </w:tcPr>
          <w:p w:rsidR="00553399" w:rsidRPr="00CF7BEE" w:rsidRDefault="00553399" w:rsidP="00E01EA9">
            <w:pPr>
              <w:spacing w:line="300" w:lineRule="auto"/>
              <w:rPr>
                <w:rFonts w:eastAsia="Times New Roman" w:cs="Times New Roman"/>
                <w:color w:val="000000"/>
                <w:sz w:val="20"/>
                <w:szCs w:val="20"/>
              </w:rPr>
            </w:pPr>
          </w:p>
        </w:tc>
        <w:tc>
          <w:tcPr>
            <w:tcW w:w="0" w:type="auto"/>
            <w:tcBorders>
              <w:top w:val="single" w:sz="8" w:space="0" w:color="000000"/>
              <w:left w:val="single" w:sz="8" w:space="0" w:color="000000"/>
              <w:bottom w:val="single" w:sz="8" w:space="0" w:color="000000"/>
              <w:right w:val="nil"/>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Clim</w:t>
            </w:r>
          </w:p>
        </w:tc>
        <w:tc>
          <w:tcPr>
            <w:tcW w:w="0" w:type="auto"/>
            <w:tcBorders>
              <w:top w:val="single" w:sz="8" w:space="0" w:color="000000"/>
              <w:left w:val="nil"/>
              <w:bottom w:val="single" w:sz="8" w:space="0" w:color="000000"/>
              <w:right w:val="single" w:sz="8" w:space="0" w:color="000000"/>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Swch</w:t>
            </w:r>
          </w:p>
        </w:tc>
        <w:tc>
          <w:tcPr>
            <w:tcW w:w="0" w:type="auto"/>
            <w:tcBorders>
              <w:top w:val="single" w:sz="8" w:space="0" w:color="000000"/>
              <w:left w:val="single" w:sz="8" w:space="0" w:color="000000"/>
              <w:bottom w:val="single" w:sz="8" w:space="0" w:color="000000"/>
              <w:right w:val="nil"/>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Clim</w:t>
            </w:r>
          </w:p>
        </w:tc>
        <w:tc>
          <w:tcPr>
            <w:tcW w:w="0" w:type="auto"/>
            <w:tcBorders>
              <w:top w:val="single" w:sz="8" w:space="0" w:color="000000"/>
              <w:left w:val="nil"/>
              <w:bottom w:val="single" w:sz="8" w:space="0" w:color="000000"/>
              <w:right w:val="single" w:sz="8" w:space="0" w:color="000000"/>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Swch</w:t>
            </w:r>
          </w:p>
        </w:tc>
        <w:tc>
          <w:tcPr>
            <w:tcW w:w="0" w:type="auto"/>
            <w:tcBorders>
              <w:top w:val="single" w:sz="8" w:space="0" w:color="000000"/>
              <w:left w:val="single" w:sz="8" w:space="0" w:color="000000"/>
              <w:bottom w:val="single" w:sz="8" w:space="0" w:color="000000"/>
              <w:right w:val="nil"/>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Clim</w:t>
            </w:r>
          </w:p>
        </w:tc>
        <w:tc>
          <w:tcPr>
            <w:tcW w:w="0" w:type="auto"/>
            <w:tcBorders>
              <w:top w:val="single" w:sz="8" w:space="0" w:color="000000"/>
              <w:left w:val="nil"/>
              <w:bottom w:val="single" w:sz="8" w:space="0" w:color="000000"/>
              <w:right w:val="single" w:sz="8" w:space="0" w:color="000000"/>
            </w:tcBorders>
            <w:shd w:val="clear" w:color="auto" w:fill="EEECE1"/>
            <w:vAlign w:val="bottom"/>
            <w:hideMark/>
          </w:tcPr>
          <w:p w:rsidR="00553399" w:rsidRPr="00ED6976" w:rsidRDefault="00553399" w:rsidP="004C3198">
            <w:pPr>
              <w:jc w:val="center"/>
              <w:rPr>
                <w:rFonts w:asciiTheme="majorHAnsi" w:eastAsia="Times New Roman" w:hAnsiTheme="majorHAnsi" w:cstheme="majorHAnsi"/>
                <w:b/>
                <w:color w:val="000000"/>
                <w:sz w:val="20"/>
                <w:szCs w:val="20"/>
              </w:rPr>
            </w:pPr>
            <w:r>
              <w:rPr>
                <w:rFonts w:asciiTheme="majorHAnsi" w:eastAsia="Times New Roman" w:hAnsiTheme="majorHAnsi" w:cstheme="majorHAnsi"/>
                <w:b/>
                <w:color w:val="000000"/>
                <w:sz w:val="20"/>
                <w:szCs w:val="20"/>
              </w:rPr>
              <w:t>Swch</w:t>
            </w:r>
          </w:p>
        </w:tc>
      </w:tr>
      <w:tr w:rsidR="00BF3F17" w:rsidTr="00B67D8D">
        <w:trPr>
          <w:jc w:val="center"/>
        </w:trPr>
        <w:tc>
          <w:tcPr>
            <w:tcW w:w="0" w:type="auto"/>
            <w:tcBorders>
              <w:top w:val="single" w:sz="8" w:space="0" w:color="000000"/>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BCCR_BCM_2.0</w:t>
            </w:r>
          </w:p>
        </w:tc>
        <w:tc>
          <w:tcPr>
            <w:tcW w:w="0" w:type="auto"/>
            <w:tcBorders>
              <w:top w:val="single" w:sz="8" w:space="0" w:color="000000"/>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6.32</w:t>
            </w:r>
          </w:p>
        </w:tc>
        <w:tc>
          <w:tcPr>
            <w:tcW w:w="0" w:type="auto"/>
            <w:tcBorders>
              <w:top w:val="single" w:sz="8" w:space="0" w:color="000000"/>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93.68</w:t>
            </w:r>
          </w:p>
        </w:tc>
        <w:tc>
          <w:tcPr>
            <w:tcW w:w="0" w:type="auto"/>
            <w:tcBorders>
              <w:top w:val="single" w:sz="8" w:space="0" w:color="000000"/>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single" w:sz="8" w:space="0" w:color="000000"/>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single" w:sz="8" w:space="0" w:color="000000"/>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5.59</w:t>
            </w:r>
          </w:p>
        </w:tc>
        <w:tc>
          <w:tcPr>
            <w:tcW w:w="0" w:type="auto"/>
            <w:tcBorders>
              <w:top w:val="single" w:sz="8" w:space="0" w:color="000000"/>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94.41</w:t>
            </w:r>
          </w:p>
        </w:tc>
      </w:tr>
      <w:tr w:rsidR="00BF3F17" w:rsidTr="00B67D8D">
        <w:trPr>
          <w:jc w:val="center"/>
        </w:trPr>
        <w:tc>
          <w:tcPr>
            <w:tcW w:w="0" w:type="auto"/>
            <w:tcBorders>
              <w:top w:val="nil"/>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CCSM3</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87.47</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12.53</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29.03</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70.97</w:t>
            </w:r>
          </w:p>
        </w:tc>
      </w:tr>
      <w:tr w:rsidR="00BF3F17" w:rsidTr="00B67D8D">
        <w:trPr>
          <w:jc w:val="center"/>
        </w:trPr>
        <w:tc>
          <w:tcPr>
            <w:tcW w:w="0" w:type="auto"/>
            <w:tcBorders>
              <w:top w:val="nil"/>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CGCM3.1 (T47)</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13.05</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86.95</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jc w:val="right"/>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jc w:val="right"/>
              <w:rPr>
                <w:rFonts w:eastAsia="PMingLiU" w:cs="Times New Roman"/>
                <w:color w:val="000000"/>
                <w:sz w:val="20"/>
                <w:szCs w:val="20"/>
              </w:rPr>
            </w:pPr>
          </w:p>
        </w:tc>
      </w:tr>
      <w:tr w:rsidR="00BF3F17" w:rsidTr="00B67D8D">
        <w:trPr>
          <w:jc w:val="center"/>
        </w:trPr>
        <w:tc>
          <w:tcPr>
            <w:tcW w:w="0" w:type="auto"/>
            <w:tcBorders>
              <w:top w:val="nil"/>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CNRM_CM3</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39.45</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60.55</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jc w:val="right"/>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jc w:val="right"/>
              <w:rPr>
                <w:rFonts w:eastAsia="PMingLiU" w:cs="Times New Roman"/>
                <w:color w:val="000000"/>
                <w:sz w:val="20"/>
                <w:szCs w:val="20"/>
              </w:rPr>
            </w:pPr>
          </w:p>
        </w:tc>
      </w:tr>
      <w:tr w:rsidR="00BF3F17" w:rsidTr="00B67D8D">
        <w:trPr>
          <w:jc w:val="center"/>
        </w:trPr>
        <w:tc>
          <w:tcPr>
            <w:tcW w:w="0" w:type="auto"/>
            <w:tcBorders>
              <w:top w:val="nil"/>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CSIRO_MK3_0</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37.81</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62.19</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4.24</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95.76</w:t>
            </w:r>
          </w:p>
        </w:tc>
      </w:tr>
      <w:tr w:rsidR="00BF3F17" w:rsidTr="00B67D8D">
        <w:trPr>
          <w:jc w:val="center"/>
        </w:trPr>
        <w:tc>
          <w:tcPr>
            <w:tcW w:w="0" w:type="auto"/>
            <w:tcBorders>
              <w:top w:val="nil"/>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ECHAM5/MPI-OM</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19.58</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80.42</w:t>
            </w:r>
          </w:p>
        </w:tc>
      </w:tr>
      <w:tr w:rsidR="00BF3F17" w:rsidTr="00B67D8D">
        <w:trPr>
          <w:jc w:val="center"/>
        </w:trPr>
        <w:tc>
          <w:tcPr>
            <w:tcW w:w="0" w:type="auto"/>
            <w:tcBorders>
              <w:top w:val="nil"/>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GFDL_CM_2_0</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97.02</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2.98</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80.7</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19.3</w:t>
            </w:r>
          </w:p>
        </w:tc>
      </w:tr>
      <w:tr w:rsidR="00BF3F17" w:rsidTr="00B67D8D">
        <w:trPr>
          <w:jc w:val="center"/>
        </w:trPr>
        <w:tc>
          <w:tcPr>
            <w:tcW w:w="0" w:type="auto"/>
            <w:tcBorders>
              <w:top w:val="nil"/>
              <w:left w:val="single" w:sz="8" w:space="0" w:color="000000"/>
              <w:bottom w:val="nil"/>
              <w:right w:val="single" w:sz="8" w:space="0" w:color="000000"/>
            </w:tcBorders>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GFDL_CM2_1</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28.26</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71.74</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jc w:val="right"/>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jc w:val="right"/>
              <w:rPr>
                <w:rFonts w:eastAsia="PMingLiU" w:cs="Times New Roman"/>
                <w:color w:val="000000"/>
                <w:sz w:val="20"/>
                <w:szCs w:val="20"/>
              </w:rPr>
            </w:pP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GISS_MODEL_E_R</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30.41</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69.59</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jc w:val="right"/>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jc w:val="right"/>
              <w:rPr>
                <w:rFonts w:eastAsia="PMingLiU" w:cs="Times New Roman"/>
                <w:color w:val="000000"/>
                <w:sz w:val="20"/>
                <w:szCs w:val="20"/>
              </w:rPr>
            </w:pP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INMCM3_0</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45.04</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54.96</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8.54</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91.46</w:t>
            </w: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IPSL_CM4</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1.59</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98.41</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24.07</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75.93</w:t>
            </w: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MIROC3.2 (MEDRES)</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92.35</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7.65</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25.71</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74.29</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w:t>
            </w: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MIUB_ECHOG</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53.04</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46.96</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21.36</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78.64</w:t>
            </w: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MRI-HADCM3</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19.22</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80.78</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jc w:val="right"/>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jc w:val="right"/>
              <w:rPr>
                <w:rFonts w:eastAsia="PMingLiU" w:cs="Times New Roman"/>
                <w:color w:val="000000"/>
                <w:sz w:val="20"/>
                <w:szCs w:val="20"/>
              </w:rPr>
            </w:pP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PCM</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9.5</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color w:val="000000"/>
                <w:sz w:val="20"/>
                <w:szCs w:val="20"/>
              </w:rPr>
            </w:pPr>
            <w:r w:rsidRPr="00CF7BEE">
              <w:rPr>
                <w:color w:val="000000"/>
                <w:sz w:val="20"/>
                <w:szCs w:val="20"/>
              </w:rPr>
              <w:t>90.5</w:t>
            </w:r>
          </w:p>
        </w:tc>
      </w:tr>
      <w:tr w:rsidR="00BF3F17" w:rsidTr="00B67D8D">
        <w:trPr>
          <w:jc w:val="center"/>
        </w:trPr>
        <w:tc>
          <w:tcPr>
            <w:tcW w:w="0" w:type="auto"/>
            <w:tcBorders>
              <w:top w:val="nil"/>
              <w:left w:val="single" w:sz="8" w:space="0" w:color="000000"/>
              <w:bottom w:val="single" w:sz="8" w:space="0" w:color="000000"/>
              <w:right w:val="single" w:sz="8" w:space="0" w:color="000000"/>
            </w:tcBorders>
            <w:vAlign w:val="bottom"/>
            <w:hideMark/>
          </w:tcPr>
          <w:p w:rsidR="00BF3F17" w:rsidRPr="00CF7BEE" w:rsidRDefault="00BF3F17" w:rsidP="00553399">
            <w:pPr>
              <w:spacing w:after="0" w:line="300" w:lineRule="auto"/>
              <w:jc w:val="center"/>
              <w:rPr>
                <w:rFonts w:eastAsia="Times New Roman" w:cs="Times New Roman"/>
                <w:color w:val="000000"/>
                <w:sz w:val="20"/>
                <w:szCs w:val="20"/>
                <w:u w:val="single"/>
              </w:rPr>
            </w:pPr>
            <w:r w:rsidRPr="00CF7BEE">
              <w:rPr>
                <w:rFonts w:eastAsia="Times New Roman"/>
                <w:color w:val="000000"/>
                <w:sz w:val="20"/>
                <w:szCs w:val="20"/>
                <w:u w:val="single"/>
              </w:rPr>
              <w:t>UKMO-HADCM3</w:t>
            </w:r>
          </w:p>
        </w:tc>
        <w:tc>
          <w:tcPr>
            <w:tcW w:w="0" w:type="auto"/>
            <w:tcBorders>
              <w:top w:val="nil"/>
              <w:left w:val="single" w:sz="8" w:space="0" w:color="000000"/>
              <w:bottom w:val="single" w:sz="8" w:space="0" w:color="000000"/>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single" w:sz="8" w:space="0" w:color="000000"/>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single" w:sz="8" w:space="0" w:color="000000"/>
              <w:right w:val="nil"/>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nil"/>
              <w:bottom w:val="single" w:sz="8" w:space="0" w:color="000000"/>
              <w:right w:val="single" w:sz="8" w:space="0" w:color="000000"/>
            </w:tcBorders>
            <w:vAlign w:val="bottom"/>
          </w:tcPr>
          <w:p w:rsidR="00BF3F17" w:rsidRPr="00CF7BEE" w:rsidRDefault="00BF3F17" w:rsidP="00E01EA9">
            <w:pPr>
              <w:spacing w:after="0" w:line="300" w:lineRule="auto"/>
              <w:rPr>
                <w:rFonts w:eastAsia="PMingLiU" w:cs="Times New Roman"/>
                <w:color w:val="000000"/>
                <w:sz w:val="20"/>
                <w:szCs w:val="20"/>
              </w:rPr>
            </w:pPr>
          </w:p>
        </w:tc>
        <w:tc>
          <w:tcPr>
            <w:tcW w:w="0" w:type="auto"/>
            <w:tcBorders>
              <w:top w:val="nil"/>
              <w:left w:val="single" w:sz="8" w:space="0" w:color="000000"/>
              <w:bottom w:val="single" w:sz="8" w:space="0" w:color="000000"/>
              <w:right w:val="nil"/>
            </w:tcBorders>
            <w:vAlign w:val="bottom"/>
          </w:tcPr>
          <w:p w:rsidR="00BF3F17" w:rsidRPr="00CF7BEE" w:rsidRDefault="00BF3F17" w:rsidP="00E01EA9">
            <w:pPr>
              <w:spacing w:after="0" w:line="300" w:lineRule="auto"/>
              <w:jc w:val="right"/>
              <w:rPr>
                <w:rFonts w:eastAsia="PMingLiU" w:cs="Times New Roman"/>
                <w:color w:val="000000"/>
                <w:sz w:val="20"/>
                <w:szCs w:val="20"/>
              </w:rPr>
            </w:pPr>
          </w:p>
        </w:tc>
        <w:tc>
          <w:tcPr>
            <w:tcW w:w="0" w:type="auto"/>
            <w:tcBorders>
              <w:top w:val="nil"/>
              <w:left w:val="nil"/>
              <w:bottom w:val="single" w:sz="8" w:space="0" w:color="000000"/>
              <w:right w:val="single" w:sz="8" w:space="0" w:color="000000"/>
            </w:tcBorders>
            <w:vAlign w:val="bottom"/>
          </w:tcPr>
          <w:p w:rsidR="00BF3F17" w:rsidRPr="00CF7BEE" w:rsidRDefault="00BF3F17" w:rsidP="00E01EA9">
            <w:pPr>
              <w:spacing w:after="0" w:line="300" w:lineRule="auto"/>
              <w:jc w:val="right"/>
              <w:rPr>
                <w:rFonts w:eastAsia="PMingLiU" w:cs="Times New Roman"/>
                <w:color w:val="000000"/>
                <w:sz w:val="20"/>
                <w:szCs w:val="20"/>
              </w:rPr>
            </w:pPr>
          </w:p>
        </w:tc>
      </w:tr>
      <w:tr w:rsidR="00BF3F17" w:rsidTr="00B67D8D">
        <w:trPr>
          <w:jc w:val="center"/>
        </w:trPr>
        <w:tc>
          <w:tcPr>
            <w:tcW w:w="0" w:type="auto"/>
            <w:tcBorders>
              <w:top w:val="single" w:sz="8" w:space="0" w:color="000000"/>
              <w:left w:val="single" w:sz="8" w:space="0" w:color="000000"/>
              <w:bottom w:val="nil"/>
              <w:right w:val="single" w:sz="8" w:space="0" w:color="000000"/>
            </w:tcBorders>
            <w:vAlign w:val="bottom"/>
            <w:hideMark/>
          </w:tcPr>
          <w:p w:rsidR="00BF3F17" w:rsidRPr="00CF7BEE" w:rsidRDefault="00BF3F17" w:rsidP="00B67D8D">
            <w:pPr>
              <w:spacing w:after="0" w:line="300" w:lineRule="auto"/>
              <w:jc w:val="center"/>
              <w:rPr>
                <w:rFonts w:eastAsia="Times New Roman" w:cs="Times New Roman"/>
                <w:b/>
                <w:color w:val="000000"/>
                <w:sz w:val="20"/>
                <w:szCs w:val="20"/>
              </w:rPr>
            </w:pPr>
            <w:r w:rsidRPr="00CF7BEE">
              <w:rPr>
                <w:rFonts w:eastAsia="Times New Roman"/>
                <w:b/>
                <w:color w:val="000000"/>
                <w:sz w:val="20"/>
                <w:szCs w:val="20"/>
              </w:rPr>
              <w:t>Minimum</w:t>
            </w:r>
          </w:p>
        </w:tc>
        <w:tc>
          <w:tcPr>
            <w:tcW w:w="0" w:type="auto"/>
            <w:tcBorders>
              <w:top w:val="single" w:sz="8" w:space="0" w:color="000000"/>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1.59</w:t>
            </w:r>
          </w:p>
        </w:tc>
        <w:tc>
          <w:tcPr>
            <w:tcW w:w="0" w:type="auto"/>
            <w:tcBorders>
              <w:top w:val="single" w:sz="8" w:space="0" w:color="000000"/>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2.98</w:t>
            </w:r>
          </w:p>
        </w:tc>
        <w:tc>
          <w:tcPr>
            <w:tcW w:w="0" w:type="auto"/>
            <w:tcBorders>
              <w:top w:val="single" w:sz="8" w:space="0" w:color="000000"/>
              <w:left w:val="single" w:sz="8" w:space="0" w:color="000000"/>
              <w:bottom w:val="nil"/>
              <w:right w:val="nil"/>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single" w:sz="8" w:space="0" w:color="000000"/>
              <w:left w:val="nil"/>
              <w:bottom w:val="nil"/>
              <w:right w:val="single" w:sz="8" w:space="0" w:color="000000"/>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single" w:sz="8" w:space="0" w:color="000000"/>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4.24</w:t>
            </w:r>
          </w:p>
        </w:tc>
        <w:tc>
          <w:tcPr>
            <w:tcW w:w="0" w:type="auto"/>
            <w:tcBorders>
              <w:top w:val="single" w:sz="8" w:space="0" w:color="000000"/>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19.3</w:t>
            </w: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B67D8D">
            <w:pPr>
              <w:spacing w:after="0" w:line="300" w:lineRule="auto"/>
              <w:jc w:val="center"/>
              <w:rPr>
                <w:rFonts w:eastAsia="Times New Roman" w:cs="Times New Roman"/>
                <w:b/>
                <w:color w:val="000000"/>
                <w:sz w:val="20"/>
                <w:szCs w:val="20"/>
              </w:rPr>
            </w:pPr>
            <w:r w:rsidRPr="00CF7BEE">
              <w:rPr>
                <w:rFonts w:eastAsia="Times New Roman"/>
                <w:b/>
                <w:color w:val="000000"/>
                <w:sz w:val="20"/>
                <w:szCs w:val="20"/>
              </w:rPr>
              <w:t>1</w:t>
            </w:r>
            <w:r w:rsidRPr="00CF7BEE">
              <w:rPr>
                <w:rFonts w:eastAsia="Times New Roman"/>
                <w:b/>
                <w:color w:val="000000"/>
                <w:sz w:val="20"/>
                <w:szCs w:val="20"/>
                <w:vertAlign w:val="superscript"/>
              </w:rPr>
              <w:t>st</w:t>
            </w:r>
            <w:r w:rsidRPr="00CF7BEE">
              <w:rPr>
                <w:rFonts w:eastAsia="Times New Roman"/>
                <w:b/>
                <w:color w:val="000000"/>
                <w:sz w:val="20"/>
                <w:szCs w:val="20"/>
              </w:rPr>
              <w:t xml:space="preserve"> Quartile</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19.22</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46.96</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8.54</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75.93</w:t>
            </w: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B67D8D">
            <w:pPr>
              <w:spacing w:after="0" w:line="300" w:lineRule="auto"/>
              <w:jc w:val="center"/>
              <w:rPr>
                <w:rFonts w:eastAsia="Times New Roman" w:cs="Times New Roman"/>
                <w:b/>
                <w:color w:val="000000"/>
                <w:sz w:val="20"/>
                <w:szCs w:val="20"/>
              </w:rPr>
            </w:pPr>
            <w:r w:rsidRPr="00CF7BEE">
              <w:rPr>
                <w:rFonts w:eastAsia="Times New Roman"/>
                <w:b/>
                <w:color w:val="000000"/>
                <w:sz w:val="20"/>
                <w:szCs w:val="20"/>
              </w:rPr>
              <w:t>Median</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37.81</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62.19</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25.71</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74.29</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19.58</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80.42</w:t>
            </w:r>
          </w:p>
        </w:tc>
      </w:tr>
      <w:tr w:rsidR="00BF3F17" w:rsidTr="00B67D8D">
        <w:trPr>
          <w:jc w:val="center"/>
        </w:trPr>
        <w:tc>
          <w:tcPr>
            <w:tcW w:w="0" w:type="auto"/>
            <w:tcBorders>
              <w:top w:val="nil"/>
              <w:left w:val="single" w:sz="8" w:space="0" w:color="000000"/>
              <w:bottom w:val="nil"/>
              <w:right w:val="single" w:sz="8" w:space="0" w:color="000000"/>
            </w:tcBorders>
            <w:vAlign w:val="bottom"/>
            <w:hideMark/>
          </w:tcPr>
          <w:p w:rsidR="00BF3F17" w:rsidRPr="00CF7BEE" w:rsidRDefault="00BF3F17" w:rsidP="00B67D8D">
            <w:pPr>
              <w:spacing w:after="0" w:line="300" w:lineRule="auto"/>
              <w:jc w:val="center"/>
              <w:rPr>
                <w:rFonts w:eastAsia="Times New Roman" w:cs="Times New Roman"/>
                <w:b/>
                <w:color w:val="000000"/>
                <w:sz w:val="20"/>
                <w:szCs w:val="20"/>
              </w:rPr>
            </w:pPr>
            <w:r w:rsidRPr="00CF7BEE">
              <w:rPr>
                <w:rFonts w:eastAsia="Times New Roman"/>
                <w:b/>
                <w:color w:val="000000"/>
                <w:sz w:val="20"/>
                <w:szCs w:val="20"/>
              </w:rPr>
              <w:t>3</w:t>
            </w:r>
            <w:r w:rsidRPr="00CF7BEE">
              <w:rPr>
                <w:rFonts w:eastAsia="Times New Roman"/>
                <w:b/>
                <w:color w:val="000000"/>
                <w:sz w:val="20"/>
                <w:szCs w:val="20"/>
                <w:vertAlign w:val="superscript"/>
              </w:rPr>
              <w:t>rd</w:t>
            </w:r>
            <w:r w:rsidRPr="00CF7BEE">
              <w:rPr>
                <w:rFonts w:eastAsia="Times New Roman"/>
                <w:b/>
                <w:color w:val="000000"/>
                <w:sz w:val="20"/>
                <w:szCs w:val="20"/>
              </w:rPr>
              <w:t xml:space="preserve"> Quartile</w:t>
            </w: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53.04</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80.78</w:t>
            </w:r>
          </w:p>
        </w:tc>
        <w:tc>
          <w:tcPr>
            <w:tcW w:w="0" w:type="auto"/>
            <w:tcBorders>
              <w:top w:val="nil"/>
              <w:left w:val="single" w:sz="8" w:space="0" w:color="000000"/>
              <w:bottom w:val="nil"/>
              <w:right w:val="nil"/>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nil"/>
              <w:left w:val="nil"/>
              <w:bottom w:val="nil"/>
              <w:right w:val="single" w:sz="8" w:space="0" w:color="000000"/>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nil"/>
              <w:left w:val="single" w:sz="8" w:space="0" w:color="000000"/>
              <w:bottom w:val="nil"/>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24.07</w:t>
            </w:r>
          </w:p>
        </w:tc>
        <w:tc>
          <w:tcPr>
            <w:tcW w:w="0" w:type="auto"/>
            <w:tcBorders>
              <w:top w:val="nil"/>
              <w:left w:val="nil"/>
              <w:bottom w:val="nil"/>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91.46</w:t>
            </w:r>
          </w:p>
        </w:tc>
      </w:tr>
      <w:tr w:rsidR="00BF3F17" w:rsidTr="00B67D8D">
        <w:trPr>
          <w:jc w:val="center"/>
        </w:trPr>
        <w:tc>
          <w:tcPr>
            <w:tcW w:w="0" w:type="auto"/>
            <w:tcBorders>
              <w:top w:val="nil"/>
              <w:left w:val="single" w:sz="8" w:space="0" w:color="000000"/>
              <w:bottom w:val="single" w:sz="8" w:space="0" w:color="000000"/>
              <w:right w:val="single" w:sz="8" w:space="0" w:color="000000"/>
            </w:tcBorders>
            <w:vAlign w:val="bottom"/>
            <w:hideMark/>
          </w:tcPr>
          <w:p w:rsidR="00BF3F17" w:rsidRPr="00CF7BEE" w:rsidRDefault="00BF3F17" w:rsidP="00B67D8D">
            <w:pPr>
              <w:spacing w:after="0" w:line="300" w:lineRule="auto"/>
              <w:jc w:val="center"/>
              <w:rPr>
                <w:rFonts w:eastAsia="Times New Roman" w:cs="Times New Roman"/>
                <w:b/>
                <w:color w:val="000000"/>
                <w:sz w:val="20"/>
                <w:szCs w:val="20"/>
              </w:rPr>
            </w:pPr>
            <w:r w:rsidRPr="00CF7BEE">
              <w:rPr>
                <w:rFonts w:eastAsia="Times New Roman"/>
                <w:b/>
                <w:color w:val="000000"/>
                <w:sz w:val="20"/>
                <w:szCs w:val="20"/>
              </w:rPr>
              <w:t>Maximum</w:t>
            </w:r>
          </w:p>
        </w:tc>
        <w:tc>
          <w:tcPr>
            <w:tcW w:w="0" w:type="auto"/>
            <w:tcBorders>
              <w:top w:val="nil"/>
              <w:left w:val="single" w:sz="8" w:space="0" w:color="000000"/>
              <w:bottom w:val="single" w:sz="8" w:space="0" w:color="000000"/>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97.02</w:t>
            </w:r>
          </w:p>
        </w:tc>
        <w:tc>
          <w:tcPr>
            <w:tcW w:w="0" w:type="auto"/>
            <w:tcBorders>
              <w:top w:val="nil"/>
              <w:left w:val="nil"/>
              <w:bottom w:val="single" w:sz="8" w:space="0" w:color="000000"/>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98.41</w:t>
            </w:r>
          </w:p>
        </w:tc>
        <w:tc>
          <w:tcPr>
            <w:tcW w:w="0" w:type="auto"/>
            <w:tcBorders>
              <w:top w:val="nil"/>
              <w:left w:val="single" w:sz="8" w:space="0" w:color="000000"/>
              <w:bottom w:val="single" w:sz="8" w:space="0" w:color="000000"/>
              <w:right w:val="nil"/>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nil"/>
              <w:left w:val="nil"/>
              <w:bottom w:val="single" w:sz="8" w:space="0" w:color="000000"/>
              <w:right w:val="single" w:sz="8" w:space="0" w:color="000000"/>
            </w:tcBorders>
            <w:vAlign w:val="bottom"/>
          </w:tcPr>
          <w:p w:rsidR="00BF3F17" w:rsidRPr="00CF7BEE" w:rsidRDefault="00BF3F17" w:rsidP="00E01EA9">
            <w:pPr>
              <w:spacing w:after="0" w:line="300" w:lineRule="auto"/>
              <w:rPr>
                <w:rFonts w:eastAsia="PMingLiU" w:cs="Times New Roman"/>
                <w:b/>
                <w:color w:val="000000"/>
                <w:sz w:val="20"/>
                <w:szCs w:val="20"/>
              </w:rPr>
            </w:pPr>
          </w:p>
        </w:tc>
        <w:tc>
          <w:tcPr>
            <w:tcW w:w="0" w:type="auto"/>
            <w:tcBorders>
              <w:top w:val="nil"/>
              <w:left w:val="single" w:sz="8" w:space="0" w:color="000000"/>
              <w:bottom w:val="single" w:sz="8" w:space="0" w:color="000000"/>
              <w:right w:val="nil"/>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80.7</w:t>
            </w:r>
          </w:p>
        </w:tc>
        <w:tc>
          <w:tcPr>
            <w:tcW w:w="0" w:type="auto"/>
            <w:tcBorders>
              <w:top w:val="nil"/>
              <w:left w:val="nil"/>
              <w:bottom w:val="single" w:sz="8" w:space="0" w:color="000000"/>
              <w:right w:val="single" w:sz="8" w:space="0" w:color="000000"/>
            </w:tcBorders>
            <w:vAlign w:val="bottom"/>
            <w:hideMark/>
          </w:tcPr>
          <w:p w:rsidR="00BF3F17" w:rsidRPr="00CF7BEE" w:rsidRDefault="00BF3F17" w:rsidP="00E01EA9">
            <w:pPr>
              <w:spacing w:after="0" w:line="300" w:lineRule="auto"/>
              <w:jc w:val="right"/>
              <w:rPr>
                <w:rFonts w:eastAsia="PMingLiU" w:cs="Times New Roman"/>
                <w:b/>
                <w:color w:val="000000"/>
                <w:sz w:val="20"/>
                <w:szCs w:val="20"/>
              </w:rPr>
            </w:pPr>
            <w:r w:rsidRPr="00CF7BEE">
              <w:rPr>
                <w:b/>
                <w:color w:val="000000"/>
                <w:sz w:val="20"/>
                <w:szCs w:val="20"/>
              </w:rPr>
              <w:t>95.76</w:t>
            </w:r>
          </w:p>
        </w:tc>
      </w:tr>
    </w:tbl>
    <w:p w:rsidR="00CD20B4" w:rsidRDefault="006F29EA" w:rsidP="00B67D8D">
      <w:pPr>
        <w:pStyle w:val="Heading2"/>
      </w:pPr>
      <w:bookmarkStart w:id="220" w:name="_Toc364501667"/>
      <w:bookmarkStart w:id="221" w:name="_Toc368046198"/>
      <w:r>
        <w:t>Acknowledgements</w:t>
      </w:r>
      <w:bookmarkEnd w:id="220"/>
      <w:bookmarkEnd w:id="221"/>
    </w:p>
    <w:p w:rsidR="00CD20B4" w:rsidRDefault="00CD20B4" w:rsidP="00CD20B4">
      <w:pPr>
        <w:spacing w:line="480" w:lineRule="auto"/>
      </w:pPr>
      <w:r>
        <w:t xml:space="preserve">      </w:t>
      </w:r>
      <w:r w:rsidR="008A7834">
        <w:t>I am</w:t>
      </w:r>
      <w:r>
        <w:t xml:space="preserve"> grateful to Raghavan Srinivasan (Texas A&amp;M University), David Brauer (Ogallala Aquifer Program, USDA-ARS, Chris Weaver (US Environmental Protection </w:t>
      </w:r>
      <w:r>
        <w:lastRenderedPageBreak/>
        <w:t>Agency; U</w:t>
      </w:r>
      <w:r w:rsidR="0037704B">
        <w:t>.</w:t>
      </w:r>
      <w:r>
        <w:t>S</w:t>
      </w:r>
      <w:r w:rsidR="0037704B">
        <w:t>.</w:t>
      </w:r>
      <w:r>
        <w:t xml:space="preserve"> Global Change Research Program), Harold Crowley (National Weather Service Arkansas-Red Basin River Forecast Center) Xuesong Zhang (Pacific Northwest National Laboratory), and Bob Sandbo (Oklahoma Water Resources Board).  </w:t>
      </w:r>
      <w:r w:rsidR="00772BF2">
        <w:t>I</w:t>
      </w:r>
      <w:r>
        <w:t xml:space="preserve"> also thank Oklahoma State University extension agents Keith Boevers, Jeff Bedwell, </w:t>
      </w:r>
      <w:r w:rsidR="00044BB3">
        <w:t xml:space="preserve">Roger Gribble, </w:t>
      </w:r>
      <w:r>
        <w:t xml:space="preserve">and Courtney Koats for providing crop management information for the SCW </w:t>
      </w:r>
      <w:bookmarkStart w:id="222" w:name="_GoBack"/>
      <w:bookmarkEnd w:id="222"/>
      <w:r>
        <w:t xml:space="preserve">counties.  </w:t>
      </w:r>
      <w:r w:rsidRPr="00172120">
        <w:t xml:space="preserve">With regards to </w:t>
      </w:r>
      <w:r>
        <w:t xml:space="preserve">climatic </w:t>
      </w:r>
      <w:r w:rsidRPr="00172120">
        <w:t xml:space="preserve">data, </w:t>
      </w:r>
      <w:r w:rsidR="00772BF2">
        <w:t>I</w:t>
      </w:r>
      <w:r w:rsidRPr="00172120">
        <w:t xml:space="preserve"> also acknowledge the modeling groups, the Program for Climate Model Diagnosis and Intercomparison (PCMDI) and the WCRP's Working Group on Coupled Modelling (WGCM) for their roles in making available the WCRP CMIP3</w:t>
      </w:r>
      <w:r>
        <w:t xml:space="preserve"> multi-model dataset.  </w:t>
      </w:r>
      <w:r w:rsidRPr="00172120">
        <w:t xml:space="preserve">Support of this dataset is provided by the Office of Science, U.S. Department of Energy.  </w:t>
      </w:r>
    </w:p>
    <w:p w:rsidR="00CD20B4" w:rsidRDefault="004F3E6F" w:rsidP="000D5404">
      <w:pPr>
        <w:pStyle w:val="Heading2"/>
      </w:pPr>
      <w:bookmarkStart w:id="223" w:name="_Toc364501668"/>
      <w:bookmarkStart w:id="224" w:name="_Toc368046199"/>
      <w:r>
        <w:t>References</w:t>
      </w:r>
      <w:bookmarkEnd w:id="223"/>
      <w:bookmarkEnd w:id="224"/>
    </w:p>
    <w:p w:rsidR="00CD20B4" w:rsidRDefault="00CD20B4" w:rsidP="00CD20B4">
      <w:pPr>
        <w:rPr>
          <w:shd w:val="clear" w:color="auto" w:fill="FFFFFF"/>
        </w:rPr>
      </w:pPr>
      <w:proofErr w:type="gramStart"/>
      <w:r w:rsidRPr="00530A75">
        <w:t>Arnold, JG, Srinivasan R, Muttiah RS, Williams JR.</w:t>
      </w:r>
      <w:proofErr w:type="gramEnd"/>
      <w:r w:rsidRPr="00530A75">
        <w:t xml:space="preserve">  1998.  Large area hydrologic </w:t>
      </w:r>
      <w:r w:rsidR="00F012E3">
        <w:tab/>
      </w:r>
      <w:r w:rsidRPr="00530A75">
        <w:t>modeling and assessment - part 1: model development</w:t>
      </w:r>
      <w:r w:rsidRPr="00530A75">
        <w:rPr>
          <w:i/>
          <w:iCs/>
        </w:rPr>
        <w:t xml:space="preserve">.  </w:t>
      </w:r>
      <w:r w:rsidRPr="001841D9">
        <w:rPr>
          <w:i/>
          <w:iCs/>
        </w:rPr>
        <w:t xml:space="preserve"> </w:t>
      </w:r>
      <w:r w:rsidRPr="00530A75">
        <w:rPr>
          <w:i/>
          <w:iCs/>
        </w:rPr>
        <w:t xml:space="preserve">Journal of the </w:t>
      </w:r>
      <w:r w:rsidR="00F012E3">
        <w:rPr>
          <w:i/>
          <w:iCs/>
        </w:rPr>
        <w:tab/>
      </w:r>
      <w:r w:rsidRPr="00530A75">
        <w:rPr>
          <w:i/>
          <w:iCs/>
        </w:rPr>
        <w:t xml:space="preserve">American Water Resources Association </w:t>
      </w:r>
      <w:r w:rsidRPr="00530A75">
        <w:rPr>
          <w:b/>
          <w:bCs/>
        </w:rPr>
        <w:t>34</w:t>
      </w:r>
      <w:r w:rsidRPr="00530A75">
        <w:t xml:space="preserve">: 73-89.  DOI: </w:t>
      </w:r>
      <w:r w:rsidRPr="001841D9">
        <w:rPr>
          <w:shd w:val="clear" w:color="auto" w:fill="FFFFFF"/>
        </w:rPr>
        <w:t>10.1111/j.1752-</w:t>
      </w:r>
      <w:r w:rsidR="00F012E3">
        <w:rPr>
          <w:shd w:val="clear" w:color="auto" w:fill="FFFFFF"/>
        </w:rPr>
        <w:tab/>
      </w:r>
      <w:r w:rsidRPr="001841D9">
        <w:rPr>
          <w:shd w:val="clear" w:color="auto" w:fill="FFFFFF"/>
        </w:rPr>
        <w:t>1688.1998.tb05961.x.</w:t>
      </w:r>
    </w:p>
    <w:p w:rsidR="00CD20B4" w:rsidRPr="00530A75" w:rsidRDefault="00CD20B4" w:rsidP="00CD20B4">
      <w:proofErr w:type="gramStart"/>
      <w:r>
        <w:t xml:space="preserve">Baskaran L, </w:t>
      </w:r>
      <w:r w:rsidRPr="009F6029">
        <w:t>Jager</w:t>
      </w:r>
      <w:r>
        <w:t xml:space="preserve"> HI</w:t>
      </w:r>
      <w:r w:rsidRPr="009F6029">
        <w:t>, Schweizer</w:t>
      </w:r>
      <w:r>
        <w:t xml:space="preserve"> PE</w:t>
      </w:r>
      <w:r w:rsidRPr="009F6029">
        <w:t>, Srinivasan</w:t>
      </w:r>
      <w:r>
        <w:t xml:space="preserve"> R.</w:t>
      </w:r>
      <w:proofErr w:type="gramEnd"/>
      <w:r>
        <w:t xml:space="preserve">  2010.  </w:t>
      </w:r>
      <w:r w:rsidRPr="009F6029">
        <w:t xml:space="preserve">Progress </w:t>
      </w:r>
      <w:r>
        <w:t>t</w:t>
      </w:r>
      <w:r w:rsidRPr="009F6029">
        <w:t xml:space="preserve">owards </w:t>
      </w:r>
      <w:r>
        <w:t>e</w:t>
      </w:r>
      <w:r w:rsidRPr="009F6029">
        <w:t xml:space="preserve">valuating </w:t>
      </w:r>
      <w:r w:rsidR="00F012E3">
        <w:tab/>
      </w:r>
      <w:r w:rsidRPr="009F6029">
        <w:t xml:space="preserve">the </w:t>
      </w:r>
      <w:r>
        <w:t>s</w:t>
      </w:r>
      <w:r w:rsidRPr="009F6029">
        <w:t xml:space="preserve">ustainability of </w:t>
      </w:r>
      <w:r>
        <w:t>s</w:t>
      </w:r>
      <w:r w:rsidRPr="009F6029">
        <w:t xml:space="preserve">witchgrass as a </w:t>
      </w:r>
      <w:r>
        <w:t>b</w:t>
      </w:r>
      <w:r w:rsidRPr="009F6029">
        <w:t xml:space="preserve">ioenergy </w:t>
      </w:r>
      <w:r>
        <w:t>c</w:t>
      </w:r>
      <w:r w:rsidRPr="009F6029">
        <w:t xml:space="preserve">rop </w:t>
      </w:r>
      <w:r>
        <w:t xml:space="preserve">using the SWAT model.  </w:t>
      </w:r>
      <w:r w:rsidR="00F012E3">
        <w:tab/>
      </w:r>
      <w:r w:rsidR="00984926">
        <w:rPr>
          <w:i/>
        </w:rPr>
        <w:t>Transactions of the ASABE</w:t>
      </w:r>
      <w:r>
        <w:t xml:space="preserve"> </w:t>
      </w:r>
      <w:r w:rsidRPr="00440849">
        <w:rPr>
          <w:b/>
        </w:rPr>
        <w:t>53</w:t>
      </w:r>
      <w:r>
        <w:t>:</w:t>
      </w:r>
      <w:r w:rsidRPr="009F6029">
        <w:t xml:space="preserve"> 1547-1556.</w:t>
      </w:r>
    </w:p>
    <w:p w:rsidR="00CD20B4" w:rsidRPr="00530A75" w:rsidRDefault="003A4E61" w:rsidP="00CD20B4">
      <w:proofErr w:type="gramStart"/>
      <w:r>
        <w:t>Beeson PC</w:t>
      </w:r>
      <w:r w:rsidR="00CD20B4" w:rsidRPr="00530A75">
        <w:t xml:space="preserve">, Doraiswamy PC, Sadeghi AM, Di Luzio M, Tomer MD, Arnold JG, </w:t>
      </w:r>
      <w:r w:rsidR="00F012E3">
        <w:tab/>
      </w:r>
      <w:r w:rsidR="00CD20B4" w:rsidRPr="00530A75">
        <w:t>Daughtry CST.</w:t>
      </w:r>
      <w:proofErr w:type="gramEnd"/>
      <w:r w:rsidR="00CD20B4" w:rsidRPr="00530A75">
        <w:t xml:space="preserve"> 2011. Treatments of precipitation inputs to hydrologic models.  </w:t>
      </w:r>
      <w:r w:rsidR="00F012E3">
        <w:tab/>
      </w:r>
      <w:r w:rsidR="00CD20B4" w:rsidRPr="00530A75">
        <w:rPr>
          <w:i/>
          <w:iCs/>
        </w:rPr>
        <w:t>Transactions of the ASABE</w:t>
      </w:r>
      <w:r w:rsidR="00CD20B4" w:rsidRPr="00530A75">
        <w:t xml:space="preserve"> </w:t>
      </w:r>
      <w:r w:rsidR="00CD20B4" w:rsidRPr="001841D9">
        <w:rPr>
          <w:b/>
          <w:bCs/>
        </w:rPr>
        <w:t>54</w:t>
      </w:r>
      <w:r w:rsidR="00182C99">
        <w:t xml:space="preserve">: 2011-2020.  </w:t>
      </w:r>
    </w:p>
    <w:p w:rsidR="003A4E61" w:rsidRDefault="00CD20B4" w:rsidP="003A4E61">
      <w:r w:rsidRPr="00530A75">
        <w:t xml:space="preserve">Becker, CJ. Runkle D, Rea A.  1997.  </w:t>
      </w:r>
      <w:r w:rsidRPr="00530A75">
        <w:rPr>
          <w:i/>
          <w:iCs/>
        </w:rPr>
        <w:t xml:space="preserve">Digital Data Sets that Describe Aquifer </w:t>
      </w:r>
      <w:r w:rsidR="00F012E3">
        <w:rPr>
          <w:i/>
          <w:iCs/>
        </w:rPr>
        <w:tab/>
      </w:r>
      <w:r w:rsidRPr="00530A75">
        <w:rPr>
          <w:i/>
          <w:iCs/>
        </w:rPr>
        <w:t>Characteristics of the Enid Isolated Terrace Aquifer in Northwestern Oklahoma</w:t>
      </w:r>
      <w:r w:rsidR="0087706B">
        <w:t xml:space="preserve">, </w:t>
      </w:r>
      <w:r w:rsidR="0087706B">
        <w:tab/>
      </w:r>
      <w:r w:rsidR="0087706B" w:rsidRPr="0087706B">
        <w:rPr>
          <w:rStyle w:val="Strong"/>
          <w:b w:val="0"/>
          <w:i/>
        </w:rPr>
        <w:t>U.S. Geological Survey Open-File Report 96-450</w:t>
      </w:r>
      <w:r w:rsidR="0087706B">
        <w:t xml:space="preserve">.  United States Geological </w:t>
      </w:r>
      <w:r w:rsidR="0087706B">
        <w:tab/>
        <w:t>Survey:</w:t>
      </w:r>
      <w:r w:rsidRPr="00530A75">
        <w:t xml:space="preserve"> Oklahoma City.  </w:t>
      </w:r>
    </w:p>
    <w:p w:rsidR="00C6131B" w:rsidRPr="00530A75" w:rsidRDefault="00C6131B" w:rsidP="003A4E61">
      <w:r w:rsidRPr="00530A75">
        <w:t xml:space="preserve">Bronstert A. 2004.  </w:t>
      </w:r>
      <w:proofErr w:type="gramStart"/>
      <w:r w:rsidRPr="00530A75">
        <w:t>Rainfall-runoff modelling for assessing impacts of climate and land-</w:t>
      </w:r>
      <w:r>
        <w:tab/>
      </w:r>
      <w:r w:rsidRPr="00530A75">
        <w:t>use change.</w:t>
      </w:r>
      <w:proofErr w:type="gramEnd"/>
      <w:r w:rsidRPr="00530A75">
        <w:t xml:space="preserve">  </w:t>
      </w:r>
      <w:r w:rsidRPr="00530A75">
        <w:rPr>
          <w:i/>
          <w:iCs/>
        </w:rPr>
        <w:t>Hydrological Processes</w:t>
      </w:r>
      <w:r w:rsidRPr="00530A75">
        <w:t xml:space="preserve"> </w:t>
      </w:r>
      <w:r w:rsidRPr="001841D9">
        <w:rPr>
          <w:b/>
          <w:bCs/>
        </w:rPr>
        <w:t>18</w:t>
      </w:r>
      <w:r w:rsidRPr="00530A75">
        <w:t xml:space="preserve">: 567-570.  DOI: </w:t>
      </w:r>
      <w:r w:rsidR="00BE288B">
        <w:tab/>
        <w:t>1</w:t>
      </w:r>
      <w:r w:rsidRPr="001841D9">
        <w:rPr>
          <w:shd w:val="clear" w:color="auto" w:fill="FFFFFF"/>
        </w:rPr>
        <w:t>0.1002/0470848944.hsa139.</w:t>
      </w:r>
    </w:p>
    <w:p w:rsidR="00E16125" w:rsidRPr="00182C99" w:rsidRDefault="00E16125" w:rsidP="00E16125">
      <w:pPr>
        <w:rPr>
          <w:shd w:val="clear" w:color="auto" w:fill="EFEFEF"/>
        </w:rPr>
      </w:pPr>
      <w:r w:rsidRPr="00530A75">
        <w:t>Brown C.</w:t>
      </w:r>
      <w:r>
        <w:t xml:space="preserve">  </w:t>
      </w:r>
      <w:r w:rsidRPr="00530A75">
        <w:t xml:space="preserve">2010.  The End of Reliability, </w:t>
      </w:r>
      <w:r w:rsidRPr="00530A75">
        <w:rPr>
          <w:i/>
          <w:iCs/>
        </w:rPr>
        <w:t xml:space="preserve">Journal of Water Resources Planning and </w:t>
      </w:r>
      <w:r>
        <w:rPr>
          <w:i/>
          <w:iCs/>
        </w:rPr>
        <w:tab/>
      </w:r>
      <w:r w:rsidRPr="00530A75">
        <w:rPr>
          <w:i/>
          <w:iCs/>
        </w:rPr>
        <w:t xml:space="preserve">Management (ASCE) </w:t>
      </w:r>
      <w:r w:rsidRPr="001841D9">
        <w:rPr>
          <w:b/>
          <w:bCs/>
        </w:rPr>
        <w:t>36</w:t>
      </w:r>
      <w:r w:rsidRPr="00530A75">
        <w:t>: 143-145.  DOI: 10.1061</w:t>
      </w:r>
      <w:proofErr w:type="gramStart"/>
      <w:r w:rsidRPr="00530A75">
        <w:t>/(</w:t>
      </w:r>
      <w:proofErr w:type="gramEnd"/>
      <w:r w:rsidRPr="00530A75">
        <w:t xml:space="preserve">ASCE)WR.1943-5452.65.  </w:t>
      </w:r>
    </w:p>
    <w:p w:rsidR="00CD20B4" w:rsidRPr="001841D9" w:rsidRDefault="00CD20B4" w:rsidP="00CD20B4">
      <w:pPr>
        <w:rPr>
          <w:rFonts w:eastAsia="Arial Unicode MS"/>
          <w:shd w:val="clear" w:color="auto" w:fill="FFFFFF"/>
        </w:rPr>
      </w:pPr>
      <w:r w:rsidRPr="001841D9">
        <w:rPr>
          <w:rFonts w:eastAsia="Arial Unicode MS"/>
          <w:shd w:val="clear" w:color="auto" w:fill="FFFFFF"/>
        </w:rPr>
        <w:lastRenderedPageBreak/>
        <w:t xml:space="preserve">Collins WD, Bitz CM, Blackmon ML, Bonan GB, Bretherton CS, Carton JA, Chang P, </w:t>
      </w:r>
      <w:r w:rsidR="00F012E3">
        <w:rPr>
          <w:rFonts w:eastAsia="Arial Unicode MS"/>
          <w:shd w:val="clear" w:color="auto" w:fill="FFFFFF"/>
        </w:rPr>
        <w:tab/>
      </w:r>
      <w:r w:rsidRPr="001841D9">
        <w:rPr>
          <w:rFonts w:eastAsia="Arial Unicode MS"/>
          <w:shd w:val="clear" w:color="auto" w:fill="FFFFFF"/>
        </w:rPr>
        <w:t xml:space="preserve">Doney SC, Hack JJ, Henderson TB, Kiehl JT, Large WG., McKenna DS, Santer </w:t>
      </w:r>
      <w:r w:rsidR="00F012E3">
        <w:rPr>
          <w:rFonts w:eastAsia="Arial Unicode MS"/>
          <w:shd w:val="clear" w:color="auto" w:fill="FFFFFF"/>
        </w:rPr>
        <w:tab/>
      </w:r>
      <w:r w:rsidRPr="001841D9">
        <w:rPr>
          <w:rFonts w:eastAsia="Arial Unicode MS"/>
          <w:shd w:val="clear" w:color="auto" w:fill="FFFFFF"/>
        </w:rPr>
        <w:t>BD, Smith RD.</w:t>
      </w:r>
      <w:r>
        <w:rPr>
          <w:rFonts w:eastAsia="Arial Unicode MS"/>
          <w:shd w:val="clear" w:color="auto" w:fill="FFFFFF"/>
        </w:rPr>
        <w:t xml:space="preserve">  </w:t>
      </w:r>
      <w:r w:rsidRPr="001841D9">
        <w:rPr>
          <w:rFonts w:eastAsia="Arial Unicode MS"/>
          <w:shd w:val="clear" w:color="auto" w:fill="FFFFFF"/>
        </w:rPr>
        <w:t xml:space="preserve">2006.  The Community Climate System Model Version 3 </w:t>
      </w:r>
      <w:r w:rsidR="00F012E3">
        <w:rPr>
          <w:rFonts w:eastAsia="Arial Unicode MS"/>
          <w:shd w:val="clear" w:color="auto" w:fill="FFFFFF"/>
        </w:rPr>
        <w:tab/>
      </w:r>
      <w:r w:rsidRPr="001841D9">
        <w:rPr>
          <w:rFonts w:eastAsia="Arial Unicode MS"/>
          <w:shd w:val="clear" w:color="auto" w:fill="FFFFFF"/>
        </w:rPr>
        <w:t>(CCSM3)</w:t>
      </w:r>
      <w:r>
        <w:rPr>
          <w:rFonts w:eastAsia="Arial Unicode MS"/>
          <w:shd w:val="clear" w:color="auto" w:fill="FFFFFF"/>
        </w:rPr>
        <w:t xml:space="preserve">.  </w:t>
      </w:r>
      <w:r w:rsidRPr="001841D9">
        <w:rPr>
          <w:rFonts w:eastAsia="Arial Unicode MS"/>
          <w:i/>
          <w:iCs/>
          <w:shd w:val="clear" w:color="auto" w:fill="FFFFFF"/>
        </w:rPr>
        <w:t>Journal of Climate</w:t>
      </w:r>
      <w:r w:rsidRPr="001841D9">
        <w:rPr>
          <w:rFonts w:eastAsia="Arial Unicode MS"/>
          <w:shd w:val="clear" w:color="auto" w:fill="FFFFFF"/>
        </w:rPr>
        <w:t xml:space="preserve"> </w:t>
      </w:r>
      <w:r w:rsidRPr="001841D9">
        <w:rPr>
          <w:rFonts w:eastAsia="Arial Unicode MS"/>
          <w:b/>
          <w:bCs/>
          <w:shd w:val="clear" w:color="auto" w:fill="FFFFFF"/>
        </w:rPr>
        <w:t>19</w:t>
      </w:r>
      <w:r w:rsidRPr="001841D9">
        <w:rPr>
          <w:rFonts w:eastAsia="Arial Unicode MS"/>
          <w:shd w:val="clear" w:color="auto" w:fill="FFFFFF"/>
        </w:rPr>
        <w:t>: 2122</w:t>
      </w:r>
      <w:r w:rsidR="00182C99">
        <w:rPr>
          <w:rFonts w:eastAsia="Arial Unicode MS"/>
          <w:shd w:val="clear" w:color="auto" w:fill="FFFFFF"/>
        </w:rPr>
        <w:t>-2143.  DOI: 10.1175/JCLI3761.1</w:t>
      </w:r>
    </w:p>
    <w:p w:rsidR="00CD20B4" w:rsidRPr="001841D9" w:rsidRDefault="00CD20B4" w:rsidP="00CD20B4">
      <w:pPr>
        <w:rPr>
          <w:rFonts w:eastAsia="Arial Unicode MS"/>
          <w:shd w:val="clear" w:color="auto" w:fill="FFFFFF"/>
        </w:rPr>
      </w:pPr>
      <w:proofErr w:type="gramStart"/>
      <w:r w:rsidRPr="001841D9">
        <w:rPr>
          <w:rFonts w:eastAsia="Arial Unicode MS"/>
          <w:shd w:val="clear" w:color="auto" w:fill="FFFFFF"/>
        </w:rPr>
        <w:t>C</w:t>
      </w:r>
      <w:r w:rsidR="003A4E61">
        <w:rPr>
          <w:rFonts w:eastAsia="Arial Unicode MS"/>
          <w:shd w:val="clear" w:color="auto" w:fill="FFFFFF"/>
        </w:rPr>
        <w:t>rum</w:t>
      </w:r>
      <w:r w:rsidR="00BE2DDB">
        <w:rPr>
          <w:rFonts w:eastAsia="Arial Unicode MS"/>
          <w:shd w:val="clear" w:color="auto" w:fill="FFFFFF"/>
        </w:rPr>
        <w:t xml:space="preserve"> TD, Saffle RE, Wilson JW.</w:t>
      </w:r>
      <w:proofErr w:type="gramEnd"/>
      <w:r w:rsidR="00BE2DDB">
        <w:rPr>
          <w:rFonts w:eastAsia="Arial Unicode MS"/>
          <w:shd w:val="clear" w:color="auto" w:fill="FFFFFF"/>
        </w:rPr>
        <w:t xml:space="preserve">  </w:t>
      </w:r>
      <w:r w:rsidRPr="001841D9">
        <w:rPr>
          <w:rFonts w:eastAsia="Arial Unicode MS"/>
          <w:shd w:val="clear" w:color="auto" w:fill="FFFFFF"/>
        </w:rPr>
        <w:t xml:space="preserve">1998.  An Update on the NEXRAD program and </w:t>
      </w:r>
      <w:r w:rsidR="00F012E3">
        <w:rPr>
          <w:rFonts w:eastAsia="Arial Unicode MS"/>
          <w:shd w:val="clear" w:color="auto" w:fill="FFFFFF"/>
        </w:rPr>
        <w:tab/>
      </w:r>
      <w:r w:rsidRPr="001841D9">
        <w:rPr>
          <w:rFonts w:eastAsia="Arial Unicode MS"/>
          <w:shd w:val="clear" w:color="auto" w:fill="FFFFFF"/>
        </w:rPr>
        <w:t xml:space="preserve">future </w:t>
      </w:r>
      <w:r w:rsidRPr="001841D9">
        <w:rPr>
          <w:rFonts w:eastAsia="Arial Unicode MS"/>
          <w:shd w:val="clear" w:color="auto" w:fill="FFFFFF"/>
        </w:rPr>
        <w:tab/>
        <w:t xml:space="preserve">WSR-88D support to operations. </w:t>
      </w:r>
      <w:r w:rsidRPr="001841D9">
        <w:rPr>
          <w:rFonts w:eastAsia="Arial Unicode MS"/>
          <w:i/>
          <w:iCs/>
          <w:shd w:val="clear" w:color="auto" w:fill="FFFFFF"/>
        </w:rPr>
        <w:t>Weather and Forecastin</w:t>
      </w:r>
      <w:r w:rsidRPr="001841D9">
        <w:rPr>
          <w:rFonts w:eastAsia="Arial Unicode MS"/>
          <w:shd w:val="clear" w:color="auto" w:fill="FFFFFF"/>
        </w:rPr>
        <w:t xml:space="preserve">g </w:t>
      </w:r>
      <w:r w:rsidRPr="001841D9">
        <w:rPr>
          <w:rFonts w:eastAsia="Arial Unicode MS"/>
          <w:b/>
          <w:bCs/>
          <w:shd w:val="clear" w:color="auto" w:fill="FFFFFF"/>
        </w:rPr>
        <w:t>13</w:t>
      </w:r>
      <w:r w:rsidRPr="001841D9">
        <w:rPr>
          <w:rFonts w:eastAsia="Arial Unicode MS"/>
          <w:shd w:val="clear" w:color="auto" w:fill="FFFFFF"/>
        </w:rPr>
        <w:t xml:space="preserve">: 253-262.  </w:t>
      </w:r>
      <w:r w:rsidR="00F012E3">
        <w:rPr>
          <w:rFonts w:eastAsia="Arial Unicode MS"/>
          <w:shd w:val="clear" w:color="auto" w:fill="FFFFFF"/>
        </w:rPr>
        <w:tab/>
      </w:r>
      <w:r w:rsidRPr="001841D9">
        <w:rPr>
          <w:rFonts w:eastAsia="Arial Unicode MS"/>
          <w:shd w:val="clear" w:color="auto" w:fill="FFFFFF"/>
        </w:rPr>
        <w:t xml:space="preserve">DOI: </w:t>
      </w:r>
      <w:r w:rsidRPr="001841D9">
        <w:t>10.1175/1520-0434(1998)013&lt;0253</w:t>
      </w:r>
      <w:proofErr w:type="gramStart"/>
      <w:r w:rsidRPr="001841D9">
        <w:t>:AUOTNP</w:t>
      </w:r>
      <w:proofErr w:type="gramEnd"/>
      <w:r w:rsidRPr="001841D9">
        <w:t>&gt;2.0.CO;2.</w:t>
      </w:r>
    </w:p>
    <w:p w:rsidR="00CD20B4" w:rsidRPr="001841D9" w:rsidRDefault="00CD20B4" w:rsidP="00CD20B4">
      <w:pPr>
        <w:rPr>
          <w:rFonts w:eastAsia="Arial Unicode MS"/>
          <w:shd w:val="clear" w:color="auto" w:fill="FFFFFF"/>
        </w:rPr>
      </w:pPr>
      <w:r w:rsidRPr="001841D9">
        <w:rPr>
          <w:rFonts w:eastAsia="Arial Unicode MS"/>
          <w:shd w:val="clear" w:color="auto" w:fill="FFFFFF"/>
        </w:rPr>
        <w:t>Delworth</w:t>
      </w:r>
      <w:r>
        <w:rPr>
          <w:rFonts w:eastAsia="Arial Unicode MS"/>
          <w:shd w:val="clear" w:color="auto" w:fill="FFFFFF"/>
        </w:rPr>
        <w:t xml:space="preserve"> </w:t>
      </w:r>
      <w:proofErr w:type="gramStart"/>
      <w:r w:rsidRPr="001841D9">
        <w:rPr>
          <w:rFonts w:eastAsia="Arial Unicode MS"/>
          <w:shd w:val="clear" w:color="auto" w:fill="FFFFFF"/>
        </w:rPr>
        <w:t>TL.,</w:t>
      </w:r>
      <w:proofErr w:type="gramEnd"/>
      <w:r w:rsidRPr="001841D9">
        <w:rPr>
          <w:rFonts w:eastAsia="Arial Unicode MS"/>
          <w:shd w:val="clear" w:color="auto" w:fill="FFFFFF"/>
        </w:rPr>
        <w:t xml:space="preserve"> </w:t>
      </w:r>
      <w:r w:rsidRPr="00745C65">
        <w:rPr>
          <w:rFonts w:eastAsia="Arial Unicode MS"/>
          <w:i/>
          <w:iCs/>
          <w:shd w:val="clear" w:color="auto" w:fill="FFFFFF"/>
        </w:rPr>
        <w:t>et al.</w:t>
      </w:r>
      <w:r w:rsidRPr="00745C65">
        <w:rPr>
          <w:rFonts w:eastAsia="Arial Unicode MS"/>
          <w:shd w:val="clear" w:color="auto" w:fill="FFFFFF"/>
        </w:rPr>
        <w:t xml:space="preserve">, </w:t>
      </w:r>
      <w:r>
        <w:rPr>
          <w:rFonts w:eastAsia="Arial Unicode MS"/>
          <w:shd w:val="clear" w:color="auto" w:fill="FFFFFF"/>
        </w:rPr>
        <w:t xml:space="preserve"> </w:t>
      </w:r>
      <w:r w:rsidRPr="001841D9">
        <w:rPr>
          <w:rFonts w:eastAsia="Arial Unicode MS"/>
          <w:shd w:val="clear" w:color="auto" w:fill="FFFFFF"/>
        </w:rPr>
        <w:t>2006</w:t>
      </w:r>
      <w:r>
        <w:rPr>
          <w:rFonts w:eastAsia="Arial Unicode MS"/>
          <w:shd w:val="clear" w:color="auto" w:fill="FFFFFF"/>
        </w:rPr>
        <w:t xml:space="preserve">.  </w:t>
      </w:r>
      <w:r w:rsidRPr="001841D9">
        <w:rPr>
          <w:rFonts w:eastAsia="Arial Unicode MS"/>
          <w:shd w:val="clear" w:color="auto" w:fill="FFFFFF"/>
        </w:rPr>
        <w:t xml:space="preserve">GFDL's CM2 Global coupled climate </w:t>
      </w:r>
      <w:r>
        <w:rPr>
          <w:rFonts w:eastAsia="Arial Unicode MS"/>
          <w:shd w:val="clear" w:color="auto" w:fill="FFFFFF"/>
        </w:rPr>
        <w:t>m</w:t>
      </w:r>
      <w:r w:rsidRPr="001841D9">
        <w:rPr>
          <w:rFonts w:eastAsia="Arial Unicode MS"/>
          <w:shd w:val="clear" w:color="auto" w:fill="FFFFFF"/>
        </w:rPr>
        <w:t xml:space="preserve">odels. </w:t>
      </w:r>
      <w:proofErr w:type="gramStart"/>
      <w:r w:rsidRPr="001841D9">
        <w:rPr>
          <w:rFonts w:eastAsia="Arial Unicode MS"/>
          <w:shd w:val="clear" w:color="auto" w:fill="FFFFFF"/>
        </w:rPr>
        <w:t>part</w:t>
      </w:r>
      <w:proofErr w:type="gramEnd"/>
      <w:r w:rsidRPr="001841D9">
        <w:rPr>
          <w:rFonts w:eastAsia="Arial Unicode MS"/>
          <w:shd w:val="clear" w:color="auto" w:fill="FFFFFF"/>
        </w:rPr>
        <w:t xml:space="preserve"> I: </w:t>
      </w:r>
      <w:r w:rsidR="00F012E3">
        <w:rPr>
          <w:rFonts w:eastAsia="Arial Unicode MS"/>
          <w:shd w:val="clear" w:color="auto" w:fill="FFFFFF"/>
        </w:rPr>
        <w:tab/>
      </w:r>
      <w:r w:rsidRPr="001841D9">
        <w:rPr>
          <w:rFonts w:eastAsia="Arial Unicode MS"/>
          <w:shd w:val="clear" w:color="auto" w:fill="FFFFFF"/>
        </w:rPr>
        <w:t>formulation and s</w:t>
      </w:r>
      <w:r>
        <w:rPr>
          <w:rFonts w:eastAsia="Arial Unicode MS"/>
          <w:shd w:val="clear" w:color="auto" w:fill="FFFFFF"/>
        </w:rPr>
        <w:t xml:space="preserve">imulation </w:t>
      </w:r>
      <w:r w:rsidRPr="001841D9">
        <w:rPr>
          <w:rFonts w:eastAsia="Arial Unicode MS"/>
          <w:shd w:val="clear" w:color="auto" w:fill="FFFFFF"/>
        </w:rPr>
        <w:t xml:space="preserve">characteristics. </w:t>
      </w:r>
      <w:r>
        <w:rPr>
          <w:rFonts w:eastAsia="Arial Unicode MS"/>
          <w:i/>
          <w:iCs/>
          <w:shd w:val="clear" w:color="auto" w:fill="FFFFFF"/>
        </w:rPr>
        <w:t>Journal of Climate</w:t>
      </w:r>
      <w:r w:rsidRPr="001841D9">
        <w:rPr>
          <w:rFonts w:eastAsia="Arial Unicode MS"/>
          <w:shd w:val="clear" w:color="auto" w:fill="FFFFFF"/>
        </w:rPr>
        <w:t xml:space="preserve"> </w:t>
      </w:r>
      <w:r w:rsidRPr="001841D9">
        <w:rPr>
          <w:rFonts w:eastAsia="Arial Unicode MS"/>
          <w:b/>
          <w:bCs/>
          <w:shd w:val="clear" w:color="auto" w:fill="FFFFFF"/>
        </w:rPr>
        <w:t>19</w:t>
      </w:r>
      <w:r>
        <w:rPr>
          <w:rFonts w:eastAsia="Arial Unicode MS"/>
          <w:shd w:val="clear" w:color="auto" w:fill="FFFFFF"/>
        </w:rPr>
        <w:t xml:space="preserve">: </w:t>
      </w:r>
      <w:r w:rsidRPr="001841D9">
        <w:rPr>
          <w:rFonts w:eastAsia="Arial Unicode MS"/>
          <w:shd w:val="clear" w:color="auto" w:fill="FFFFFF"/>
        </w:rPr>
        <w:t>643-674</w:t>
      </w:r>
      <w:r>
        <w:rPr>
          <w:rFonts w:eastAsia="Arial Unicode MS"/>
          <w:shd w:val="clear" w:color="auto" w:fill="FFFFFF"/>
        </w:rPr>
        <w:t xml:space="preserve">.  </w:t>
      </w:r>
      <w:r w:rsidR="00F012E3">
        <w:rPr>
          <w:rFonts w:eastAsia="Arial Unicode MS"/>
          <w:shd w:val="clear" w:color="auto" w:fill="FFFFFF"/>
        </w:rPr>
        <w:tab/>
      </w:r>
      <w:r>
        <w:rPr>
          <w:rFonts w:eastAsia="Arial Unicode MS"/>
          <w:shd w:val="clear" w:color="auto" w:fill="FFFFFF"/>
        </w:rPr>
        <w:t xml:space="preserve">DOI: </w:t>
      </w:r>
      <w:r w:rsidRPr="00816F60">
        <w:rPr>
          <w:shd w:val="clear" w:color="auto" w:fill="FFFFFF"/>
        </w:rPr>
        <w:t>10.1175/JCLI3629.1</w:t>
      </w:r>
      <w:r w:rsidRPr="001841D9">
        <w:t>.</w:t>
      </w:r>
    </w:p>
    <w:p w:rsidR="00CD20B4" w:rsidRPr="00182C99" w:rsidRDefault="00CD20B4" w:rsidP="00CD20B4">
      <w:pPr>
        <w:rPr>
          <w:shd w:val="clear" w:color="auto" w:fill="FFFFFF"/>
        </w:rPr>
      </w:pPr>
      <w:r w:rsidRPr="001841D9">
        <w:rPr>
          <w:rFonts w:eastAsia="Arial Unicode MS"/>
          <w:shd w:val="clear" w:color="auto" w:fill="FFFFFF"/>
        </w:rPr>
        <w:t xml:space="preserve">Demissie Y, Yan E, Wu M.  2012.  Assessing regional hydrology and water quality </w:t>
      </w:r>
      <w:r w:rsidR="00F012E3">
        <w:rPr>
          <w:rFonts w:eastAsia="Arial Unicode MS"/>
          <w:shd w:val="clear" w:color="auto" w:fill="FFFFFF"/>
        </w:rPr>
        <w:tab/>
      </w:r>
      <w:r w:rsidRPr="001841D9">
        <w:rPr>
          <w:rFonts w:eastAsia="Arial Unicode MS"/>
          <w:shd w:val="clear" w:color="auto" w:fill="FFFFFF"/>
        </w:rPr>
        <w:t xml:space="preserve">implications of large-scale biofuel feedstock production in the Upper </w:t>
      </w:r>
      <w:r w:rsidR="00F012E3">
        <w:rPr>
          <w:rFonts w:eastAsia="Arial Unicode MS"/>
          <w:shd w:val="clear" w:color="auto" w:fill="FFFFFF"/>
        </w:rPr>
        <w:tab/>
      </w:r>
      <w:r w:rsidRPr="001841D9">
        <w:rPr>
          <w:rFonts w:eastAsia="Arial Unicode MS"/>
          <w:shd w:val="clear" w:color="auto" w:fill="FFFFFF"/>
        </w:rPr>
        <w:t>Mississippi River Basin</w:t>
      </w:r>
      <w:r>
        <w:rPr>
          <w:rFonts w:eastAsia="Arial Unicode MS"/>
          <w:shd w:val="clear" w:color="auto" w:fill="FFFFFF"/>
        </w:rPr>
        <w:t xml:space="preserve">.  </w:t>
      </w:r>
      <w:r w:rsidRPr="001841D9">
        <w:rPr>
          <w:rFonts w:eastAsia="Arial Unicode MS"/>
          <w:i/>
          <w:iCs/>
          <w:shd w:val="clear" w:color="auto" w:fill="FFFFFF"/>
        </w:rPr>
        <w:t>Environmental Science &amp; Technology</w:t>
      </w:r>
      <w:r w:rsidRPr="001841D9">
        <w:rPr>
          <w:rFonts w:eastAsia="Arial Unicode MS"/>
          <w:shd w:val="clear" w:color="auto" w:fill="FFFFFF"/>
        </w:rPr>
        <w:t xml:space="preserve"> </w:t>
      </w:r>
      <w:r w:rsidRPr="001841D9">
        <w:rPr>
          <w:rFonts w:eastAsia="Arial Unicode MS"/>
          <w:b/>
          <w:bCs/>
          <w:shd w:val="clear" w:color="auto" w:fill="FFFFFF"/>
        </w:rPr>
        <w:t>46</w:t>
      </w:r>
      <w:r w:rsidRPr="001841D9">
        <w:rPr>
          <w:rFonts w:eastAsia="Arial Unicode MS"/>
          <w:shd w:val="clear" w:color="auto" w:fill="FFFFFF"/>
        </w:rPr>
        <w:t xml:space="preserve">: 9174-9182.  </w:t>
      </w:r>
      <w:r w:rsidR="00F012E3">
        <w:rPr>
          <w:rFonts w:eastAsia="Arial Unicode MS"/>
          <w:shd w:val="clear" w:color="auto" w:fill="FFFFFF"/>
        </w:rPr>
        <w:tab/>
      </w:r>
      <w:r w:rsidRPr="001841D9">
        <w:rPr>
          <w:rFonts w:eastAsia="Arial Unicode MS"/>
          <w:shd w:val="clear" w:color="auto" w:fill="FFFFFF"/>
        </w:rPr>
        <w:t>DOI:</w:t>
      </w:r>
      <w:r>
        <w:rPr>
          <w:rFonts w:eastAsia="Arial Unicode MS"/>
          <w:shd w:val="clear" w:color="auto" w:fill="FFFFFF"/>
        </w:rPr>
        <w:t xml:space="preserve"> </w:t>
      </w:r>
      <w:r w:rsidRPr="001841D9">
        <w:rPr>
          <w:shd w:val="clear" w:color="auto" w:fill="FFFFFF"/>
        </w:rPr>
        <w:t>10.1021/es300769k.</w:t>
      </w:r>
    </w:p>
    <w:p w:rsidR="00EF7007" w:rsidRDefault="00CD20B4" w:rsidP="00CD20B4">
      <w:pPr>
        <w:rPr>
          <w:shd w:val="clear" w:color="auto" w:fill="FFFFFF"/>
        </w:rPr>
      </w:pPr>
      <w:proofErr w:type="gramStart"/>
      <w:r w:rsidRPr="001841D9">
        <w:rPr>
          <w:rFonts w:eastAsia="Arial Unicode MS"/>
          <w:shd w:val="clear" w:color="auto" w:fill="FFFFFF"/>
        </w:rPr>
        <w:t>Deser C, Knutti R, Solomon S, Phillips AS.</w:t>
      </w:r>
      <w:proofErr w:type="gramEnd"/>
      <w:r w:rsidRPr="001841D9">
        <w:rPr>
          <w:rFonts w:eastAsia="Arial Unicode MS"/>
          <w:shd w:val="clear" w:color="auto" w:fill="FFFFFF"/>
        </w:rPr>
        <w:t xml:space="preserve">  2012.  Communication of the role of </w:t>
      </w:r>
      <w:r w:rsidR="00F012E3">
        <w:rPr>
          <w:rFonts w:eastAsia="Arial Unicode MS"/>
          <w:shd w:val="clear" w:color="auto" w:fill="FFFFFF"/>
        </w:rPr>
        <w:tab/>
      </w:r>
      <w:r w:rsidRPr="001841D9">
        <w:rPr>
          <w:rFonts w:eastAsia="Arial Unicode MS"/>
          <w:shd w:val="clear" w:color="auto" w:fill="FFFFFF"/>
        </w:rPr>
        <w:t xml:space="preserve">natural variability in future North American climate. </w:t>
      </w:r>
      <w:r w:rsidRPr="001841D9">
        <w:rPr>
          <w:rFonts w:eastAsia="Arial Unicode MS"/>
          <w:i/>
          <w:iCs/>
          <w:shd w:val="clear" w:color="auto" w:fill="FFFFFF"/>
        </w:rPr>
        <w:t>Nature Climate Change</w:t>
      </w:r>
      <w:r w:rsidRPr="001841D9">
        <w:rPr>
          <w:rFonts w:eastAsia="Arial Unicode MS"/>
          <w:shd w:val="clear" w:color="auto" w:fill="FFFFFF"/>
        </w:rPr>
        <w:t xml:space="preserve"> </w:t>
      </w:r>
      <w:r w:rsidRPr="001841D9">
        <w:rPr>
          <w:rFonts w:eastAsia="Arial Unicode MS"/>
          <w:b/>
          <w:bCs/>
          <w:shd w:val="clear" w:color="auto" w:fill="FFFFFF"/>
        </w:rPr>
        <w:t xml:space="preserve">2: </w:t>
      </w:r>
      <w:r w:rsidR="00F012E3">
        <w:rPr>
          <w:rFonts w:eastAsia="Arial Unicode MS"/>
          <w:b/>
          <w:bCs/>
          <w:shd w:val="clear" w:color="auto" w:fill="FFFFFF"/>
        </w:rPr>
        <w:tab/>
      </w:r>
      <w:r w:rsidRPr="001841D9">
        <w:rPr>
          <w:rFonts w:eastAsia="Arial Unicode MS"/>
          <w:shd w:val="clear" w:color="auto" w:fill="FFFFFF"/>
        </w:rPr>
        <w:t xml:space="preserve">775-779.  DOI: </w:t>
      </w:r>
      <w:r w:rsidRPr="001841D9">
        <w:rPr>
          <w:shd w:val="clear" w:color="auto" w:fill="FFFFFF"/>
        </w:rPr>
        <w:t>10.1038/nclimate1562.</w:t>
      </w:r>
    </w:p>
    <w:p w:rsidR="00EF7007" w:rsidRPr="00891428" w:rsidRDefault="00EF7007" w:rsidP="00EF7007">
      <w:pPr>
        <w:rPr>
          <w:shd w:val="clear" w:color="auto" w:fill="FFFFFF"/>
        </w:rPr>
      </w:pPr>
      <w:r>
        <w:rPr>
          <w:shd w:val="clear" w:color="auto" w:fill="FFFFFF"/>
        </w:rPr>
        <w:t>Diansky, NA, Volodin EM.  2002.  Simulation of present-day climate with a coupled</w:t>
      </w:r>
      <w:r w:rsidR="00891428">
        <w:rPr>
          <w:shd w:val="clear" w:color="auto" w:fill="FFFFFF"/>
        </w:rPr>
        <w:t xml:space="preserve"> </w:t>
      </w:r>
      <w:r w:rsidR="00891428">
        <w:rPr>
          <w:shd w:val="clear" w:color="auto" w:fill="FFFFFF"/>
        </w:rPr>
        <w:tab/>
        <w:t>a</w:t>
      </w:r>
      <w:r>
        <w:rPr>
          <w:shd w:val="clear" w:color="auto" w:fill="FFFFFF"/>
        </w:rPr>
        <w:t xml:space="preserve">tmosphere-ocean general circulation model.  </w:t>
      </w:r>
      <w:r>
        <w:rPr>
          <w:i/>
          <w:shd w:val="clear" w:color="auto" w:fill="FFFFFF"/>
        </w:rPr>
        <w:t xml:space="preserve">Izvestiya, Atmospheric and </w:t>
      </w:r>
      <w:r w:rsidR="00891428">
        <w:rPr>
          <w:i/>
          <w:shd w:val="clear" w:color="auto" w:fill="FFFFFF"/>
        </w:rPr>
        <w:tab/>
      </w:r>
      <w:r>
        <w:rPr>
          <w:i/>
          <w:shd w:val="clear" w:color="auto" w:fill="FFFFFF"/>
        </w:rPr>
        <w:t>Oceanic Physics</w:t>
      </w:r>
      <w:r>
        <w:rPr>
          <w:shd w:val="clear" w:color="auto" w:fill="FFFFFF"/>
        </w:rPr>
        <w:t xml:space="preserve"> </w:t>
      </w:r>
      <w:r w:rsidRPr="00EF7007">
        <w:rPr>
          <w:b/>
          <w:shd w:val="clear" w:color="auto" w:fill="FFFFFF"/>
        </w:rPr>
        <w:t>38</w:t>
      </w:r>
      <w:r w:rsidRPr="00EF7007">
        <w:rPr>
          <w:shd w:val="clear" w:color="auto" w:fill="FFFFFF"/>
        </w:rPr>
        <w:t>: 732-747.</w:t>
      </w:r>
    </w:p>
    <w:p w:rsidR="00CD20B4" w:rsidRPr="00530A75" w:rsidRDefault="00CD20B4" w:rsidP="00CD20B4">
      <w:r w:rsidRPr="00530A75">
        <w:t xml:space="preserve">Djomo SN, Ceulemans, R.  2012.  A comparative analysis of the carbon intensity of </w:t>
      </w:r>
      <w:r w:rsidR="00F012E3">
        <w:tab/>
      </w:r>
      <w:r w:rsidRPr="00530A75">
        <w:t xml:space="preserve">biofuels caused by land use changes.  </w:t>
      </w:r>
      <w:proofErr w:type="gramStart"/>
      <w:r w:rsidRPr="00530A75">
        <w:rPr>
          <w:i/>
          <w:iCs/>
        </w:rPr>
        <w:t>Global Change Biology Bioenergy</w:t>
      </w:r>
      <w:r w:rsidRPr="00530A75">
        <w:t xml:space="preserve"> </w:t>
      </w:r>
      <w:r w:rsidRPr="001841D9">
        <w:rPr>
          <w:b/>
          <w:bCs/>
        </w:rPr>
        <w:t>4</w:t>
      </w:r>
      <w:r w:rsidRPr="00530A75">
        <w:t>: 392-</w:t>
      </w:r>
      <w:r w:rsidR="00F012E3">
        <w:tab/>
      </w:r>
      <w:r w:rsidRPr="00530A75">
        <w:t>407.</w:t>
      </w:r>
      <w:proofErr w:type="gramEnd"/>
      <w:r w:rsidRPr="00530A75">
        <w:t xml:space="preserve">  DOI: </w:t>
      </w:r>
      <w:r w:rsidRPr="001841D9">
        <w:rPr>
          <w:shd w:val="clear" w:color="auto" w:fill="FFFFFF"/>
        </w:rPr>
        <w:t>10.1111/j.1757-1707.2012.01176.x.</w:t>
      </w:r>
    </w:p>
    <w:p w:rsidR="00CD20B4" w:rsidRPr="00182C99" w:rsidRDefault="00CD20B4" w:rsidP="00CD20B4">
      <w:pPr>
        <w:rPr>
          <w:shd w:val="clear" w:color="auto" w:fill="FFFFFF"/>
        </w:rPr>
      </w:pPr>
      <w:r w:rsidRPr="00530A75">
        <w:t xml:space="preserve">Flato, GM, Boer GJ.  2001.  Warming asymmetry in climate change simulations, </w:t>
      </w:r>
      <w:r w:rsidR="00F012E3">
        <w:tab/>
      </w:r>
      <w:r w:rsidRPr="00530A75">
        <w:rPr>
          <w:i/>
          <w:iCs/>
        </w:rPr>
        <w:t xml:space="preserve">Geophysical Research Letters </w:t>
      </w:r>
      <w:r w:rsidRPr="001841D9">
        <w:rPr>
          <w:b/>
          <w:bCs/>
        </w:rPr>
        <w:t>28</w:t>
      </w:r>
      <w:r w:rsidRPr="00530A75">
        <w:t xml:space="preserve">: 195-198.  DOI: </w:t>
      </w:r>
      <w:r w:rsidRPr="001841D9">
        <w:rPr>
          <w:shd w:val="clear" w:color="auto" w:fill="FFFFFF"/>
        </w:rPr>
        <w:t>10.1029/2000GL012121.</w:t>
      </w:r>
    </w:p>
    <w:p w:rsidR="00CD20B4" w:rsidRPr="00530A75" w:rsidRDefault="00CD20B4" w:rsidP="00CD20B4">
      <w:r w:rsidRPr="00530A75">
        <w:t xml:space="preserve">Franczyk J, Chang H.  2009.  The Effects of climate change and urbanization on the </w:t>
      </w:r>
      <w:r w:rsidR="00F012E3">
        <w:tab/>
      </w:r>
      <w:r w:rsidRPr="00530A75">
        <w:t xml:space="preserve">runoff of the Rock Creek basin in the Portland metropolitan area, Oregon, USA.  </w:t>
      </w:r>
      <w:r w:rsidR="00F012E3">
        <w:tab/>
      </w:r>
      <w:r w:rsidRPr="00530A75">
        <w:rPr>
          <w:i/>
          <w:iCs/>
        </w:rPr>
        <w:t>Hydrological Processes</w:t>
      </w:r>
      <w:r w:rsidRPr="00530A75">
        <w:t xml:space="preserve"> </w:t>
      </w:r>
      <w:r w:rsidRPr="001841D9">
        <w:rPr>
          <w:b/>
          <w:bCs/>
        </w:rPr>
        <w:t>23</w:t>
      </w:r>
      <w:r w:rsidRPr="00530A75">
        <w:t xml:space="preserve">: 805-815.  DOI: </w:t>
      </w:r>
      <w:r w:rsidRPr="001841D9">
        <w:rPr>
          <w:shd w:val="clear" w:color="auto" w:fill="FFFFFF"/>
        </w:rPr>
        <w:t>10.1002/hyp.7176.</w:t>
      </w:r>
    </w:p>
    <w:p w:rsidR="00CD20B4" w:rsidRPr="00530A75" w:rsidRDefault="00CD20B4" w:rsidP="00CD20B4">
      <w:r w:rsidRPr="00530A75">
        <w:t xml:space="preserve">Fritsch JM, Kane RJ, Chelius CR.  1986.  The Contribution of mesoscale convective </w:t>
      </w:r>
      <w:r w:rsidR="00F012E3">
        <w:tab/>
      </w:r>
      <w:r w:rsidRPr="00530A75">
        <w:t xml:space="preserve">weather systems to the warm-season precipitation in the United States, </w:t>
      </w:r>
      <w:r w:rsidRPr="00530A75">
        <w:rPr>
          <w:i/>
          <w:iCs/>
        </w:rPr>
        <w:t xml:space="preserve">Journal </w:t>
      </w:r>
      <w:r w:rsidR="00F012E3">
        <w:rPr>
          <w:i/>
          <w:iCs/>
        </w:rPr>
        <w:tab/>
      </w:r>
      <w:r w:rsidRPr="00530A75">
        <w:rPr>
          <w:i/>
          <w:iCs/>
        </w:rPr>
        <w:t>of Climate and Applied Meteorology</w:t>
      </w:r>
      <w:r w:rsidRPr="00530A75">
        <w:t xml:space="preserve"> </w:t>
      </w:r>
      <w:r w:rsidRPr="001841D9">
        <w:rPr>
          <w:b/>
          <w:bCs/>
        </w:rPr>
        <w:t>25</w:t>
      </w:r>
      <w:r w:rsidRPr="00530A75">
        <w:t xml:space="preserve">: 1333-1345.  DOI: </w:t>
      </w:r>
      <w:r w:rsidR="00F012E3">
        <w:tab/>
      </w:r>
      <w:r w:rsidRPr="001841D9">
        <w:t>10.1175/15200450(1986)025&lt;1333</w:t>
      </w:r>
      <w:proofErr w:type="gramStart"/>
      <w:r w:rsidRPr="001841D9">
        <w:t>:TCOMCW</w:t>
      </w:r>
      <w:proofErr w:type="gramEnd"/>
      <w:r w:rsidRPr="001841D9">
        <w:t>&gt;2.0.CO;2.</w:t>
      </w:r>
    </w:p>
    <w:p w:rsidR="00CD20B4" w:rsidRPr="00530A75" w:rsidRDefault="00CD20B4" w:rsidP="00CD20B4">
      <w:r w:rsidRPr="00530A75">
        <w:t xml:space="preserve">Furevik T, Bentsen M, Drange H, Kindem IKT, Kvamsto NG, Sorteberg A.  2003.  </w:t>
      </w:r>
      <w:r w:rsidR="00F012E3">
        <w:tab/>
      </w:r>
      <w:r w:rsidRPr="00530A75">
        <w:t xml:space="preserve">Description and evaluation of the </w:t>
      </w:r>
      <w:r w:rsidR="00860D87">
        <w:t>B</w:t>
      </w:r>
      <w:r w:rsidRPr="00530A75">
        <w:t xml:space="preserve">ergen climate model: ARPEGE coupled with </w:t>
      </w:r>
      <w:r w:rsidR="00F012E3">
        <w:tab/>
      </w:r>
      <w:r w:rsidRPr="00530A75">
        <w:t xml:space="preserve">MICOM.  </w:t>
      </w:r>
      <w:r w:rsidRPr="00530A75">
        <w:rPr>
          <w:i/>
          <w:iCs/>
        </w:rPr>
        <w:t xml:space="preserve">Climate Dynamics </w:t>
      </w:r>
      <w:r w:rsidRPr="001841D9">
        <w:rPr>
          <w:b/>
          <w:bCs/>
        </w:rPr>
        <w:t>21</w:t>
      </w:r>
      <w:r w:rsidRPr="00530A75">
        <w:t xml:space="preserve">: 27-51.  DOI: </w:t>
      </w:r>
      <w:r w:rsidRPr="001841D9">
        <w:rPr>
          <w:shd w:val="clear" w:color="auto" w:fill="FFFFFF"/>
        </w:rPr>
        <w:t>10.1007/s00382-003-0317-5.</w:t>
      </w:r>
    </w:p>
    <w:p w:rsidR="00DF0F3C" w:rsidRDefault="00DF0F3C" w:rsidP="00CD20B4"/>
    <w:p w:rsidR="00CD20B4" w:rsidRPr="00530A75" w:rsidRDefault="00CD20B4" w:rsidP="00CD20B4">
      <w:r w:rsidRPr="00530A75">
        <w:lastRenderedPageBreak/>
        <w:t xml:space="preserve">Gali R, Douglas-Mankin K, Li X, Xu T.  2012.  Assessing NEXRAD P3 data effects on </w:t>
      </w:r>
      <w:r w:rsidR="00F012E3">
        <w:tab/>
      </w:r>
      <w:r w:rsidRPr="00530A75">
        <w:t>stream-</w:t>
      </w:r>
      <w:r w:rsidRPr="00530A75">
        <w:tab/>
        <w:t xml:space="preserve">flow simulation using SWAT model in an agricultural watershed.  </w:t>
      </w:r>
      <w:r w:rsidR="00F012E3">
        <w:tab/>
      </w:r>
      <w:r w:rsidRPr="001841D9">
        <w:rPr>
          <w:i/>
          <w:iCs/>
        </w:rPr>
        <w:t>Journal of Hydrologic Engineering</w:t>
      </w:r>
      <w:r w:rsidRPr="00530A75">
        <w:t xml:space="preserve"> </w:t>
      </w:r>
      <w:r w:rsidRPr="001841D9">
        <w:rPr>
          <w:b/>
          <w:bCs/>
        </w:rPr>
        <w:t>17</w:t>
      </w:r>
      <w:r w:rsidRPr="00530A75">
        <w:t xml:space="preserve">: 1245-1254.  DOI: </w:t>
      </w:r>
      <w:r w:rsidR="00F012E3">
        <w:tab/>
      </w:r>
      <w:r w:rsidRPr="00530A75">
        <w:t>10.1061</w:t>
      </w:r>
      <w:proofErr w:type="gramStart"/>
      <w:r w:rsidRPr="00530A75">
        <w:t>/(</w:t>
      </w:r>
      <w:proofErr w:type="gramEnd"/>
      <w:r w:rsidRPr="00530A75">
        <w:t>ASCE)HE.1943-5584.0000618.</w:t>
      </w:r>
    </w:p>
    <w:p w:rsidR="00CD20B4" w:rsidRPr="00182C99" w:rsidRDefault="00CD20B4" w:rsidP="00CD20B4">
      <w:r w:rsidRPr="00CE05DE">
        <w:t xml:space="preserve">Goldstein JC, Tarhule A, Brauer D. 2013.  </w:t>
      </w:r>
      <w:proofErr w:type="gramStart"/>
      <w:r w:rsidRPr="00CE05DE">
        <w:t xml:space="preserve">Simulating the hydrologic response of a </w:t>
      </w:r>
      <w:r w:rsidR="00F012E3">
        <w:tab/>
      </w:r>
      <w:r w:rsidRPr="00CE05DE">
        <w:t>semiarid watershed to switchgrass cultivation.</w:t>
      </w:r>
      <w:proofErr w:type="gramEnd"/>
      <w:r w:rsidRPr="00CE05DE">
        <w:t xml:space="preserve">  </w:t>
      </w:r>
      <w:proofErr w:type="gramStart"/>
      <w:r w:rsidRPr="00CE05DE">
        <w:t xml:space="preserve">In-press with </w:t>
      </w:r>
      <w:r w:rsidRPr="00CE05DE">
        <w:rPr>
          <w:i/>
          <w:iCs/>
        </w:rPr>
        <w:t xml:space="preserve">Hydrology </w:t>
      </w:r>
      <w:r w:rsidR="00F012E3">
        <w:rPr>
          <w:i/>
          <w:iCs/>
        </w:rPr>
        <w:tab/>
      </w:r>
      <w:r w:rsidRPr="00CE05DE">
        <w:rPr>
          <w:i/>
          <w:iCs/>
        </w:rPr>
        <w:t>Research</w:t>
      </w:r>
      <w:r w:rsidRPr="00CE05DE">
        <w:t>.</w:t>
      </w:r>
      <w:proofErr w:type="gramEnd"/>
      <w:r w:rsidRPr="00CE05DE">
        <w:t xml:space="preserve">  DOI: </w:t>
      </w:r>
      <w:r w:rsidRPr="00CE05DE">
        <w:rPr>
          <w:shd w:val="clear" w:color="auto" w:fill="FFFFFF"/>
        </w:rPr>
        <w:t>10.2166/nh.2013.163.</w:t>
      </w:r>
      <w:r w:rsidRPr="00CE05DE">
        <w:t xml:space="preserve"> </w:t>
      </w:r>
    </w:p>
    <w:p w:rsidR="00CD20B4" w:rsidRPr="00A15DA4" w:rsidRDefault="00CD20B4" w:rsidP="00CD20B4">
      <w:r w:rsidRPr="00CE05DE">
        <w:t xml:space="preserve">Groisman PY, Legates DR.  1994.  The Accuracy of United States precipitation data.  </w:t>
      </w:r>
      <w:r w:rsidR="00F012E3">
        <w:tab/>
      </w:r>
      <w:r w:rsidRPr="00CE05DE">
        <w:rPr>
          <w:i/>
          <w:iCs/>
        </w:rPr>
        <w:t>Bulletin of the American Meteorological Society</w:t>
      </w:r>
      <w:r w:rsidRPr="00CE05DE">
        <w:t xml:space="preserve"> </w:t>
      </w:r>
      <w:r w:rsidRPr="00CE05DE">
        <w:rPr>
          <w:b/>
          <w:bCs/>
        </w:rPr>
        <w:t>75</w:t>
      </w:r>
      <w:r w:rsidRPr="00CE05DE">
        <w:t xml:space="preserve">: 215-227.  DOI: </w:t>
      </w:r>
      <w:r w:rsidR="00F012E3">
        <w:tab/>
      </w:r>
      <w:r w:rsidRPr="00CE05DE">
        <w:t>10.1175/1520-0477(1994)075&lt;0215</w:t>
      </w:r>
      <w:proofErr w:type="gramStart"/>
      <w:r w:rsidRPr="00CE05DE">
        <w:t>:TAOUSP</w:t>
      </w:r>
      <w:proofErr w:type="gramEnd"/>
      <w:r w:rsidRPr="00CE05DE">
        <w:t>&gt;2.0.CO;2.</w:t>
      </w:r>
    </w:p>
    <w:p w:rsidR="00CD20B4" w:rsidRPr="00530A75" w:rsidRDefault="00CD20B4" w:rsidP="00CD20B4">
      <w:r w:rsidRPr="00530A75">
        <w:t xml:space="preserve">Gordon C, Cooper C, Senior CA, Banks H, Gregory JM, Johns TC, Mitchell JFB, </w:t>
      </w:r>
      <w:r w:rsidR="00F012E3">
        <w:tab/>
      </w:r>
      <w:r w:rsidRPr="00530A75">
        <w:t xml:space="preserve">Wood RA.  2000.  The simulation of SST, sea ice extents and ocean heat </w:t>
      </w:r>
      <w:r w:rsidR="00F012E3">
        <w:tab/>
      </w:r>
      <w:r w:rsidRPr="00530A75">
        <w:t xml:space="preserve">transports in a version of the Hadley Centre coupled model without flux </w:t>
      </w:r>
      <w:r w:rsidR="00F012E3">
        <w:tab/>
      </w:r>
      <w:r w:rsidRPr="00530A75">
        <w:t xml:space="preserve">adjustments.  </w:t>
      </w:r>
      <w:r w:rsidRPr="00530A75">
        <w:rPr>
          <w:i/>
          <w:iCs/>
        </w:rPr>
        <w:t xml:space="preserve">Climate Dynamics </w:t>
      </w:r>
      <w:r w:rsidRPr="001841D9">
        <w:rPr>
          <w:b/>
          <w:bCs/>
        </w:rPr>
        <w:t>16</w:t>
      </w:r>
      <w:r w:rsidRPr="00530A75">
        <w:t xml:space="preserve">: 147-168.  DOI: </w:t>
      </w:r>
      <w:r w:rsidRPr="001841D9">
        <w:rPr>
          <w:shd w:val="clear" w:color="auto" w:fill="FFFFFF"/>
        </w:rPr>
        <w:t>10.1007/s003820050010.</w:t>
      </w:r>
    </w:p>
    <w:p w:rsidR="00D509D3" w:rsidRDefault="00CD20B4" w:rsidP="00CD20B4">
      <w:r w:rsidRPr="00530A75">
        <w:t xml:space="preserve">Gordon HB, Rotstayn LD, McGregor JL, Dix MR, Kowalczyk EA, O’Farrell SP, </w:t>
      </w:r>
      <w:r w:rsidR="00F012E3">
        <w:tab/>
      </w:r>
      <w:r w:rsidRPr="00530A75">
        <w:t xml:space="preserve">Waterman LJ, </w:t>
      </w:r>
      <w:r w:rsidRPr="00530A75">
        <w:tab/>
        <w:t xml:space="preserve">Hirst AC, Wilson SG, Collier MA, Watterson IG, Elliott TI.  </w:t>
      </w:r>
      <w:r w:rsidR="00F012E3">
        <w:tab/>
      </w:r>
      <w:r w:rsidRPr="00530A75">
        <w:t xml:space="preserve">2002.  </w:t>
      </w:r>
      <w:r w:rsidRPr="001841D9">
        <w:rPr>
          <w:i/>
          <w:iCs/>
        </w:rPr>
        <w:t>The CSIRO Mk3 Climate System Model</w:t>
      </w:r>
      <w:r w:rsidRPr="001841D9">
        <w:t>.</w:t>
      </w:r>
      <w:r w:rsidRPr="00530A75">
        <w:rPr>
          <w:i/>
          <w:iCs/>
        </w:rPr>
        <w:t xml:space="preserve">  </w:t>
      </w:r>
      <w:r w:rsidRPr="00530A75">
        <w:t>C</w:t>
      </w:r>
      <w:r w:rsidR="00182C99">
        <w:t xml:space="preserve">SIRO Australia: Melbourne; </w:t>
      </w:r>
      <w:r w:rsidR="00F012E3">
        <w:tab/>
      </w:r>
      <w:r w:rsidR="00182C99">
        <w:t>130.</w:t>
      </w:r>
    </w:p>
    <w:p w:rsidR="00D509D3" w:rsidRDefault="00D509D3" w:rsidP="00CD20B4">
      <w:r w:rsidRPr="00D509D3">
        <w:t>Hargreaves</w:t>
      </w:r>
      <w:r>
        <w:t xml:space="preserve"> GL</w:t>
      </w:r>
      <w:r w:rsidRPr="00D509D3">
        <w:t>, Hargreaves</w:t>
      </w:r>
      <w:r>
        <w:t xml:space="preserve"> GH</w:t>
      </w:r>
      <w:r w:rsidRPr="00D509D3">
        <w:t>, Riley</w:t>
      </w:r>
      <w:r>
        <w:t xml:space="preserve"> J.  1985.  </w:t>
      </w:r>
      <w:r w:rsidRPr="00D509D3">
        <w:t xml:space="preserve">Agricultural Benefits for Senegal </w:t>
      </w:r>
      <w:r>
        <w:tab/>
        <w:t xml:space="preserve">River Basin.  </w:t>
      </w:r>
      <w:r w:rsidRPr="00D509D3">
        <w:rPr>
          <w:i/>
        </w:rPr>
        <w:t>Journal of Irrigation and Drainage Engineering</w:t>
      </w:r>
      <w:r w:rsidRPr="00D509D3">
        <w:t xml:space="preserve"> </w:t>
      </w:r>
      <w:r w:rsidRPr="00D509D3">
        <w:rPr>
          <w:b/>
        </w:rPr>
        <w:t>111</w:t>
      </w:r>
      <w:r>
        <w:t>:</w:t>
      </w:r>
      <w:r w:rsidRPr="00D509D3">
        <w:t xml:space="preserve"> 113-124.</w:t>
      </w:r>
      <w:r>
        <w:t xml:space="preserve">  </w:t>
      </w:r>
      <w:r>
        <w:tab/>
      </w:r>
      <w:r w:rsidRPr="00D509D3">
        <w:rPr>
          <w:rFonts w:asciiTheme="majorHAnsi" w:hAnsiTheme="majorHAnsi" w:cstheme="majorHAnsi"/>
        </w:rPr>
        <w:t xml:space="preserve">DOI: </w:t>
      </w:r>
      <w:r w:rsidRPr="00D509D3">
        <w:t>10.1061</w:t>
      </w:r>
      <w:proofErr w:type="gramStart"/>
      <w:r w:rsidRPr="00D509D3">
        <w:t>/(</w:t>
      </w:r>
      <w:proofErr w:type="gramEnd"/>
      <w:r w:rsidRPr="00D509D3">
        <w:t>ASCE)0733-9437(1985)111:2(113).</w:t>
      </w:r>
    </w:p>
    <w:p w:rsidR="00CD20B4" w:rsidRDefault="00CD20B4" w:rsidP="00CD20B4">
      <w:r w:rsidRPr="00530A75">
        <w:t xml:space="preserve">Hasumi H, Emori S.  2004.   </w:t>
      </w:r>
      <w:r w:rsidRPr="001841D9">
        <w:rPr>
          <w:i/>
          <w:iCs/>
        </w:rPr>
        <w:t xml:space="preserve">K-1 </w:t>
      </w:r>
      <w:r w:rsidRPr="00530A75">
        <w:rPr>
          <w:i/>
          <w:iCs/>
        </w:rPr>
        <w:t xml:space="preserve">Coupled GCM </w:t>
      </w:r>
      <w:r w:rsidRPr="001841D9">
        <w:rPr>
          <w:i/>
          <w:iCs/>
        </w:rPr>
        <w:t>(</w:t>
      </w:r>
      <w:r w:rsidRPr="00530A75">
        <w:rPr>
          <w:i/>
          <w:iCs/>
        </w:rPr>
        <w:t>Miroc</w:t>
      </w:r>
      <w:r w:rsidRPr="001841D9">
        <w:rPr>
          <w:i/>
          <w:iCs/>
        </w:rPr>
        <w:t xml:space="preserve">) </w:t>
      </w:r>
      <w:r w:rsidRPr="00530A75">
        <w:rPr>
          <w:i/>
          <w:iCs/>
        </w:rPr>
        <w:t>Description</w:t>
      </w:r>
      <w:r w:rsidRPr="00530A75">
        <w:t xml:space="preserve">.  Center for </w:t>
      </w:r>
      <w:r w:rsidR="00F012E3">
        <w:tab/>
      </w:r>
      <w:r w:rsidRPr="00530A75">
        <w:t>Climate System Research, University of Tokyo: Tokyo; 34.</w:t>
      </w:r>
    </w:p>
    <w:p w:rsidR="0087706B" w:rsidRPr="00530A75" w:rsidRDefault="00CA6F02" w:rsidP="0087706B">
      <w:r>
        <w:t>Heimann, D</w:t>
      </w:r>
      <w:r w:rsidR="00BD1822">
        <w:t xml:space="preserve">C.  2009.  </w:t>
      </w:r>
      <w:r w:rsidR="00D95BDC" w:rsidRPr="00BD1822">
        <w:rPr>
          <w:i/>
        </w:rPr>
        <w:t xml:space="preserve">Comparison of </w:t>
      </w:r>
      <w:r w:rsidR="00BD1822" w:rsidRPr="00BD1822">
        <w:rPr>
          <w:i/>
        </w:rPr>
        <w:t>H</w:t>
      </w:r>
      <w:r w:rsidR="00D95BDC" w:rsidRPr="00BD1822">
        <w:rPr>
          <w:i/>
        </w:rPr>
        <w:t xml:space="preserve">ydrologic and </w:t>
      </w:r>
      <w:r w:rsidR="00BD1822" w:rsidRPr="00BD1822">
        <w:rPr>
          <w:i/>
        </w:rPr>
        <w:t>W</w:t>
      </w:r>
      <w:r w:rsidR="00D95BDC" w:rsidRPr="00BD1822">
        <w:rPr>
          <w:i/>
        </w:rPr>
        <w:t xml:space="preserve">ater-quality </w:t>
      </w:r>
      <w:r w:rsidR="00BD1822" w:rsidRPr="00BD1822">
        <w:rPr>
          <w:i/>
        </w:rPr>
        <w:t>C</w:t>
      </w:r>
      <w:r w:rsidR="00D95BDC" w:rsidRPr="00BD1822">
        <w:rPr>
          <w:i/>
        </w:rPr>
        <w:t xml:space="preserve">haracteristics </w:t>
      </w:r>
      <w:r w:rsidR="00BD1822">
        <w:rPr>
          <w:i/>
        </w:rPr>
        <w:tab/>
      </w:r>
      <w:r w:rsidR="00D95BDC" w:rsidRPr="00BD1822">
        <w:rPr>
          <w:i/>
        </w:rPr>
        <w:t xml:space="preserve">of </w:t>
      </w:r>
      <w:r w:rsidR="00BD1822" w:rsidRPr="00BD1822">
        <w:rPr>
          <w:i/>
        </w:rPr>
        <w:t>T</w:t>
      </w:r>
      <w:r w:rsidR="00D95BDC" w:rsidRPr="00BD1822">
        <w:rPr>
          <w:i/>
        </w:rPr>
        <w:t xml:space="preserve">wo </w:t>
      </w:r>
      <w:r w:rsidR="00BD1822" w:rsidRPr="00BD1822">
        <w:rPr>
          <w:i/>
        </w:rPr>
        <w:t>N</w:t>
      </w:r>
      <w:r w:rsidR="00D95BDC" w:rsidRPr="00BD1822">
        <w:rPr>
          <w:i/>
        </w:rPr>
        <w:t xml:space="preserve">ative </w:t>
      </w:r>
      <w:r w:rsidR="00BD1822" w:rsidRPr="00BD1822">
        <w:rPr>
          <w:i/>
        </w:rPr>
        <w:t>T</w:t>
      </w:r>
      <w:r w:rsidR="00D95BDC" w:rsidRPr="00BD1822">
        <w:rPr>
          <w:i/>
        </w:rPr>
        <w:t xml:space="preserve">allgrass </w:t>
      </w:r>
      <w:r w:rsidR="00BD1822" w:rsidRPr="00BD1822">
        <w:rPr>
          <w:i/>
        </w:rPr>
        <w:t>P</w:t>
      </w:r>
      <w:r w:rsidR="00D95BDC" w:rsidRPr="00BD1822">
        <w:rPr>
          <w:i/>
        </w:rPr>
        <w:t xml:space="preserve">rairie </w:t>
      </w:r>
      <w:r w:rsidR="00BD1822" w:rsidRPr="00BD1822">
        <w:rPr>
          <w:i/>
        </w:rPr>
        <w:t>S</w:t>
      </w:r>
      <w:r w:rsidR="00D95BDC" w:rsidRPr="00BD1822">
        <w:rPr>
          <w:i/>
        </w:rPr>
        <w:t xml:space="preserve">treams with </w:t>
      </w:r>
      <w:r w:rsidR="00BD1822" w:rsidRPr="00BD1822">
        <w:rPr>
          <w:i/>
        </w:rPr>
        <w:t>A</w:t>
      </w:r>
      <w:r w:rsidR="00D95BDC" w:rsidRPr="00BD1822">
        <w:rPr>
          <w:i/>
        </w:rPr>
        <w:t xml:space="preserve">gricultural </w:t>
      </w:r>
      <w:r w:rsidR="00BD1822" w:rsidRPr="00BD1822">
        <w:rPr>
          <w:i/>
        </w:rPr>
        <w:t>S</w:t>
      </w:r>
      <w:r w:rsidR="00D95BDC" w:rsidRPr="00BD1822">
        <w:rPr>
          <w:i/>
        </w:rPr>
        <w:t xml:space="preserve">treams in Missouri </w:t>
      </w:r>
      <w:r w:rsidR="00BD1822">
        <w:rPr>
          <w:i/>
        </w:rPr>
        <w:tab/>
      </w:r>
      <w:r w:rsidR="00D95BDC" w:rsidRPr="00BD1822">
        <w:rPr>
          <w:i/>
        </w:rPr>
        <w:t xml:space="preserve">and </w:t>
      </w:r>
      <w:r w:rsidR="00BD1822" w:rsidRPr="00BD1822">
        <w:rPr>
          <w:i/>
        </w:rPr>
        <w:t>Kansas</w:t>
      </w:r>
      <w:r w:rsidR="0087706B">
        <w:rPr>
          <w:i/>
        </w:rPr>
        <w:t xml:space="preserve">, </w:t>
      </w:r>
      <w:r w:rsidR="0087706B" w:rsidRPr="0087706B">
        <w:rPr>
          <w:rFonts w:asciiTheme="majorHAnsi" w:hAnsiTheme="majorHAnsi" w:cstheme="majorHAnsi"/>
          <w:bCs/>
          <w:i/>
        </w:rPr>
        <w:t>Scientific Investigations Report 2009–5213</w:t>
      </w:r>
      <w:r w:rsidR="00BD1822" w:rsidRPr="0087706B">
        <w:rPr>
          <w:rFonts w:asciiTheme="majorHAnsi" w:hAnsiTheme="majorHAnsi" w:cstheme="majorHAnsi"/>
          <w:i/>
        </w:rPr>
        <w:t xml:space="preserve">.  </w:t>
      </w:r>
      <w:r w:rsidR="0087706B">
        <w:t xml:space="preserve">United States </w:t>
      </w:r>
      <w:r w:rsidR="0087706B">
        <w:tab/>
        <w:t>Geological Survey:</w:t>
      </w:r>
      <w:r w:rsidR="0087706B" w:rsidRPr="00530A75">
        <w:t xml:space="preserve"> </w:t>
      </w:r>
      <w:r w:rsidR="0087706B">
        <w:t>Reston</w:t>
      </w:r>
      <w:r w:rsidR="0087706B" w:rsidRPr="00530A75">
        <w:t xml:space="preserve">.  </w:t>
      </w:r>
    </w:p>
    <w:p w:rsidR="00CD20B4" w:rsidRPr="00530A75" w:rsidRDefault="00CD20B4" w:rsidP="00CD20B4">
      <w:r>
        <w:t>Hertel, TW</w:t>
      </w:r>
      <w:r w:rsidRPr="00383711">
        <w:t>, Golub</w:t>
      </w:r>
      <w:r>
        <w:t xml:space="preserve"> AA</w:t>
      </w:r>
      <w:r w:rsidRPr="00383711">
        <w:t>, Jones</w:t>
      </w:r>
      <w:r>
        <w:t xml:space="preserve"> AD</w:t>
      </w:r>
      <w:r w:rsidRPr="00383711">
        <w:t>, O'Hare</w:t>
      </w:r>
      <w:r>
        <w:t xml:space="preserve"> M</w:t>
      </w:r>
      <w:r w:rsidRPr="00383711">
        <w:t>, Plevin</w:t>
      </w:r>
      <w:r>
        <w:t xml:space="preserve"> RJ, </w:t>
      </w:r>
      <w:r w:rsidRPr="00383711">
        <w:t>Kammen</w:t>
      </w:r>
      <w:r>
        <w:t xml:space="preserve"> DM.  2010.  </w:t>
      </w:r>
      <w:r w:rsidRPr="00383711">
        <w:t xml:space="preserve">Effects </w:t>
      </w:r>
      <w:r w:rsidR="00F012E3">
        <w:tab/>
      </w:r>
      <w:r w:rsidRPr="00383711">
        <w:t xml:space="preserve">of US </w:t>
      </w:r>
      <w:r>
        <w:t>maize e</w:t>
      </w:r>
      <w:r w:rsidRPr="00383711">
        <w:t xml:space="preserve">thanol on </w:t>
      </w:r>
      <w:r>
        <w:t>g</w:t>
      </w:r>
      <w:r w:rsidRPr="00383711">
        <w:t xml:space="preserve">lobal </w:t>
      </w:r>
      <w:r>
        <w:t>l</w:t>
      </w:r>
      <w:r w:rsidRPr="00383711">
        <w:t xml:space="preserve">and </w:t>
      </w:r>
      <w:r>
        <w:t>u</w:t>
      </w:r>
      <w:r w:rsidRPr="00383711">
        <w:t xml:space="preserve">se and </w:t>
      </w:r>
      <w:r>
        <w:t>g</w:t>
      </w:r>
      <w:r w:rsidRPr="00383711">
        <w:t xml:space="preserve">reenhouse </w:t>
      </w:r>
      <w:r>
        <w:t xml:space="preserve">gas emissions: </w:t>
      </w:r>
      <w:r w:rsidR="00F012E3">
        <w:tab/>
      </w:r>
      <w:r>
        <w:t>estim</w:t>
      </w:r>
      <w:r w:rsidR="00D935C8">
        <w:t>ating market-mediated Responses.</w:t>
      </w:r>
      <w:r>
        <w:t xml:space="preserve"> </w:t>
      </w:r>
      <w:r w:rsidRPr="00440849">
        <w:rPr>
          <w:i/>
        </w:rPr>
        <w:t>Bioscience</w:t>
      </w:r>
      <w:r>
        <w:t xml:space="preserve"> </w:t>
      </w:r>
      <w:r w:rsidRPr="00440849">
        <w:rPr>
          <w:b/>
        </w:rPr>
        <w:t>60</w:t>
      </w:r>
      <w:r>
        <w:t>:</w:t>
      </w:r>
      <w:r w:rsidRPr="00383711">
        <w:t xml:space="preserve"> 223-</w:t>
      </w:r>
      <w:r w:rsidRPr="00ED1CB6">
        <w:t>231.  DOI</w:t>
      </w:r>
      <w:r>
        <w:t xml:space="preserve">: </w:t>
      </w:r>
      <w:r w:rsidR="00F012E3">
        <w:tab/>
      </w:r>
      <w:r w:rsidRPr="00383711">
        <w:t>10.1525/bio.2010.60.3.8</w:t>
      </w:r>
      <w:r>
        <w:t>.</w:t>
      </w:r>
    </w:p>
    <w:p w:rsidR="00CD20B4" w:rsidRPr="00182C99" w:rsidRDefault="00CD20B4" w:rsidP="00CD20B4">
      <w:pPr>
        <w:rPr>
          <w:i/>
          <w:iCs/>
        </w:rPr>
      </w:pPr>
      <w:proofErr w:type="gramStart"/>
      <w:r w:rsidRPr="00530A75">
        <w:t>Intergovernmental Panel on Climate Change.</w:t>
      </w:r>
      <w:proofErr w:type="gramEnd"/>
      <w:r w:rsidRPr="00530A75">
        <w:t xml:space="preserve">  2000.  </w:t>
      </w:r>
      <w:r w:rsidRPr="00530A75">
        <w:rPr>
          <w:i/>
          <w:iCs/>
        </w:rPr>
        <w:t xml:space="preserve">IPCC Special Report, Emissions </w:t>
      </w:r>
      <w:r w:rsidR="00F012E3">
        <w:rPr>
          <w:i/>
          <w:iCs/>
        </w:rPr>
        <w:tab/>
      </w:r>
      <w:r w:rsidRPr="00530A75">
        <w:rPr>
          <w:i/>
          <w:iCs/>
        </w:rPr>
        <w:t>Scenarios: Summary for Policymakers</w:t>
      </w:r>
      <w:r w:rsidRPr="00530A75">
        <w:t xml:space="preserve">.  Available on-line at: </w:t>
      </w:r>
      <w:r w:rsidR="00F012E3">
        <w:tab/>
      </w:r>
      <w:r w:rsidRPr="00816F60">
        <w:t>http://www.ipcc.ch/pdf/special-reports/spm/sres-en.pdf</w:t>
      </w:r>
      <w:r w:rsidRPr="001841D9">
        <w:t xml:space="preserve">, last accessed </w:t>
      </w:r>
      <w:r w:rsidRPr="00530A75">
        <w:t>7</w:t>
      </w:r>
      <w:r w:rsidRPr="001841D9">
        <w:t xml:space="preserve"> May </w:t>
      </w:r>
      <w:r w:rsidR="00F012E3">
        <w:tab/>
      </w:r>
      <w:r w:rsidRPr="001841D9">
        <w:t>2013.</w:t>
      </w:r>
      <w:r w:rsidRPr="00530A75">
        <w:t xml:space="preserve"> </w:t>
      </w:r>
    </w:p>
    <w:p w:rsidR="00CD20B4" w:rsidRPr="00530A75" w:rsidRDefault="00CD20B4" w:rsidP="00CD20B4">
      <w:proofErr w:type="gramStart"/>
      <w:r w:rsidRPr="00530A75">
        <w:t>Jayakrishnan R, Srinivasan R, Arnold JG.</w:t>
      </w:r>
      <w:proofErr w:type="gramEnd"/>
      <w:r w:rsidRPr="00530A75">
        <w:t xml:space="preserve">  2004.  Comparison of raingage and WSR-</w:t>
      </w:r>
      <w:r w:rsidR="00F012E3">
        <w:tab/>
      </w:r>
      <w:r w:rsidRPr="00530A75">
        <w:t xml:space="preserve">88D Stage III precipitation data over the Texas-Gulf </w:t>
      </w:r>
      <w:r w:rsidR="00D935C8">
        <w:t>B</w:t>
      </w:r>
      <w:r w:rsidRPr="00530A75">
        <w:t xml:space="preserve">asin. </w:t>
      </w:r>
      <w:r w:rsidRPr="00530A75">
        <w:rPr>
          <w:i/>
          <w:iCs/>
        </w:rPr>
        <w:t xml:space="preserve">Journal of </w:t>
      </w:r>
      <w:r w:rsidR="00F012E3">
        <w:rPr>
          <w:i/>
          <w:iCs/>
        </w:rPr>
        <w:tab/>
      </w:r>
      <w:r w:rsidRPr="00530A75">
        <w:rPr>
          <w:i/>
          <w:iCs/>
        </w:rPr>
        <w:t>Hydrology</w:t>
      </w:r>
      <w:r w:rsidRPr="00530A75">
        <w:t xml:space="preserve"> </w:t>
      </w:r>
      <w:r w:rsidRPr="001841D9">
        <w:rPr>
          <w:b/>
          <w:bCs/>
        </w:rPr>
        <w:t>292</w:t>
      </w:r>
      <w:r w:rsidRPr="00530A75">
        <w:t xml:space="preserve">: 135-152.  DOI: </w:t>
      </w:r>
      <w:r w:rsidRPr="001841D9">
        <w:rPr>
          <w:rFonts w:eastAsia="Times New Roman"/>
        </w:rPr>
        <w:t>10.1016/j.jhydrol.2003.12.027.</w:t>
      </w:r>
    </w:p>
    <w:p w:rsidR="00CD20B4" w:rsidRPr="00530A75" w:rsidRDefault="00CD20B4" w:rsidP="00CD20B4">
      <w:proofErr w:type="gramStart"/>
      <w:r w:rsidRPr="00530A75">
        <w:lastRenderedPageBreak/>
        <w:t>Jin X, Sridhar V</w:t>
      </w:r>
      <w:r>
        <w:t>.</w:t>
      </w:r>
      <w:proofErr w:type="gramEnd"/>
      <w:r w:rsidRPr="00530A75">
        <w:t xml:space="preserve">  2012.  Impacts of climate change on hydrology and water resources </w:t>
      </w:r>
      <w:r w:rsidR="00F012E3">
        <w:tab/>
      </w:r>
      <w:r w:rsidRPr="00530A75">
        <w:t>in the</w:t>
      </w:r>
      <w:r>
        <w:t xml:space="preserve"> </w:t>
      </w:r>
      <w:r w:rsidRPr="00530A75">
        <w:t xml:space="preserve">Boise and Spokane River Basins. </w:t>
      </w:r>
      <w:r w:rsidRPr="00530A75">
        <w:rPr>
          <w:i/>
          <w:iCs/>
        </w:rPr>
        <w:t xml:space="preserve">Journal of the American Water </w:t>
      </w:r>
      <w:r w:rsidR="00F012E3">
        <w:rPr>
          <w:i/>
          <w:iCs/>
        </w:rPr>
        <w:tab/>
      </w:r>
      <w:r w:rsidRPr="00530A75">
        <w:rPr>
          <w:i/>
          <w:iCs/>
        </w:rPr>
        <w:t xml:space="preserve">Resources Association </w:t>
      </w:r>
      <w:r w:rsidRPr="001841D9">
        <w:rPr>
          <w:b/>
          <w:bCs/>
        </w:rPr>
        <w:t>48</w:t>
      </w:r>
      <w:r w:rsidRPr="00530A75">
        <w:t xml:space="preserve">: 197-220.  DOI: </w:t>
      </w:r>
      <w:r w:rsidRPr="001841D9">
        <w:rPr>
          <w:shd w:val="clear" w:color="auto" w:fill="FFFFFF"/>
        </w:rPr>
        <w:t>10.1111/j.1752-1688.2011.00605.x.</w:t>
      </w:r>
    </w:p>
    <w:p w:rsidR="00CD20B4" w:rsidRDefault="00CD20B4" w:rsidP="00CD20B4">
      <w:pPr>
        <w:rPr>
          <w:rFonts w:eastAsia="Times New Roman"/>
        </w:rPr>
      </w:pPr>
      <w:r w:rsidRPr="00530A75">
        <w:t xml:space="preserve">Johnson T, Butcher J, Parker A, Weaver C.  2012.  Investigating the sensitivity of U.S. </w:t>
      </w:r>
      <w:r w:rsidR="00F012E3">
        <w:tab/>
      </w:r>
      <w:proofErr w:type="gramStart"/>
      <w:r w:rsidRPr="00530A75">
        <w:t>streamflow</w:t>
      </w:r>
      <w:proofErr w:type="gramEnd"/>
      <w:r w:rsidRPr="00530A75">
        <w:t xml:space="preserve"> and water quality to climate change: U.S. EPA Global Change </w:t>
      </w:r>
      <w:r w:rsidR="00F012E3">
        <w:tab/>
      </w:r>
      <w:r w:rsidRPr="00530A75">
        <w:t xml:space="preserve">Research Program’s 20 Watersheds Project.  </w:t>
      </w:r>
      <w:r w:rsidRPr="00530A75">
        <w:rPr>
          <w:i/>
          <w:iCs/>
        </w:rPr>
        <w:t xml:space="preserve">Journal of Water Resources </w:t>
      </w:r>
      <w:r w:rsidR="00F012E3">
        <w:rPr>
          <w:i/>
          <w:iCs/>
        </w:rPr>
        <w:tab/>
      </w:r>
      <w:r w:rsidRPr="00530A75">
        <w:rPr>
          <w:i/>
          <w:iCs/>
        </w:rPr>
        <w:t>Planning and Management</w:t>
      </w:r>
      <w:r w:rsidRPr="00530A75">
        <w:t xml:space="preserve"> </w:t>
      </w:r>
      <w:r w:rsidRPr="001841D9">
        <w:rPr>
          <w:b/>
          <w:bCs/>
        </w:rPr>
        <w:t>138</w:t>
      </w:r>
      <w:r w:rsidRPr="00530A75">
        <w:t xml:space="preserve">: 453-464.  DOI: </w:t>
      </w:r>
      <w:r w:rsidRPr="001841D9">
        <w:rPr>
          <w:rFonts w:eastAsia="Times New Roman"/>
        </w:rPr>
        <w:t>10.1061</w:t>
      </w:r>
      <w:proofErr w:type="gramStart"/>
      <w:r w:rsidRPr="001841D9">
        <w:rPr>
          <w:rFonts w:eastAsia="Times New Roman"/>
        </w:rPr>
        <w:t>/(</w:t>
      </w:r>
      <w:proofErr w:type="gramEnd"/>
      <w:r w:rsidRPr="001841D9">
        <w:rPr>
          <w:rFonts w:eastAsia="Times New Roman"/>
        </w:rPr>
        <w:t>ASCE)WR.1943-</w:t>
      </w:r>
      <w:r w:rsidR="00F012E3">
        <w:rPr>
          <w:rFonts w:eastAsia="Times New Roman"/>
        </w:rPr>
        <w:tab/>
      </w:r>
      <w:r w:rsidRPr="001841D9">
        <w:rPr>
          <w:rFonts w:eastAsia="Times New Roman"/>
        </w:rPr>
        <w:t>5452.0000175.</w:t>
      </w:r>
    </w:p>
    <w:p w:rsidR="00CD20B4" w:rsidRPr="00530A75" w:rsidRDefault="00CD20B4" w:rsidP="00CD20B4">
      <w:proofErr w:type="gramStart"/>
      <w:r w:rsidRPr="00530A75">
        <w:t>Jones OR, Eck HV, Smith SJ, Coleman GA, Hauser VL.</w:t>
      </w:r>
      <w:proofErr w:type="gramEnd"/>
      <w:r w:rsidRPr="00530A75">
        <w:t xml:space="preserve">  1985.  Run</w:t>
      </w:r>
      <w:r>
        <w:t xml:space="preserve">off, soil, and </w:t>
      </w:r>
      <w:r w:rsidR="00F012E3">
        <w:tab/>
      </w:r>
      <w:r>
        <w:t xml:space="preserve">nutrient losses </w:t>
      </w:r>
      <w:r w:rsidRPr="00530A75">
        <w:t>from rangeland and dry-farmed cropland in the Southern High-</w:t>
      </w:r>
      <w:r w:rsidR="00F012E3">
        <w:tab/>
      </w:r>
      <w:r w:rsidRPr="00530A75">
        <w:t xml:space="preserve">Plains. </w:t>
      </w:r>
      <w:r w:rsidRPr="00530A75">
        <w:rPr>
          <w:i/>
          <w:iCs/>
        </w:rPr>
        <w:t>Journal of Soil and Water Conservation</w:t>
      </w:r>
      <w:r w:rsidRPr="00530A75">
        <w:t xml:space="preserve"> </w:t>
      </w:r>
      <w:r w:rsidRPr="001841D9">
        <w:rPr>
          <w:b/>
          <w:bCs/>
        </w:rPr>
        <w:t>40</w:t>
      </w:r>
      <w:r w:rsidRPr="00530A75">
        <w:t>: 161-164.</w:t>
      </w:r>
    </w:p>
    <w:p w:rsidR="00CD20B4" w:rsidRPr="00530A75" w:rsidRDefault="00CD20B4" w:rsidP="00CD20B4">
      <w:r w:rsidRPr="00530A75">
        <w:t xml:space="preserve">Jungclaus JH, Keenlyside N, Botzet M, Haak H, Luo JJ, Latif M, Marotzke J, </w:t>
      </w:r>
      <w:r w:rsidR="00F012E3">
        <w:tab/>
      </w:r>
      <w:r w:rsidRPr="00530A75">
        <w:t xml:space="preserve">Mikolajewicz U, Roeckner E.  2006.  Ocean circulation and tropical variability </w:t>
      </w:r>
      <w:r w:rsidR="00F012E3">
        <w:tab/>
      </w:r>
      <w:r w:rsidRPr="00530A75">
        <w:t xml:space="preserve">in the coupled model ECHAM5/MPI-OM.  </w:t>
      </w:r>
      <w:r w:rsidRPr="00530A75">
        <w:rPr>
          <w:i/>
          <w:iCs/>
        </w:rPr>
        <w:t xml:space="preserve">Journal of Climate </w:t>
      </w:r>
      <w:r w:rsidRPr="00530A75">
        <w:rPr>
          <w:b/>
          <w:bCs/>
        </w:rPr>
        <w:t>19</w:t>
      </w:r>
      <w:r w:rsidRPr="00530A75">
        <w:t>: 3952-</w:t>
      </w:r>
      <w:r w:rsidR="00182C99">
        <w:t xml:space="preserve">3972.  </w:t>
      </w:r>
      <w:r w:rsidR="00F012E3">
        <w:tab/>
      </w:r>
      <w:r w:rsidR="00182C99">
        <w:t>DOI: 10.1175/JCLI3827.1.</w:t>
      </w:r>
    </w:p>
    <w:p w:rsidR="00CD20B4" w:rsidRPr="001841D9" w:rsidRDefault="00F4402C" w:rsidP="00CD20B4">
      <w:pPr>
        <w:rPr>
          <w:shd w:val="clear" w:color="auto" w:fill="FFFFFF"/>
        </w:rPr>
      </w:pPr>
      <w:proofErr w:type="gramStart"/>
      <w:r>
        <w:rPr>
          <w:shd w:val="clear" w:color="auto" w:fill="FFFFFF"/>
        </w:rPr>
        <w:t>Kent DC</w:t>
      </w:r>
      <w:r w:rsidR="00CD20B4" w:rsidRPr="001841D9">
        <w:rPr>
          <w:shd w:val="clear" w:color="auto" w:fill="FFFFFF"/>
        </w:rPr>
        <w:t>, Beausoleil YJ, Witz FE.</w:t>
      </w:r>
      <w:proofErr w:type="gramEnd"/>
      <w:r w:rsidR="00CD20B4" w:rsidRPr="001841D9">
        <w:rPr>
          <w:shd w:val="clear" w:color="auto" w:fill="FFFFFF"/>
        </w:rPr>
        <w:t xml:space="preserve">  1982.  </w:t>
      </w:r>
      <w:r w:rsidR="00CD20B4" w:rsidRPr="001841D9">
        <w:rPr>
          <w:i/>
          <w:iCs/>
          <w:shd w:val="clear" w:color="auto" w:fill="FFFFFF"/>
        </w:rPr>
        <w:t xml:space="preserve">Evaluation of Aquifer Performance and </w:t>
      </w:r>
      <w:r w:rsidR="00F012E3">
        <w:rPr>
          <w:i/>
          <w:iCs/>
          <w:shd w:val="clear" w:color="auto" w:fill="FFFFFF"/>
        </w:rPr>
        <w:tab/>
      </w:r>
      <w:r w:rsidR="00CD20B4" w:rsidRPr="001841D9">
        <w:rPr>
          <w:i/>
          <w:iCs/>
          <w:shd w:val="clear" w:color="auto" w:fill="FFFFFF"/>
        </w:rPr>
        <w:t xml:space="preserve">Water Supply Capabilities of the Enid Isolated Terrace Aquifer in Garfield </w:t>
      </w:r>
      <w:r w:rsidR="00F012E3">
        <w:rPr>
          <w:i/>
          <w:iCs/>
          <w:shd w:val="clear" w:color="auto" w:fill="FFFFFF"/>
        </w:rPr>
        <w:tab/>
      </w:r>
      <w:r w:rsidR="00CD20B4" w:rsidRPr="001841D9">
        <w:rPr>
          <w:i/>
          <w:iCs/>
          <w:shd w:val="clear" w:color="auto" w:fill="FFFFFF"/>
        </w:rPr>
        <w:t>County, Oklahoma</w:t>
      </w:r>
      <w:r w:rsidR="00CD20B4" w:rsidRPr="001841D9">
        <w:rPr>
          <w:shd w:val="clear" w:color="auto" w:fill="FFFFFF"/>
        </w:rPr>
        <w:t>.</w:t>
      </w:r>
      <w:r w:rsidR="00CD20B4">
        <w:rPr>
          <w:shd w:val="clear" w:color="auto" w:fill="FFFFFF"/>
        </w:rPr>
        <w:t xml:space="preserve">  </w:t>
      </w:r>
      <w:r w:rsidR="00CD20B4" w:rsidRPr="001841D9">
        <w:rPr>
          <w:shd w:val="clear" w:color="auto" w:fill="FFFFFF"/>
        </w:rPr>
        <w:t>Department of Geology,</w:t>
      </w:r>
      <w:r w:rsidR="00182C99">
        <w:rPr>
          <w:shd w:val="clear" w:color="auto" w:fill="FFFFFF"/>
        </w:rPr>
        <w:t xml:space="preserve"> Oklahoma State University</w:t>
      </w:r>
      <w:r w:rsidR="00257449">
        <w:rPr>
          <w:shd w:val="clear" w:color="auto" w:fill="FFFFFF"/>
        </w:rPr>
        <w:t xml:space="preserve">: </w:t>
      </w:r>
      <w:r w:rsidR="00257449">
        <w:rPr>
          <w:shd w:val="clear" w:color="auto" w:fill="FFFFFF"/>
        </w:rPr>
        <w:tab/>
        <w:t>Stillwater</w:t>
      </w:r>
      <w:r w:rsidR="00182C99">
        <w:rPr>
          <w:shd w:val="clear" w:color="auto" w:fill="FFFFFF"/>
        </w:rPr>
        <w:t>; 58.</w:t>
      </w:r>
    </w:p>
    <w:p w:rsidR="00CD20B4" w:rsidRPr="00182C99" w:rsidRDefault="00F4402C" w:rsidP="00CD20B4">
      <w:pPr>
        <w:rPr>
          <w:shd w:val="clear" w:color="auto" w:fill="FFFFFF"/>
        </w:rPr>
      </w:pPr>
      <w:r>
        <w:t>Legates DR</w:t>
      </w:r>
      <w:r w:rsidR="00CD20B4" w:rsidRPr="00530A75">
        <w:t xml:space="preserve">, DeLiberty TL.  1993.  Precipitation measurement biases in the United </w:t>
      </w:r>
      <w:r w:rsidR="00F012E3">
        <w:tab/>
      </w:r>
      <w:r w:rsidR="00CD20B4" w:rsidRPr="00530A75">
        <w:t xml:space="preserve">States.   </w:t>
      </w:r>
      <w:proofErr w:type="gramStart"/>
      <w:r w:rsidR="00CD20B4" w:rsidRPr="00530A75">
        <w:rPr>
          <w:i/>
          <w:iCs/>
        </w:rPr>
        <w:t>JAWRA Journal of the American Water Resources Association</w:t>
      </w:r>
      <w:r w:rsidR="00CD20B4" w:rsidRPr="00530A75">
        <w:t xml:space="preserve"> </w:t>
      </w:r>
      <w:r w:rsidR="00CD20B4" w:rsidRPr="001841D9">
        <w:rPr>
          <w:b/>
          <w:bCs/>
        </w:rPr>
        <w:t>29</w:t>
      </w:r>
      <w:r w:rsidR="00CD20B4" w:rsidRPr="00530A75">
        <w:t>: 855-</w:t>
      </w:r>
      <w:r w:rsidR="00F012E3">
        <w:tab/>
      </w:r>
      <w:r w:rsidR="00CD20B4" w:rsidRPr="00530A75">
        <w:t>861.</w:t>
      </w:r>
      <w:proofErr w:type="gramEnd"/>
      <w:r w:rsidR="00CD20B4" w:rsidRPr="00530A75">
        <w:t xml:space="preserve">  DOI: </w:t>
      </w:r>
      <w:r w:rsidR="00CD20B4" w:rsidRPr="001841D9">
        <w:rPr>
          <w:shd w:val="clear" w:color="auto" w:fill="FFFFFF"/>
        </w:rPr>
        <w:t>10.1111/j.1752-1688.1993.tb03245.x.</w:t>
      </w:r>
    </w:p>
    <w:p w:rsidR="00CD20B4" w:rsidRPr="00530A75" w:rsidRDefault="00CD20B4" w:rsidP="00CD20B4">
      <w:r w:rsidRPr="00530A75">
        <w:t xml:space="preserve">Legutke S, Voss R.  1999.  </w:t>
      </w:r>
      <w:r w:rsidRPr="00530A75">
        <w:rPr>
          <w:i/>
          <w:iCs/>
        </w:rPr>
        <w:t xml:space="preserve">The Hamburg Atmosphere-Ocean Coupled Circulation </w:t>
      </w:r>
      <w:r w:rsidR="00F012E3">
        <w:rPr>
          <w:i/>
          <w:iCs/>
        </w:rPr>
        <w:tab/>
      </w:r>
      <w:r w:rsidRPr="00530A75">
        <w:rPr>
          <w:i/>
          <w:iCs/>
        </w:rPr>
        <w:t>Model</w:t>
      </w:r>
      <w:r w:rsidRPr="00530A75">
        <w:t xml:space="preserve"> ECHO-G.  Hamburg: </w:t>
      </w:r>
      <w:r w:rsidRPr="001841D9">
        <w:rPr>
          <w:shd w:val="clear" w:color="auto" w:fill="FFFFFF"/>
        </w:rPr>
        <w:t>Modell Betreuungsgruppe DKRZ</w:t>
      </w:r>
      <w:r w:rsidRPr="00530A75">
        <w:t>; 62.</w:t>
      </w:r>
    </w:p>
    <w:p w:rsidR="00CD20B4" w:rsidRPr="00383711" w:rsidRDefault="00CD20B4" w:rsidP="00CD20B4">
      <w:r w:rsidRPr="00530A75">
        <w:t xml:space="preserve">Liu Q, Cui B.  2011.  Impacts of climate change/variability on the streamflow in the </w:t>
      </w:r>
      <w:r w:rsidR="00F012E3">
        <w:tab/>
      </w:r>
      <w:r w:rsidRPr="00383711">
        <w:t xml:space="preserve">Yellow River Basin, China.  </w:t>
      </w:r>
      <w:r w:rsidRPr="00383711">
        <w:rPr>
          <w:i/>
          <w:iCs/>
        </w:rPr>
        <w:t xml:space="preserve">Ecological Modelling </w:t>
      </w:r>
      <w:r w:rsidRPr="00383711">
        <w:rPr>
          <w:b/>
          <w:bCs/>
        </w:rPr>
        <w:t>222</w:t>
      </w:r>
      <w:r w:rsidRPr="00383711">
        <w:t xml:space="preserve">: 268-274.  DOI: </w:t>
      </w:r>
      <w:r w:rsidR="00F012E3">
        <w:tab/>
      </w:r>
      <w:r w:rsidRPr="00CE05DE">
        <w:t>10.1016/j.ecolmodel.2009.11.022</w:t>
      </w:r>
      <w:r w:rsidR="00182C99">
        <w:t>.</w:t>
      </w:r>
    </w:p>
    <w:p w:rsidR="00CD20B4" w:rsidRPr="00383711" w:rsidRDefault="00CD20B4" w:rsidP="00CD20B4">
      <w:proofErr w:type="gramStart"/>
      <w:r w:rsidRPr="00383711">
        <w:t>Ma X, Xu JC, van Noordwijk M.</w:t>
      </w:r>
      <w:proofErr w:type="gramEnd"/>
      <w:r w:rsidRPr="00383711">
        <w:t xml:space="preserve">  2010.  Sensitivity of streamflow from a Himalayan </w:t>
      </w:r>
      <w:r w:rsidR="00F012E3">
        <w:tab/>
      </w:r>
      <w:r w:rsidRPr="00383711">
        <w:t xml:space="preserve">catchment to plausible changes in land cover and climate. </w:t>
      </w:r>
      <w:r w:rsidRPr="00383711">
        <w:rPr>
          <w:i/>
          <w:iCs/>
        </w:rPr>
        <w:t xml:space="preserve">Hydrological </w:t>
      </w:r>
      <w:r w:rsidR="00F012E3">
        <w:rPr>
          <w:i/>
          <w:iCs/>
        </w:rPr>
        <w:tab/>
      </w:r>
      <w:r w:rsidRPr="00383711">
        <w:rPr>
          <w:i/>
          <w:iCs/>
        </w:rPr>
        <w:t>Processes</w:t>
      </w:r>
      <w:r w:rsidRPr="00383711">
        <w:t xml:space="preserve"> </w:t>
      </w:r>
      <w:r w:rsidRPr="00383711">
        <w:rPr>
          <w:b/>
          <w:bCs/>
        </w:rPr>
        <w:t>24</w:t>
      </w:r>
      <w:r w:rsidRPr="00383711">
        <w:t xml:space="preserve">: 1379-1390.  DOI: </w:t>
      </w:r>
      <w:r w:rsidRPr="00383711">
        <w:rPr>
          <w:color w:val="000000"/>
          <w:shd w:val="clear" w:color="auto" w:fill="FFFFFF"/>
        </w:rPr>
        <w:t>10.1002/hyp.7602.</w:t>
      </w:r>
    </w:p>
    <w:p w:rsidR="00CD20B4" w:rsidRPr="00383711" w:rsidRDefault="00CD20B4" w:rsidP="00CD20B4">
      <w:r w:rsidRPr="00383711">
        <w:t xml:space="preserve">Marti O, </w:t>
      </w:r>
      <w:r w:rsidRPr="00383711">
        <w:rPr>
          <w:i/>
          <w:iCs/>
        </w:rPr>
        <w:t>et al.</w:t>
      </w:r>
      <w:proofErr w:type="gramStart"/>
      <w:r w:rsidRPr="00383711">
        <w:t>,  2005</w:t>
      </w:r>
      <w:proofErr w:type="gramEnd"/>
      <w:r w:rsidRPr="00383711">
        <w:t xml:space="preserve">.  </w:t>
      </w:r>
      <w:r w:rsidRPr="00383711">
        <w:rPr>
          <w:i/>
          <w:iCs/>
        </w:rPr>
        <w:t>The New IPSL climate system model: IPSL-CM4</w:t>
      </w:r>
      <w:r w:rsidRPr="00A60D03">
        <w:t xml:space="preserve">.  </w:t>
      </w:r>
      <w:r w:rsidRPr="00A60D03">
        <w:rPr>
          <w:rFonts w:eastAsia="Arial Unicode MS"/>
          <w:iCs/>
          <w:color w:val="000000"/>
          <w:shd w:val="clear" w:color="auto" w:fill="FFFFFF"/>
        </w:rPr>
        <w:t xml:space="preserve">Note du Pôle </w:t>
      </w:r>
      <w:r w:rsidR="00F012E3" w:rsidRPr="00A60D03">
        <w:rPr>
          <w:rFonts w:eastAsia="Arial Unicode MS"/>
          <w:iCs/>
          <w:color w:val="000000"/>
          <w:shd w:val="clear" w:color="auto" w:fill="FFFFFF"/>
        </w:rPr>
        <w:tab/>
      </w:r>
      <w:r w:rsidRPr="00A60D03">
        <w:rPr>
          <w:rFonts w:eastAsia="Arial Unicode MS"/>
          <w:iCs/>
          <w:color w:val="000000"/>
          <w:shd w:val="clear" w:color="auto" w:fill="FFFFFF"/>
        </w:rPr>
        <w:t>de Modélisation, IPSL</w:t>
      </w:r>
      <w:r w:rsidRPr="00383711">
        <w:t xml:space="preserve"> </w:t>
      </w:r>
      <w:r w:rsidRPr="00383711">
        <w:rPr>
          <w:b/>
          <w:bCs/>
        </w:rPr>
        <w:t>26</w:t>
      </w:r>
      <w:r w:rsidRPr="00383711">
        <w:t>: 1-86</w:t>
      </w:r>
      <w:r w:rsidRPr="00383711">
        <w:rPr>
          <w:b/>
          <w:bCs/>
        </w:rPr>
        <w:t>.</w:t>
      </w:r>
    </w:p>
    <w:p w:rsidR="00CD20B4" w:rsidRPr="00383711" w:rsidRDefault="00CD20B4" w:rsidP="00CD20B4">
      <w:r w:rsidRPr="00383711">
        <w:t xml:space="preserve">Maurer, EP.  2007.  Uncertainty in hydrologic impacts of climate change in the Sierra </w:t>
      </w:r>
      <w:r w:rsidR="00F012E3">
        <w:tab/>
      </w:r>
      <w:r w:rsidRPr="00383711">
        <w:t xml:space="preserve">Nevada, California, under two emissions scenarios. </w:t>
      </w:r>
      <w:proofErr w:type="gramStart"/>
      <w:r w:rsidRPr="00383711">
        <w:rPr>
          <w:i/>
          <w:iCs/>
        </w:rPr>
        <w:t>Climatic Change</w:t>
      </w:r>
      <w:r w:rsidRPr="00383711">
        <w:t xml:space="preserve"> </w:t>
      </w:r>
      <w:r w:rsidRPr="00383711">
        <w:rPr>
          <w:b/>
          <w:bCs/>
        </w:rPr>
        <w:t>82</w:t>
      </w:r>
      <w:r w:rsidRPr="00383711">
        <w:t>: 309-</w:t>
      </w:r>
      <w:r w:rsidR="00F012E3">
        <w:tab/>
      </w:r>
      <w:r w:rsidRPr="00383711">
        <w:t>325.</w:t>
      </w:r>
      <w:proofErr w:type="gramEnd"/>
      <w:r w:rsidRPr="00383711">
        <w:t xml:space="preserve">  DOI: </w:t>
      </w:r>
      <w:r w:rsidRPr="00383711">
        <w:rPr>
          <w:rFonts w:eastAsia="Times New Roman"/>
        </w:rPr>
        <w:t>10.1007/s10584-006-9180-9.</w:t>
      </w:r>
    </w:p>
    <w:p w:rsidR="00CD20B4" w:rsidRPr="00383711" w:rsidRDefault="00CD20B4" w:rsidP="00CD20B4">
      <w:pPr>
        <w:rPr>
          <w:rFonts w:eastAsia="Times New Roman"/>
        </w:rPr>
      </w:pPr>
      <w:proofErr w:type="gramStart"/>
      <w:r w:rsidRPr="00383711">
        <w:lastRenderedPageBreak/>
        <w:t xml:space="preserve">Milly, PCD, Betancourt J, Falkenmark M, Hirsch RM, Kundzewicz ZW, Lettenmaier </w:t>
      </w:r>
      <w:r w:rsidR="00F012E3">
        <w:tab/>
      </w:r>
      <w:r w:rsidRPr="00383711">
        <w:t>DP, Stouffer RJ.</w:t>
      </w:r>
      <w:proofErr w:type="gramEnd"/>
      <w:r w:rsidRPr="00383711">
        <w:t xml:space="preserve">  2008.  Climate change - stationarity is dead: whither water </w:t>
      </w:r>
      <w:r w:rsidR="00F012E3">
        <w:tab/>
      </w:r>
      <w:r w:rsidRPr="00383711">
        <w:t>management</w:t>
      </w:r>
      <w:proofErr w:type="gramStart"/>
      <w:r w:rsidRPr="00383711">
        <w:t>?.</w:t>
      </w:r>
      <w:proofErr w:type="gramEnd"/>
      <w:r w:rsidRPr="00383711">
        <w:t xml:space="preserve"> </w:t>
      </w:r>
      <w:r w:rsidRPr="00383711">
        <w:rPr>
          <w:i/>
          <w:iCs/>
        </w:rPr>
        <w:t>Science</w:t>
      </w:r>
      <w:r w:rsidRPr="00383711">
        <w:t xml:space="preserve"> </w:t>
      </w:r>
      <w:r w:rsidRPr="00383711">
        <w:rPr>
          <w:b/>
          <w:bCs/>
        </w:rPr>
        <w:t>319</w:t>
      </w:r>
      <w:r w:rsidRPr="00383711">
        <w:t xml:space="preserve">: 573-574.  DOI: </w:t>
      </w:r>
      <w:r w:rsidR="00182C99">
        <w:rPr>
          <w:rFonts w:eastAsia="Times New Roman"/>
        </w:rPr>
        <w:t>10.1126/science.1151915.</w:t>
      </w:r>
    </w:p>
    <w:p w:rsidR="00CD20B4" w:rsidRDefault="00CD20B4" w:rsidP="00CD20B4">
      <w:r w:rsidRPr="00383711">
        <w:t xml:space="preserve">Montenegro S, Ragab R.  2012.  Impact of possible climate and land use changes in the </w:t>
      </w:r>
      <w:r w:rsidR="00F012E3">
        <w:tab/>
      </w:r>
      <w:r w:rsidRPr="00383711">
        <w:t xml:space="preserve">semi arid regions: a case study from North Eastern Brazil, </w:t>
      </w:r>
      <w:r w:rsidRPr="00383711">
        <w:rPr>
          <w:i/>
        </w:rPr>
        <w:t>Journal of Hydrology</w:t>
      </w:r>
      <w:r w:rsidRPr="00383711">
        <w:t xml:space="preserve">, </w:t>
      </w:r>
      <w:r w:rsidR="00F012E3">
        <w:tab/>
      </w:r>
      <w:r w:rsidRPr="00383711">
        <w:rPr>
          <w:b/>
        </w:rPr>
        <w:t>434–435</w:t>
      </w:r>
      <w:r w:rsidRPr="00383711">
        <w:t xml:space="preserve">, </w:t>
      </w:r>
      <w:proofErr w:type="gramStart"/>
      <w:r w:rsidRPr="00383711">
        <w:t>55</w:t>
      </w:r>
      <w:proofErr w:type="gramEnd"/>
      <w:r w:rsidRPr="00383711">
        <w:t xml:space="preserve">-68.  </w:t>
      </w:r>
      <w:r w:rsidRPr="00ED1CB6">
        <w:t xml:space="preserve">DOI: </w:t>
      </w:r>
      <w:r w:rsidRPr="00440849">
        <w:rPr>
          <w:rFonts w:eastAsia="Arial Unicode MS"/>
          <w:bdr w:val="none" w:sz="0" w:space="0" w:color="auto" w:frame="1"/>
          <w:shd w:val="clear" w:color="auto" w:fill="FFFFFF"/>
        </w:rPr>
        <w:t>10.1016/j.jhydrol.2012.02.036</w:t>
      </w:r>
      <w:r w:rsidRPr="00383711">
        <w:t>.</w:t>
      </w:r>
    </w:p>
    <w:p w:rsidR="00CD20B4" w:rsidRPr="00383711" w:rsidRDefault="00CD20B4" w:rsidP="00CD20B4">
      <w:proofErr w:type="gramStart"/>
      <w:r>
        <w:t>Moriasi DN</w:t>
      </w:r>
      <w:r w:rsidRPr="00C23133">
        <w:t>,</w:t>
      </w:r>
      <w:r>
        <w:t xml:space="preserve"> </w:t>
      </w:r>
      <w:r w:rsidRPr="00C23133">
        <w:t>Arnold</w:t>
      </w:r>
      <w:r>
        <w:t xml:space="preserve"> JG</w:t>
      </w:r>
      <w:r w:rsidRPr="00C23133">
        <w:t>, Van Liew</w:t>
      </w:r>
      <w:r>
        <w:t xml:space="preserve"> MW</w:t>
      </w:r>
      <w:r w:rsidRPr="00C23133">
        <w:t>, Bingner</w:t>
      </w:r>
      <w:r>
        <w:t xml:space="preserve"> RL</w:t>
      </w:r>
      <w:r w:rsidRPr="00C23133">
        <w:t>, Harmel</w:t>
      </w:r>
      <w:r>
        <w:t xml:space="preserve"> RD</w:t>
      </w:r>
      <w:r w:rsidRPr="00C23133">
        <w:t>,</w:t>
      </w:r>
      <w:r>
        <w:t xml:space="preserve"> Veith TL.</w:t>
      </w:r>
      <w:proofErr w:type="gramEnd"/>
      <w:r>
        <w:t xml:space="preserve">  2007.  </w:t>
      </w:r>
      <w:r w:rsidR="00F012E3">
        <w:tab/>
      </w:r>
      <w:r w:rsidRPr="00C23133">
        <w:t>Model evaluation guidelines for systematic quantification of ac</w:t>
      </w:r>
      <w:r>
        <w:t xml:space="preserve">curacy in </w:t>
      </w:r>
      <w:r w:rsidR="00F012E3">
        <w:tab/>
      </w:r>
      <w:r>
        <w:t>watershed simulations.</w:t>
      </w:r>
      <w:r w:rsidRPr="00C23133">
        <w:t xml:space="preserve"> </w:t>
      </w:r>
      <w:r w:rsidRPr="00440849">
        <w:rPr>
          <w:i/>
        </w:rPr>
        <w:t>Transactions of the ASABE</w:t>
      </w:r>
      <w:r w:rsidRPr="00C23133">
        <w:t xml:space="preserve">, </w:t>
      </w:r>
      <w:r w:rsidRPr="00440849">
        <w:rPr>
          <w:b/>
        </w:rPr>
        <w:t>50</w:t>
      </w:r>
      <w:r>
        <w:t>:</w:t>
      </w:r>
      <w:r w:rsidRPr="00C23133">
        <w:t xml:space="preserve"> 885-900.</w:t>
      </w:r>
    </w:p>
    <w:p w:rsidR="00CD20B4" w:rsidRDefault="00CD20B4" w:rsidP="00CD20B4">
      <w:proofErr w:type="gramStart"/>
      <w:r w:rsidRPr="00383711">
        <w:t>National Research Council.</w:t>
      </w:r>
      <w:proofErr w:type="gramEnd"/>
      <w:r w:rsidRPr="00383711">
        <w:t xml:space="preserve">  2008.  </w:t>
      </w:r>
      <w:r w:rsidRPr="00383711">
        <w:rPr>
          <w:i/>
          <w:iCs/>
        </w:rPr>
        <w:t>Water Implications of Biofuels Production in the</w:t>
      </w:r>
      <w:r w:rsidRPr="001841D9">
        <w:rPr>
          <w:i/>
          <w:iCs/>
        </w:rPr>
        <w:t xml:space="preserve"> </w:t>
      </w:r>
      <w:r w:rsidR="00F012E3">
        <w:rPr>
          <w:i/>
          <w:iCs/>
        </w:rPr>
        <w:tab/>
      </w:r>
      <w:r w:rsidRPr="001841D9">
        <w:rPr>
          <w:i/>
          <w:iCs/>
        </w:rPr>
        <w:t>United States</w:t>
      </w:r>
      <w:r>
        <w:t xml:space="preserve">.  </w:t>
      </w:r>
      <w:r w:rsidR="00257449">
        <w:t xml:space="preserve">National Academies Press: </w:t>
      </w:r>
      <w:r w:rsidRPr="00530A75">
        <w:t>Washington, D.C.</w:t>
      </w:r>
      <w:r w:rsidR="00257449">
        <w:t xml:space="preserve">: </w:t>
      </w:r>
      <w:r w:rsidR="009C3309">
        <w:t xml:space="preserve">National </w:t>
      </w:r>
      <w:r w:rsidR="00257449">
        <w:tab/>
      </w:r>
      <w:r w:rsidR="009C3309">
        <w:t>Academies Press; 76</w:t>
      </w:r>
      <w:r w:rsidR="00182C99">
        <w:t>.</w:t>
      </w:r>
    </w:p>
    <w:p w:rsidR="00257449" w:rsidRPr="00530A75" w:rsidRDefault="00257449" w:rsidP="00CD20B4">
      <w:proofErr w:type="gramStart"/>
      <w:r>
        <w:t>Neitsch SL, Arnold JG, Kiniry, JR, Williams JR.</w:t>
      </w:r>
      <w:proofErr w:type="gramEnd"/>
      <w:r>
        <w:t xml:space="preserve">  2011.  </w:t>
      </w:r>
      <w:r w:rsidRPr="00257449">
        <w:rPr>
          <w:i/>
        </w:rPr>
        <w:t xml:space="preserve">Soil and Water Assessment </w:t>
      </w:r>
      <w:r w:rsidRPr="00257449">
        <w:rPr>
          <w:i/>
        </w:rPr>
        <w:tab/>
        <w:t xml:space="preserve">Tool Theoretical Documentation Version 2009: Texas Water Resources Institute </w:t>
      </w:r>
      <w:r w:rsidRPr="00257449">
        <w:rPr>
          <w:i/>
        </w:rPr>
        <w:tab/>
        <w:t>Technical Report No. 406</w:t>
      </w:r>
      <w:r>
        <w:t xml:space="preserve">.  Texas Water Resources </w:t>
      </w:r>
      <w:r>
        <w:tab/>
        <w:t xml:space="preserve">Institute: College Station, </w:t>
      </w:r>
      <w:r>
        <w:tab/>
        <w:t xml:space="preserve">TX; 618.  Available on-line at: </w:t>
      </w:r>
      <w:r>
        <w:tab/>
      </w:r>
      <w:r w:rsidRPr="00257449">
        <w:t>http://twri.tamu.edu/reports/2011/tr406.pdf</w:t>
      </w:r>
      <w:r>
        <w:t>.  Last accessed 15 September 2013.</w:t>
      </w:r>
    </w:p>
    <w:p w:rsidR="00CD20B4" w:rsidRPr="00530A75" w:rsidRDefault="00CD20B4" w:rsidP="00CD20B4">
      <w:r w:rsidRPr="00530A75">
        <w:t xml:space="preserve">Praskievicz S, Chang H.  2009.  A Review of hydrological modelling of basin-scale </w:t>
      </w:r>
      <w:r w:rsidR="00F012E3">
        <w:tab/>
      </w:r>
      <w:r w:rsidRPr="00530A75">
        <w:t xml:space="preserve">climate change and urban development impacts.  </w:t>
      </w:r>
      <w:r w:rsidRPr="001841D9">
        <w:rPr>
          <w:i/>
          <w:iCs/>
        </w:rPr>
        <w:t xml:space="preserve">Progress in Physical </w:t>
      </w:r>
      <w:r w:rsidR="00F012E3">
        <w:rPr>
          <w:i/>
          <w:iCs/>
        </w:rPr>
        <w:tab/>
      </w:r>
      <w:r w:rsidRPr="001841D9">
        <w:rPr>
          <w:i/>
          <w:iCs/>
        </w:rPr>
        <w:t>Geography</w:t>
      </w:r>
      <w:r w:rsidRPr="00530A75">
        <w:t xml:space="preserve"> </w:t>
      </w:r>
      <w:r w:rsidRPr="001841D9">
        <w:rPr>
          <w:b/>
          <w:bCs/>
        </w:rPr>
        <w:t>33</w:t>
      </w:r>
      <w:r w:rsidRPr="00530A75">
        <w:t>: 650-671</w:t>
      </w:r>
      <w:r>
        <w:t xml:space="preserve">.  </w:t>
      </w:r>
      <w:r w:rsidRPr="00530A75">
        <w:t xml:space="preserve">DOI: </w:t>
      </w:r>
      <w:r w:rsidRPr="001841D9">
        <w:rPr>
          <w:shd w:val="clear" w:color="auto" w:fill="FFFFFF"/>
        </w:rPr>
        <w:t>10.1177/0309133309348098.</w:t>
      </w:r>
    </w:p>
    <w:p w:rsidR="003A4E61" w:rsidRDefault="00CD20B4" w:rsidP="00CD20B4">
      <w:r w:rsidRPr="00530A75">
        <w:t xml:space="preserve">Praskievicz S, Chang H.  2011.  Impacts of climate change and urban development on </w:t>
      </w:r>
      <w:r w:rsidR="00F012E3">
        <w:tab/>
      </w:r>
      <w:r w:rsidRPr="00530A75">
        <w:t xml:space="preserve">water resources in the Tualatin River Basin, Oregon.  </w:t>
      </w:r>
      <w:r w:rsidRPr="00530A75">
        <w:rPr>
          <w:i/>
          <w:iCs/>
        </w:rPr>
        <w:t xml:space="preserve">Annals of the Association </w:t>
      </w:r>
      <w:r w:rsidR="00F012E3">
        <w:rPr>
          <w:i/>
          <w:iCs/>
        </w:rPr>
        <w:tab/>
      </w:r>
      <w:r w:rsidRPr="00530A75">
        <w:rPr>
          <w:i/>
          <w:iCs/>
        </w:rPr>
        <w:t>of American Geographers</w:t>
      </w:r>
      <w:r w:rsidRPr="00530A75">
        <w:t xml:space="preserve"> </w:t>
      </w:r>
      <w:r w:rsidRPr="001841D9">
        <w:rPr>
          <w:b/>
          <w:bCs/>
        </w:rPr>
        <w:t>101</w:t>
      </w:r>
      <w:r w:rsidRPr="00530A75">
        <w:t>: 249-271.  DOI</w:t>
      </w:r>
      <w:r w:rsidR="00182C99">
        <w:t>: 10.1080/00045608.2010.544934.</w:t>
      </w:r>
    </w:p>
    <w:p w:rsidR="003A4E61" w:rsidRDefault="003A4E61" w:rsidP="003A4E61">
      <w:pPr>
        <w:spacing w:after="0"/>
      </w:pPr>
      <w:proofErr w:type="gramStart"/>
      <w:r>
        <w:t>Reclamation.</w:t>
      </w:r>
      <w:proofErr w:type="gramEnd"/>
      <w:r>
        <w:t xml:space="preserve"> 2013. Downscaled CMIP3 and CMIP5 Climate Projections: Release of </w:t>
      </w:r>
      <w:r>
        <w:tab/>
        <w:t xml:space="preserve">Downscaled CMIP5 Climate Projections, Comparison with Preceding </w:t>
      </w:r>
      <w:r>
        <w:tab/>
        <w:t xml:space="preserve">Information, and Summary of User Needs.  U.S. Department of the Interior, </w:t>
      </w:r>
      <w:r>
        <w:tab/>
        <w:t>Bureau of Reclamation, Technical Service Center: Denver; 116.  Available on-</w:t>
      </w:r>
      <w:r>
        <w:tab/>
        <w:t xml:space="preserve">line at:  </w:t>
      </w:r>
      <w:r>
        <w:tab/>
        <w:t xml:space="preserve">http://gdodcp.ucllnl.org/downscaled_cmip_projections/techmemo/downscaled_c </w:t>
      </w:r>
    </w:p>
    <w:p w:rsidR="003A4E61" w:rsidRDefault="003A4E61" w:rsidP="003A4E61">
      <w:pPr>
        <w:spacing w:after="0"/>
      </w:pPr>
      <w:r>
        <w:tab/>
      </w:r>
      <w:proofErr w:type="gramStart"/>
      <w:r>
        <w:t>limate.pdf (last accessed 21 September 2013).</w:t>
      </w:r>
      <w:proofErr w:type="gramEnd"/>
    </w:p>
    <w:p w:rsidR="003A4E61" w:rsidRPr="00530A75" w:rsidRDefault="003A4E61" w:rsidP="003A4E61">
      <w:pPr>
        <w:spacing w:after="0"/>
      </w:pPr>
    </w:p>
    <w:p w:rsidR="00CD20B4" w:rsidRPr="00530A75" w:rsidRDefault="00CD20B4" w:rsidP="00CD20B4">
      <w:r w:rsidRPr="00530A75">
        <w:t xml:space="preserve">Russell GL, Miller JR, Rind D, Ruedy RA, Schmidt GA, Sheth </w:t>
      </w:r>
      <w:r w:rsidR="00D56530">
        <w:t xml:space="preserve">S.  2000.  Comparison </w:t>
      </w:r>
      <w:r w:rsidR="00F012E3">
        <w:tab/>
      </w:r>
      <w:r w:rsidR="00D56530">
        <w:t xml:space="preserve">of model </w:t>
      </w:r>
      <w:r w:rsidRPr="00530A75">
        <w:t xml:space="preserve">and observed regional temperature changes during the past 40 years. </w:t>
      </w:r>
      <w:r w:rsidR="00F012E3">
        <w:tab/>
      </w:r>
      <w:r w:rsidRPr="00530A75">
        <w:rPr>
          <w:i/>
          <w:iCs/>
        </w:rPr>
        <w:t>Journal of Geophysical Research-Atmospheres</w:t>
      </w:r>
      <w:r w:rsidRPr="00530A75">
        <w:t xml:space="preserve"> </w:t>
      </w:r>
      <w:r w:rsidRPr="001841D9">
        <w:rPr>
          <w:b/>
          <w:bCs/>
        </w:rPr>
        <w:t>105</w:t>
      </w:r>
      <w:r w:rsidRPr="00530A75">
        <w:t xml:space="preserve">: 14891-14898.  DOI: </w:t>
      </w:r>
      <w:r w:rsidR="00F012E3">
        <w:tab/>
      </w:r>
      <w:r w:rsidRPr="001841D9">
        <w:rPr>
          <w:shd w:val="clear" w:color="auto" w:fill="FFFFFF"/>
        </w:rPr>
        <w:t>10.1029/2000JD900156.</w:t>
      </w:r>
    </w:p>
    <w:p w:rsidR="00CD20B4" w:rsidRPr="00D56530" w:rsidRDefault="00CD20B4" w:rsidP="00CD20B4">
      <w:pPr>
        <w:rPr>
          <w:i/>
          <w:iCs/>
        </w:rPr>
      </w:pPr>
      <w:r w:rsidRPr="00530A75">
        <w:t xml:space="preserve">Salas-Melia D, Chauvin F, Deque M, Douville H, Gueremy JF, Marquet P, Planton S, </w:t>
      </w:r>
      <w:r w:rsidR="00F012E3">
        <w:tab/>
      </w:r>
      <w:r w:rsidR="00044BB3">
        <w:t xml:space="preserve">Royer JF, Tyteca S.  2005.  </w:t>
      </w:r>
      <w:r w:rsidRPr="00530A75">
        <w:rPr>
          <w:i/>
          <w:iCs/>
        </w:rPr>
        <w:t xml:space="preserve">Description and validation of the CNRM-CM3 </w:t>
      </w:r>
      <w:r w:rsidR="00F012E3">
        <w:rPr>
          <w:i/>
          <w:iCs/>
        </w:rPr>
        <w:tab/>
      </w:r>
      <w:r w:rsidRPr="00530A75">
        <w:rPr>
          <w:i/>
          <w:iCs/>
        </w:rPr>
        <w:t xml:space="preserve">global coupled model: CNRM Technical Report 103.  </w:t>
      </w:r>
      <w:r w:rsidRPr="001841D9">
        <w:t>Toulouse: CNRM.</w:t>
      </w:r>
      <w:r w:rsidRPr="00530A75">
        <w:t xml:space="preserve">  </w:t>
      </w:r>
      <w:r w:rsidR="00F012E3">
        <w:tab/>
      </w:r>
      <w:r w:rsidRPr="00530A75">
        <w:t xml:space="preserve">Available on-line at: </w:t>
      </w:r>
      <w:r w:rsidRPr="00816F60">
        <w:t>http://www.cnrm.meteo.fr/scenario2004/paper_cm3.pdf</w:t>
      </w:r>
      <w:r w:rsidRPr="001841D9">
        <w:t xml:space="preserve">.  </w:t>
      </w:r>
      <w:r w:rsidR="00F012E3">
        <w:tab/>
      </w:r>
      <w:r w:rsidRPr="001841D9">
        <w:t>Last accessed 7 May 2013.</w:t>
      </w:r>
    </w:p>
    <w:p w:rsidR="00CD20B4" w:rsidRPr="00530A75" w:rsidRDefault="00CD20B4" w:rsidP="00CD20B4">
      <w:r w:rsidRPr="00530A75">
        <w:lastRenderedPageBreak/>
        <w:t xml:space="preserve">Searchinger T, Heimlich R, Houghton RA, Dong F, Elobeid A, Fabiosa J, Tokgoz S, </w:t>
      </w:r>
      <w:r w:rsidR="00F012E3">
        <w:tab/>
      </w:r>
      <w:r w:rsidRPr="00530A75">
        <w:t xml:space="preserve">Hayes D, Yu T-H.  2008.  Use of US croplands for biofuels increases </w:t>
      </w:r>
      <w:r w:rsidR="00F012E3">
        <w:tab/>
      </w:r>
      <w:r w:rsidRPr="00530A75">
        <w:t xml:space="preserve">greenhouse gases through emissions from land-use change. </w:t>
      </w:r>
      <w:proofErr w:type="gramStart"/>
      <w:r w:rsidRPr="00530A75">
        <w:rPr>
          <w:i/>
          <w:iCs/>
        </w:rPr>
        <w:t>Science</w:t>
      </w:r>
      <w:r w:rsidRPr="00530A75">
        <w:t xml:space="preserve"> </w:t>
      </w:r>
      <w:r w:rsidRPr="001841D9">
        <w:rPr>
          <w:b/>
          <w:bCs/>
        </w:rPr>
        <w:t>319</w:t>
      </w:r>
      <w:r w:rsidRPr="00530A75">
        <w:t>: 1238-</w:t>
      </w:r>
      <w:r w:rsidR="00F012E3">
        <w:tab/>
      </w:r>
      <w:r w:rsidRPr="00530A75">
        <w:t>1240.</w:t>
      </w:r>
      <w:proofErr w:type="gramEnd"/>
      <w:r w:rsidRPr="00530A75">
        <w:t xml:space="preserve">  DOI: </w:t>
      </w:r>
      <w:r w:rsidRPr="001841D9">
        <w:rPr>
          <w:shd w:val="clear" w:color="auto" w:fill="FFFFFF"/>
        </w:rPr>
        <w:t>10.1126/science.1151861.</w:t>
      </w:r>
    </w:p>
    <w:p w:rsidR="00CD20B4" w:rsidRPr="00530A75" w:rsidRDefault="007C1450" w:rsidP="00CD20B4">
      <w:proofErr w:type="gramStart"/>
      <w:r>
        <w:t xml:space="preserve">Schilling </w:t>
      </w:r>
      <w:r w:rsidR="00CD20B4" w:rsidRPr="00530A75">
        <w:t>KE, Jha MK, Zhang YK, Gassman PW, Wolter CF.</w:t>
      </w:r>
      <w:proofErr w:type="gramEnd"/>
      <w:r w:rsidR="00CD20B4" w:rsidRPr="00530A75">
        <w:t xml:space="preserve">  2008.  Impact of land </w:t>
      </w:r>
      <w:r w:rsidR="00F012E3">
        <w:tab/>
      </w:r>
      <w:r w:rsidR="00CD20B4" w:rsidRPr="00530A75">
        <w:t xml:space="preserve">use and land cover change on the water balance of a large agricultural </w:t>
      </w:r>
      <w:r w:rsidR="00F012E3">
        <w:tab/>
      </w:r>
      <w:r w:rsidR="00CD20B4" w:rsidRPr="00530A75">
        <w:t xml:space="preserve">watershed: Historical effects and future directions. </w:t>
      </w:r>
      <w:r w:rsidR="00CD20B4" w:rsidRPr="00530A75">
        <w:rPr>
          <w:i/>
          <w:iCs/>
        </w:rPr>
        <w:t>Water Resources Research</w:t>
      </w:r>
      <w:r w:rsidR="00CD20B4" w:rsidRPr="00530A75">
        <w:t xml:space="preserve"> </w:t>
      </w:r>
      <w:r w:rsidR="00F012E3">
        <w:tab/>
      </w:r>
      <w:r w:rsidR="00CD20B4" w:rsidRPr="001841D9">
        <w:rPr>
          <w:b/>
          <w:bCs/>
        </w:rPr>
        <w:t>44</w:t>
      </w:r>
      <w:r w:rsidR="00CD20B4" w:rsidRPr="00530A75">
        <w:t xml:space="preserve">: </w:t>
      </w:r>
      <w:r w:rsidR="00CD20B4" w:rsidRPr="001841D9">
        <w:rPr>
          <w:shd w:val="clear" w:color="auto" w:fill="FFFFFF"/>
        </w:rPr>
        <w:t>W00A09</w:t>
      </w:r>
      <w:r w:rsidR="00CD20B4" w:rsidRPr="00530A75">
        <w:t xml:space="preserve">.  DOI: </w:t>
      </w:r>
      <w:r w:rsidR="00CD20B4" w:rsidRPr="001841D9">
        <w:rPr>
          <w:shd w:val="clear" w:color="auto" w:fill="FFFFFF"/>
        </w:rPr>
        <w:t>10.1029/2007WR006644.</w:t>
      </w:r>
    </w:p>
    <w:p w:rsidR="00456EEA" w:rsidRDefault="00CD20B4" w:rsidP="00CD20B4">
      <w:r w:rsidRPr="00530A75">
        <w:t xml:space="preserve">Sexton </w:t>
      </w:r>
      <w:proofErr w:type="gramStart"/>
      <w:r w:rsidRPr="00530A75">
        <w:t>AM</w:t>
      </w:r>
      <w:proofErr w:type="gramEnd"/>
      <w:r w:rsidRPr="00530A75">
        <w:t xml:space="preserve">, Sadeghi AM, Zhang X, Srinivasan R, Shirmohammadi A.  2010.  Using </w:t>
      </w:r>
      <w:r w:rsidR="00F012E3">
        <w:tab/>
      </w:r>
      <w:r w:rsidRPr="00530A75">
        <w:t xml:space="preserve">NEXRAD and rain gauge precipitation data for hydrologic calibration of SWAT </w:t>
      </w:r>
      <w:r w:rsidR="00F012E3">
        <w:tab/>
      </w:r>
      <w:r w:rsidRPr="00530A75">
        <w:t xml:space="preserve">in a northeastern watershed.  </w:t>
      </w:r>
      <w:r w:rsidRPr="00530A75">
        <w:rPr>
          <w:i/>
          <w:iCs/>
        </w:rPr>
        <w:t>Transactions of the ASABE</w:t>
      </w:r>
      <w:r w:rsidRPr="00530A75">
        <w:t xml:space="preserve"> </w:t>
      </w:r>
      <w:r w:rsidRPr="001841D9">
        <w:rPr>
          <w:b/>
          <w:bCs/>
        </w:rPr>
        <w:t>53</w:t>
      </w:r>
      <w:r w:rsidR="00D56530">
        <w:t>: 1501-1510.</w:t>
      </w:r>
    </w:p>
    <w:p w:rsidR="00456EEA" w:rsidRPr="00530A75" w:rsidRDefault="00456EEA" w:rsidP="00CD20B4">
      <w:r w:rsidRPr="005B7693">
        <w:t xml:space="preserve">Sheshukov, </w:t>
      </w:r>
      <w:r>
        <w:t>AY</w:t>
      </w:r>
      <w:r w:rsidRPr="005B7693">
        <w:t xml:space="preserve">, Daggupati </w:t>
      </w:r>
      <w:r>
        <w:t>P</w:t>
      </w:r>
      <w:r w:rsidRPr="005B7693">
        <w:t xml:space="preserve">, Lee </w:t>
      </w:r>
      <w:r>
        <w:t>M-C</w:t>
      </w:r>
      <w:r w:rsidRPr="005B7693">
        <w:t>, Douglas-Mankin K.</w:t>
      </w:r>
      <w:r>
        <w:t xml:space="preserve">  </w:t>
      </w:r>
      <w:proofErr w:type="gramStart"/>
      <w:r w:rsidRPr="005B7693">
        <w:t>2009</w:t>
      </w:r>
      <w:r>
        <w:t xml:space="preserve">.  </w:t>
      </w:r>
      <w:r w:rsidRPr="005B7693">
        <w:t xml:space="preserve">ArcMap Tool </w:t>
      </w:r>
      <w:r>
        <w:tab/>
      </w:r>
      <w:r w:rsidRPr="005B7693">
        <w:t>for Pre-processing S</w:t>
      </w:r>
      <w:r>
        <w:t>SURGO Soil Database for ArcSWAT.</w:t>
      </w:r>
      <w:proofErr w:type="gramEnd"/>
      <w:r>
        <w:t xml:space="preserve">  </w:t>
      </w:r>
      <w:r w:rsidRPr="005B7693">
        <w:rPr>
          <w:i/>
        </w:rPr>
        <w:t xml:space="preserve">Proceedings of the </w:t>
      </w:r>
      <w:r w:rsidRPr="005B7693">
        <w:rPr>
          <w:i/>
        </w:rPr>
        <w:tab/>
        <w:t>5th</w:t>
      </w:r>
      <w:r w:rsidRPr="005B7693">
        <w:rPr>
          <w:rFonts w:asciiTheme="majorHAnsi" w:hAnsiTheme="majorHAnsi" w:cstheme="majorHAnsi"/>
          <w:i/>
          <w:iCs/>
          <w:shd w:val="clear" w:color="auto" w:fill="DCE2EA"/>
        </w:rPr>
        <w:t xml:space="preserve"> </w:t>
      </w:r>
      <w:r w:rsidRPr="005B7693">
        <w:rPr>
          <w:i/>
        </w:rPr>
        <w:t>International SWAT Conference, Boulder, CO Aug 5-7, 2009</w:t>
      </w:r>
      <w:r>
        <w:t>.</w:t>
      </w:r>
    </w:p>
    <w:p w:rsidR="00CD20B4" w:rsidRPr="00530A75" w:rsidRDefault="00CD20B4" w:rsidP="00CD20B4">
      <w:r w:rsidRPr="00530A75">
        <w:t xml:space="preserve">Sohl TL, Sleeter BM, Sayler KL, Bouchard MA, Reker RR, Bennett SL, Sleeter RR, </w:t>
      </w:r>
      <w:r w:rsidR="00F012E3">
        <w:tab/>
      </w:r>
      <w:r w:rsidRPr="00530A75">
        <w:t xml:space="preserve">Kanengieter RL, Zhu ZL.  2012.  Spatially explicit land-use and land-cover </w:t>
      </w:r>
      <w:r w:rsidR="00F012E3">
        <w:tab/>
      </w:r>
      <w:r w:rsidRPr="00530A75">
        <w:t xml:space="preserve">scenarios for the Great Plains of the United States.  </w:t>
      </w:r>
      <w:r w:rsidRPr="001841D9">
        <w:rPr>
          <w:i/>
          <w:iCs/>
        </w:rPr>
        <w:t xml:space="preserve">Agriculture, Ecosystems and </w:t>
      </w:r>
      <w:r w:rsidR="00F012E3">
        <w:rPr>
          <w:i/>
          <w:iCs/>
        </w:rPr>
        <w:tab/>
      </w:r>
      <w:r w:rsidRPr="001841D9">
        <w:rPr>
          <w:i/>
          <w:iCs/>
        </w:rPr>
        <w:t>Environment</w:t>
      </w:r>
      <w:r w:rsidRPr="00530A75">
        <w:t xml:space="preserve"> </w:t>
      </w:r>
      <w:r w:rsidRPr="001841D9">
        <w:rPr>
          <w:b/>
          <w:bCs/>
        </w:rPr>
        <w:t>153</w:t>
      </w:r>
      <w:r w:rsidRPr="00530A75">
        <w:t xml:space="preserve">: 1-15.  DOI: </w:t>
      </w:r>
      <w:r w:rsidRPr="001841D9">
        <w:t>10.1016/j.agee.2012.02.019.</w:t>
      </w:r>
    </w:p>
    <w:p w:rsidR="00CD20B4" w:rsidRPr="00530A75" w:rsidRDefault="00CD20B4" w:rsidP="00CD20B4">
      <w:r w:rsidRPr="00530A75">
        <w:t xml:space="preserve">Steinschneider S, Brown C.  2012.  Dynamic reservoir management with real-option </w:t>
      </w:r>
      <w:r w:rsidR="00F012E3">
        <w:tab/>
      </w:r>
      <w:r w:rsidRPr="00530A75">
        <w:t xml:space="preserve">risk hedging as a robust adaptation to nonstationary climate. </w:t>
      </w:r>
      <w:r w:rsidRPr="00530A75">
        <w:rPr>
          <w:i/>
          <w:iCs/>
        </w:rPr>
        <w:t xml:space="preserve">Water Resources </w:t>
      </w:r>
      <w:r w:rsidR="00F012E3">
        <w:rPr>
          <w:i/>
          <w:iCs/>
        </w:rPr>
        <w:tab/>
      </w:r>
      <w:r w:rsidRPr="00530A75">
        <w:rPr>
          <w:i/>
          <w:iCs/>
        </w:rPr>
        <w:t>Research</w:t>
      </w:r>
      <w:r w:rsidRPr="00530A75">
        <w:t xml:space="preserve"> </w:t>
      </w:r>
      <w:r w:rsidRPr="001841D9">
        <w:rPr>
          <w:b/>
          <w:bCs/>
        </w:rPr>
        <w:t>48</w:t>
      </w:r>
      <w:r w:rsidRPr="00530A75">
        <w:t xml:space="preserve">: </w:t>
      </w:r>
      <w:r w:rsidRPr="001841D9">
        <w:rPr>
          <w:rFonts w:eastAsia="Times New Roman"/>
        </w:rPr>
        <w:t>W05524.</w:t>
      </w:r>
      <w:r w:rsidRPr="00530A75">
        <w:rPr>
          <w:rFonts w:eastAsia="Times New Roman"/>
        </w:rPr>
        <w:t xml:space="preserve">  DOI: 1</w:t>
      </w:r>
      <w:r w:rsidRPr="001841D9">
        <w:rPr>
          <w:shd w:val="clear" w:color="auto" w:fill="FFFFFF"/>
        </w:rPr>
        <w:t>0.1029/2011WR011540.</w:t>
      </w:r>
    </w:p>
    <w:p w:rsidR="00CD20B4" w:rsidRPr="00530A75" w:rsidRDefault="00CD20B4" w:rsidP="00CD20B4">
      <w:r w:rsidRPr="00530A75">
        <w:t xml:space="preserve">Tebaldi C, Arblaster JM, Knutti R.  2011.  Mapping model agreement on future climate </w:t>
      </w:r>
      <w:r w:rsidR="00F012E3">
        <w:tab/>
      </w:r>
      <w:r w:rsidRPr="00530A75">
        <w:t xml:space="preserve">projections. </w:t>
      </w:r>
      <w:r w:rsidRPr="00530A75">
        <w:rPr>
          <w:i/>
          <w:iCs/>
        </w:rPr>
        <w:t>Geophysical Research Letters</w:t>
      </w:r>
      <w:r w:rsidRPr="00530A75">
        <w:t xml:space="preserve"> </w:t>
      </w:r>
      <w:r w:rsidRPr="001841D9">
        <w:rPr>
          <w:b/>
          <w:bCs/>
        </w:rPr>
        <w:t>38</w:t>
      </w:r>
      <w:r w:rsidRPr="00530A75">
        <w:t xml:space="preserve">: L23701.  DOI: </w:t>
      </w:r>
      <w:r w:rsidR="00F012E3">
        <w:tab/>
      </w:r>
      <w:r w:rsidRPr="001841D9">
        <w:rPr>
          <w:shd w:val="clear" w:color="auto" w:fill="FFFFFF"/>
        </w:rPr>
        <w:t>10.1029/2011GL049863.</w:t>
      </w:r>
    </w:p>
    <w:p w:rsidR="00CD20B4" w:rsidRPr="00530A75" w:rsidRDefault="00CD20B4" w:rsidP="00CD20B4">
      <w:proofErr w:type="gramStart"/>
      <w:r w:rsidRPr="00530A75">
        <w:t>U.S. Global Change Research Program.</w:t>
      </w:r>
      <w:proofErr w:type="gramEnd"/>
      <w:r w:rsidRPr="00530A75">
        <w:t xml:space="preserve">  2009.  </w:t>
      </w:r>
      <w:r w:rsidRPr="00530A75">
        <w:rPr>
          <w:i/>
          <w:iCs/>
        </w:rPr>
        <w:t xml:space="preserve">Global climate change impacts in the </w:t>
      </w:r>
      <w:r w:rsidR="00F012E3">
        <w:rPr>
          <w:i/>
          <w:iCs/>
        </w:rPr>
        <w:tab/>
      </w:r>
      <w:r w:rsidRPr="00530A75">
        <w:rPr>
          <w:i/>
          <w:iCs/>
        </w:rPr>
        <w:t>United States</w:t>
      </w:r>
      <w:r w:rsidRPr="00530A75">
        <w:t xml:space="preserve">.  </w:t>
      </w:r>
      <w:r w:rsidR="00257449">
        <w:t xml:space="preserve">Cambridge University Press: </w:t>
      </w:r>
      <w:r w:rsidRPr="00530A75">
        <w:t>New York</w:t>
      </w:r>
      <w:r w:rsidR="00D56530">
        <w:t>; 188.</w:t>
      </w:r>
    </w:p>
    <w:p w:rsidR="00CD20B4" w:rsidRPr="00530A75" w:rsidRDefault="00CD20B4" w:rsidP="00CD20B4">
      <w:proofErr w:type="gramStart"/>
      <w:r w:rsidRPr="00530A75">
        <w:t>van</w:t>
      </w:r>
      <w:proofErr w:type="gramEnd"/>
      <w:r w:rsidRPr="00530A75">
        <w:t xml:space="preserve"> Griensven A, Meixner T, Grunwald S, Bishop T, Diluzio A, Srinivasan R.  2006.  A </w:t>
      </w:r>
      <w:r w:rsidR="00F012E3">
        <w:tab/>
      </w:r>
      <w:r w:rsidRPr="00530A75">
        <w:t xml:space="preserve">Global sensitivity analysis tool for the parameters of multi-variable catchment </w:t>
      </w:r>
      <w:r w:rsidR="00F012E3">
        <w:tab/>
      </w:r>
      <w:r w:rsidRPr="00530A75">
        <w:t xml:space="preserve">models.  </w:t>
      </w:r>
      <w:r w:rsidRPr="00530A75">
        <w:rPr>
          <w:i/>
          <w:iCs/>
        </w:rPr>
        <w:t>Journal of Hydrology</w:t>
      </w:r>
      <w:r w:rsidRPr="00530A75">
        <w:t xml:space="preserve"> </w:t>
      </w:r>
      <w:r w:rsidRPr="00860D87">
        <w:rPr>
          <w:b/>
        </w:rPr>
        <w:t>324</w:t>
      </w:r>
      <w:r w:rsidRPr="00530A75">
        <w:t>: 10-23.  DOI:</w:t>
      </w:r>
      <w:r w:rsidR="00D56530">
        <w:t xml:space="preserve"> </w:t>
      </w:r>
      <w:r w:rsidR="00F012E3">
        <w:tab/>
      </w:r>
      <w:r w:rsidR="00D56530">
        <w:t>10.1016/j.jhydrol.2005.09.008.</w:t>
      </w:r>
    </w:p>
    <w:p w:rsidR="00CD20B4" w:rsidRPr="00530A75" w:rsidRDefault="00CD20B4" w:rsidP="00CD20B4">
      <w:r w:rsidRPr="00530A75">
        <w:t>Viger RJ, Hay LE, Markstr</w:t>
      </w:r>
      <w:r w:rsidR="009F1B37">
        <w:t>om SL, Jones JW, Buell GR.  2011</w:t>
      </w:r>
      <w:r w:rsidRPr="00530A75">
        <w:t xml:space="preserve">.  Hydrologic effects of </w:t>
      </w:r>
      <w:r w:rsidR="00F012E3">
        <w:tab/>
      </w:r>
      <w:r w:rsidRPr="00530A75">
        <w:t xml:space="preserve">urbanization and climate change on the Flint River Basin, Georgia.  </w:t>
      </w:r>
      <w:r w:rsidRPr="00530A75">
        <w:rPr>
          <w:i/>
          <w:iCs/>
        </w:rPr>
        <w:t xml:space="preserve">Earth </w:t>
      </w:r>
      <w:r w:rsidR="00F012E3">
        <w:rPr>
          <w:i/>
          <w:iCs/>
        </w:rPr>
        <w:tab/>
      </w:r>
      <w:r w:rsidRPr="00530A75">
        <w:rPr>
          <w:i/>
          <w:iCs/>
        </w:rPr>
        <w:t>Interactions</w:t>
      </w:r>
      <w:r w:rsidRPr="00530A75">
        <w:t xml:space="preserve"> </w:t>
      </w:r>
      <w:r w:rsidRPr="001841D9">
        <w:rPr>
          <w:b/>
          <w:bCs/>
        </w:rPr>
        <w:t>15</w:t>
      </w:r>
      <w:r w:rsidRPr="00530A75">
        <w:t xml:space="preserve">: 1-25.  DOI: </w:t>
      </w:r>
      <w:r w:rsidRPr="001841D9">
        <w:rPr>
          <w:rFonts w:eastAsia="Times New Roman"/>
        </w:rPr>
        <w:t>10.1175/2010EI369.1.</w:t>
      </w:r>
    </w:p>
    <w:p w:rsidR="00CD20B4" w:rsidRPr="00D56530" w:rsidRDefault="00CD20B4" w:rsidP="00CD20B4">
      <w:pPr>
        <w:rPr>
          <w:shd w:val="clear" w:color="auto" w:fill="FFFFFF"/>
        </w:rPr>
      </w:pPr>
      <w:proofErr w:type="gramStart"/>
      <w:r w:rsidRPr="00530A75">
        <w:rPr>
          <w:shd w:val="clear" w:color="auto" w:fill="FFFFFF"/>
        </w:rPr>
        <w:t>Vogel RM.</w:t>
      </w:r>
      <w:proofErr w:type="gramEnd"/>
      <w:r w:rsidRPr="00530A75">
        <w:rPr>
          <w:shd w:val="clear" w:color="auto" w:fill="FFFFFF"/>
        </w:rPr>
        <w:t xml:space="preserve">  2006.  </w:t>
      </w:r>
      <w:r w:rsidRPr="00530A75">
        <w:rPr>
          <w:rStyle w:val="apple-converted-space"/>
          <w:shd w:val="clear" w:color="auto" w:fill="FFFFFF"/>
        </w:rPr>
        <w:t xml:space="preserve"> Regional calibration of watershed models.  </w:t>
      </w:r>
      <w:r w:rsidRPr="00530A75">
        <w:t xml:space="preserve">In </w:t>
      </w:r>
      <w:r w:rsidRPr="00530A75">
        <w:rPr>
          <w:i/>
          <w:iCs/>
          <w:shd w:val="clear" w:color="auto" w:fill="FFFFFF"/>
        </w:rPr>
        <w:t>Watershed Models</w:t>
      </w:r>
      <w:r w:rsidRPr="00530A75">
        <w:rPr>
          <w:shd w:val="clear" w:color="auto" w:fill="FFFFFF"/>
        </w:rPr>
        <w:t xml:space="preserve">, </w:t>
      </w:r>
      <w:r w:rsidR="00F012E3">
        <w:rPr>
          <w:shd w:val="clear" w:color="auto" w:fill="FFFFFF"/>
        </w:rPr>
        <w:tab/>
      </w:r>
      <w:r w:rsidRPr="00530A75">
        <w:rPr>
          <w:shd w:val="clear" w:color="auto" w:fill="FFFFFF"/>
        </w:rPr>
        <w:t>Singh VP, Frevert DF (</w:t>
      </w:r>
      <w:proofErr w:type="gramStart"/>
      <w:r w:rsidRPr="00530A75">
        <w:rPr>
          <w:shd w:val="clear" w:color="auto" w:fill="FFFFFF"/>
        </w:rPr>
        <w:t>eds</w:t>
      </w:r>
      <w:proofErr w:type="gramEnd"/>
      <w:r w:rsidRPr="00530A75">
        <w:rPr>
          <w:shd w:val="clear" w:color="auto" w:fill="FFFFFF"/>
        </w:rPr>
        <w:t>). CRC Press: Boca Raton; 47-71.</w:t>
      </w:r>
    </w:p>
    <w:p w:rsidR="00CD20B4" w:rsidRPr="00530A75" w:rsidRDefault="00CD20B4" w:rsidP="00CD20B4">
      <w:proofErr w:type="gramStart"/>
      <w:r w:rsidRPr="00973A7E">
        <w:lastRenderedPageBreak/>
        <w:t>Vorosmart</w:t>
      </w:r>
      <w:r>
        <w:t>y, CJ</w:t>
      </w:r>
      <w:r w:rsidRPr="00973A7E">
        <w:t xml:space="preserve">, </w:t>
      </w:r>
      <w:r>
        <w:t xml:space="preserve">Green P, </w:t>
      </w:r>
      <w:r w:rsidRPr="00973A7E">
        <w:t>Salisbury J, Lammers RB.</w:t>
      </w:r>
      <w:proofErr w:type="gramEnd"/>
      <w:r w:rsidRPr="00973A7E">
        <w:t xml:space="preserve">  2000.  Global water resources: </w:t>
      </w:r>
      <w:r w:rsidR="00F012E3">
        <w:tab/>
      </w:r>
      <w:r w:rsidRPr="00BE288B">
        <w:t xml:space="preserve">vulnerability from climate change and population growth, </w:t>
      </w:r>
      <w:r w:rsidRPr="00BE288B">
        <w:rPr>
          <w:i/>
        </w:rPr>
        <w:t>Science</w:t>
      </w:r>
      <w:r w:rsidRPr="00BE288B">
        <w:t xml:space="preserve"> </w:t>
      </w:r>
      <w:r w:rsidRPr="00BE288B">
        <w:rPr>
          <w:b/>
        </w:rPr>
        <w:t>289</w:t>
      </w:r>
      <w:r w:rsidRPr="00BE288B">
        <w:t>: 284-</w:t>
      </w:r>
      <w:r w:rsidR="00F012E3" w:rsidRPr="00BE288B">
        <w:tab/>
      </w:r>
      <w:r w:rsidRPr="00BE288B">
        <w:t xml:space="preserve">288.  DOI: </w:t>
      </w:r>
      <w:r w:rsidRPr="00BE288B">
        <w:rPr>
          <w:shd w:val="clear" w:color="auto" w:fill="FFFFFF"/>
        </w:rPr>
        <w:t>10.1126/science.289.5477.284.</w:t>
      </w:r>
    </w:p>
    <w:p w:rsidR="00CD20B4" w:rsidRPr="00530A75" w:rsidRDefault="00CD20B4" w:rsidP="00CD20B4">
      <w:r w:rsidRPr="00530A75">
        <w:t xml:space="preserve">Washington WM, Weatherly JW, Meehl GA, Semtner Jr AJ, Bettge TW, Craig AP, </w:t>
      </w:r>
      <w:r w:rsidR="00F012E3">
        <w:tab/>
      </w:r>
      <w:r w:rsidRPr="00530A75">
        <w:t xml:space="preserve">Strand Jr WG, Arblaster J, Wayland VB, James R, Zhang Y.  2000.  Parallel </w:t>
      </w:r>
      <w:r w:rsidR="00F012E3">
        <w:tab/>
      </w:r>
      <w:r w:rsidRPr="00530A75">
        <w:t xml:space="preserve">climate model (PCM) control and transient simulations.  </w:t>
      </w:r>
      <w:r w:rsidRPr="00530A75">
        <w:rPr>
          <w:i/>
          <w:iCs/>
        </w:rPr>
        <w:t>Climate Dynamics</w:t>
      </w:r>
      <w:r w:rsidRPr="00530A75">
        <w:t xml:space="preserve"> </w:t>
      </w:r>
      <w:r w:rsidRPr="001841D9">
        <w:rPr>
          <w:b/>
          <w:bCs/>
        </w:rPr>
        <w:t>16</w:t>
      </w:r>
      <w:r w:rsidR="00D56530">
        <w:t xml:space="preserve">: </w:t>
      </w:r>
      <w:r w:rsidR="00F012E3">
        <w:tab/>
      </w:r>
      <w:r w:rsidR="00D56530">
        <w:t>755-774.</w:t>
      </w:r>
    </w:p>
    <w:p w:rsidR="00CD20B4" w:rsidRPr="00530A75" w:rsidRDefault="00CD20B4" w:rsidP="00CD20B4">
      <w:r w:rsidRPr="00530A75">
        <w:t xml:space="preserve">Wood AW, Maurer EP, Kumar A, Lettenmaier DP.  2002.  Long-range experimental </w:t>
      </w:r>
      <w:r w:rsidR="00F012E3">
        <w:tab/>
      </w:r>
      <w:r w:rsidRPr="00530A75">
        <w:t xml:space="preserve">hydrologic forecasting for the eastern United States.  </w:t>
      </w:r>
      <w:r w:rsidRPr="00530A75">
        <w:rPr>
          <w:i/>
          <w:iCs/>
        </w:rPr>
        <w:t xml:space="preserve">Journal of Geophysical </w:t>
      </w:r>
      <w:r w:rsidR="00F012E3">
        <w:rPr>
          <w:i/>
          <w:iCs/>
        </w:rPr>
        <w:tab/>
      </w:r>
      <w:r w:rsidRPr="00530A75">
        <w:rPr>
          <w:i/>
          <w:iCs/>
        </w:rPr>
        <w:t xml:space="preserve">Research-Atmospheres </w:t>
      </w:r>
      <w:r w:rsidRPr="001841D9">
        <w:rPr>
          <w:b/>
          <w:bCs/>
        </w:rPr>
        <w:t>107</w:t>
      </w:r>
      <w:r w:rsidRPr="00530A75">
        <w:t xml:space="preserve">: ACL 6-1-ACL-6-15.  DOI: </w:t>
      </w:r>
      <w:r w:rsidR="00F012E3">
        <w:tab/>
      </w:r>
      <w:r w:rsidRPr="001841D9">
        <w:rPr>
          <w:shd w:val="clear" w:color="auto" w:fill="FFFFFF"/>
        </w:rPr>
        <w:t>10.1029/2001JD000659.</w:t>
      </w:r>
    </w:p>
    <w:p w:rsidR="00CD20B4" w:rsidRPr="00530A75" w:rsidRDefault="00CD20B4" w:rsidP="00CD20B4">
      <w:r w:rsidRPr="00530A75">
        <w:t xml:space="preserve">Wood AW, Leung LR, Sridhar V, Lettenmaier DP.  2004.  Hydrologic implications of </w:t>
      </w:r>
      <w:r w:rsidR="00F012E3">
        <w:tab/>
      </w:r>
      <w:r w:rsidRPr="00530A75">
        <w:t xml:space="preserve">dynamical and statistical approaches to downscaling climate model outputs.  </w:t>
      </w:r>
      <w:r w:rsidR="00F012E3">
        <w:tab/>
      </w:r>
      <w:r w:rsidRPr="00530A75">
        <w:rPr>
          <w:i/>
          <w:iCs/>
        </w:rPr>
        <w:t>Climatic Change</w:t>
      </w:r>
      <w:r w:rsidRPr="00530A75">
        <w:t xml:space="preserve"> </w:t>
      </w:r>
      <w:r w:rsidRPr="001841D9">
        <w:rPr>
          <w:b/>
          <w:bCs/>
        </w:rPr>
        <w:t>62</w:t>
      </w:r>
      <w:r w:rsidRPr="00530A75">
        <w:t xml:space="preserve">:189-216.  DOI: </w:t>
      </w:r>
      <w:r w:rsidRPr="001841D9">
        <w:rPr>
          <w:shd w:val="clear" w:color="auto" w:fill="FFFFFF"/>
        </w:rPr>
        <w:t>10.1023/B:CLIM.0000013685.99609.9e.</w:t>
      </w:r>
    </w:p>
    <w:p w:rsidR="00CD20B4" w:rsidRPr="00530A75" w:rsidRDefault="00CD20B4" w:rsidP="00CD20B4">
      <w:r w:rsidRPr="00530A75">
        <w:t xml:space="preserve">Yukimoto S., Noda A, Kitoh A, Sugi M, Kitamura Y, Hosaka M, Shibata K, Maeda S, </w:t>
      </w:r>
      <w:r w:rsidR="00F012E3">
        <w:tab/>
      </w:r>
      <w:r w:rsidRPr="00530A75">
        <w:t xml:space="preserve">Uchiyama T.  2001.  The New Meteorological Research Institute Coupled GCM </w:t>
      </w:r>
      <w:r w:rsidR="00F012E3">
        <w:tab/>
      </w:r>
      <w:r w:rsidRPr="00530A75">
        <w:t xml:space="preserve">(MRI-CGCM2): model climate and variability. </w:t>
      </w:r>
      <w:r w:rsidRPr="00530A75">
        <w:rPr>
          <w:i/>
          <w:iCs/>
        </w:rPr>
        <w:t xml:space="preserve">Papers in Meteorology and </w:t>
      </w:r>
      <w:r w:rsidR="00F012E3">
        <w:rPr>
          <w:i/>
          <w:iCs/>
        </w:rPr>
        <w:tab/>
      </w:r>
      <w:r w:rsidRPr="00530A75">
        <w:rPr>
          <w:i/>
          <w:iCs/>
        </w:rPr>
        <w:t>Geophysics</w:t>
      </w:r>
      <w:r w:rsidRPr="00530A75">
        <w:t xml:space="preserve"> </w:t>
      </w:r>
      <w:r w:rsidRPr="001841D9">
        <w:rPr>
          <w:b/>
          <w:bCs/>
        </w:rPr>
        <w:t>41</w:t>
      </w:r>
      <w:r w:rsidRPr="00530A75">
        <w:t>: 47</w:t>
      </w:r>
      <w:r w:rsidR="00D56530">
        <w:t>-88.</w:t>
      </w:r>
    </w:p>
    <w:p w:rsidR="00CD20B4" w:rsidRPr="00530A75" w:rsidRDefault="00CD20B4" w:rsidP="00CD20B4">
      <w:r w:rsidRPr="00530A75">
        <w:t xml:space="preserve">Zhang X, Srinivasan R.  2009.  GIS-based spatial precipitation estimation: a comparison </w:t>
      </w:r>
      <w:r w:rsidR="00F012E3">
        <w:tab/>
      </w:r>
      <w:r w:rsidRPr="00530A75">
        <w:t xml:space="preserve">of geostatistical approaches. </w:t>
      </w:r>
      <w:r w:rsidRPr="001841D9">
        <w:rPr>
          <w:i/>
          <w:iCs/>
        </w:rPr>
        <w:t>JAWRA Journal of the Amer</w:t>
      </w:r>
      <w:r w:rsidRPr="00530A75">
        <w:rPr>
          <w:i/>
          <w:iCs/>
        </w:rPr>
        <w:t xml:space="preserve">ican Water Resources </w:t>
      </w:r>
      <w:r w:rsidR="00F012E3">
        <w:rPr>
          <w:i/>
          <w:iCs/>
        </w:rPr>
        <w:tab/>
      </w:r>
      <w:r w:rsidRPr="00530A75">
        <w:rPr>
          <w:i/>
          <w:iCs/>
        </w:rPr>
        <w:t>Association</w:t>
      </w:r>
      <w:r w:rsidRPr="00530A75">
        <w:t xml:space="preserve"> </w:t>
      </w:r>
      <w:r w:rsidRPr="001841D9">
        <w:rPr>
          <w:b/>
          <w:bCs/>
        </w:rPr>
        <w:t>45</w:t>
      </w:r>
      <w:r w:rsidRPr="00530A75">
        <w:t xml:space="preserve">: 894-906.  DOI: </w:t>
      </w:r>
      <w:r w:rsidRPr="001841D9">
        <w:rPr>
          <w:shd w:val="clear" w:color="auto" w:fill="FFFFFF"/>
        </w:rPr>
        <w:t>10.1111/j.1752-1688.2009.00335.x.</w:t>
      </w:r>
    </w:p>
    <w:p w:rsidR="00CD20B4" w:rsidRPr="0049779E" w:rsidRDefault="00CD20B4" w:rsidP="00CD20B4">
      <w:r w:rsidRPr="00530A75">
        <w:t xml:space="preserve">Zhang X, Srinivasan R.  2010.  GIS-based spatial precipitation estimation using next </w:t>
      </w:r>
      <w:r w:rsidR="00F012E3">
        <w:tab/>
      </w:r>
      <w:r w:rsidRPr="00530A75">
        <w:t xml:space="preserve">generation radar and raingauge data.  </w:t>
      </w:r>
      <w:r w:rsidRPr="00530A75">
        <w:rPr>
          <w:i/>
          <w:iCs/>
        </w:rPr>
        <w:t>Environmental Modelling &amp; Software</w:t>
      </w:r>
      <w:r w:rsidRPr="00530A75">
        <w:t xml:space="preserve"> </w:t>
      </w:r>
      <w:r w:rsidRPr="001841D9">
        <w:rPr>
          <w:b/>
          <w:bCs/>
        </w:rPr>
        <w:t>25</w:t>
      </w:r>
      <w:r w:rsidRPr="00530A75">
        <w:t xml:space="preserve">: </w:t>
      </w:r>
      <w:r w:rsidR="00F012E3">
        <w:tab/>
      </w:r>
      <w:r w:rsidRPr="00530A75">
        <w:t xml:space="preserve">1781-1788.  DOI: </w:t>
      </w:r>
      <w:r w:rsidRPr="00816F60">
        <w:rPr>
          <w:rFonts w:eastAsia="Arial Unicode MS"/>
          <w:bdr w:val="none" w:sz="0" w:space="0" w:color="auto" w:frame="1"/>
          <w:shd w:val="clear" w:color="auto" w:fill="FFFFFF"/>
        </w:rPr>
        <w:t>10.1016/j.envsoft.2010.05.012</w:t>
      </w:r>
      <w:r w:rsidRPr="001841D9">
        <w:t>.</w:t>
      </w:r>
    </w:p>
    <w:p w:rsidR="00D35B95" w:rsidRDefault="00CD20B4" w:rsidP="00BF3F17">
      <w:pPr>
        <w:pStyle w:val="Tabletitle"/>
      </w:pPr>
      <w:r>
        <w:br w:type="page"/>
      </w:r>
    </w:p>
    <w:p w:rsidR="00AA47AE" w:rsidRPr="0011676D" w:rsidRDefault="0011676D" w:rsidP="0011676D">
      <w:pPr>
        <w:pStyle w:val="Heading1"/>
        <w:jc w:val="center"/>
        <w:rPr>
          <w:sz w:val="28"/>
          <w:szCs w:val="28"/>
        </w:rPr>
      </w:pPr>
      <w:bookmarkStart w:id="225" w:name="_Toc364501669"/>
      <w:bookmarkStart w:id="226" w:name="_Toc368046200"/>
      <w:r>
        <w:rPr>
          <w:sz w:val="28"/>
          <w:szCs w:val="28"/>
        </w:rPr>
        <w:lastRenderedPageBreak/>
        <w:t>Chapter 5: Conclusion</w:t>
      </w:r>
      <w:bookmarkEnd w:id="225"/>
      <w:bookmarkEnd w:id="226"/>
    </w:p>
    <w:p w:rsidR="00AA47AE" w:rsidRPr="00316330" w:rsidRDefault="00AA47AE" w:rsidP="00AA47AE">
      <w:pPr>
        <w:spacing w:line="480" w:lineRule="auto"/>
        <w:rPr>
          <w:rFonts w:cs="Times New Roman"/>
        </w:rPr>
      </w:pPr>
      <w:r w:rsidRPr="00316330">
        <w:rPr>
          <w:rFonts w:cs="Times New Roman"/>
        </w:rPr>
        <w:t xml:space="preserve">     The Great Plains Region of the United States of America (GP) has been at the center of discourse regarding the sustainability of agricultural regions in the US going back to the 19</w:t>
      </w:r>
      <w:r w:rsidRPr="00316330">
        <w:rPr>
          <w:rFonts w:cs="Times New Roman"/>
          <w:vertAlign w:val="superscript"/>
        </w:rPr>
        <w:t>th</w:t>
      </w:r>
      <w:r w:rsidRPr="00316330">
        <w:rPr>
          <w:rFonts w:cs="Times New Roman"/>
        </w:rPr>
        <w:t xml:space="preserve"> century and continues to be so this day.  Identified with monikers as “the Great American Desert,” “the Return of the Prairie” (Wallach 1985), and “the Buffalo Commons” (Popper and Popper 1987), it also has large agricultural and economic significance to the United States through its role as a hub for wheat production, livestock and dairy farming, and mineral extraction.  A region characterized by population loss since 1930 likewise contains burgeoning and established micropolitan and metropolitan areas.</w:t>
      </w:r>
    </w:p>
    <w:p w:rsidR="00AA47AE" w:rsidRPr="00316330" w:rsidRDefault="00AA47AE" w:rsidP="00AA47AE">
      <w:pPr>
        <w:spacing w:line="480" w:lineRule="auto"/>
        <w:rPr>
          <w:rFonts w:cs="Times New Roman"/>
        </w:rPr>
      </w:pPr>
      <w:r w:rsidRPr="00316330">
        <w:rPr>
          <w:rFonts w:cs="Times New Roman"/>
        </w:rPr>
        <w:t xml:space="preserve">    Recently, the prospect of the cultivation of biofuel crops, especially switchgrass, is causing some optimism regarding the future of the GP (e.g. Wood 2008; Kotkin 2012).   However, biofuel cultivation, like any other land use change, is associated with changes in hydrology, which while always important, carry special significance in semiarid areas facing depleting water supplies, such as the GP.   This dissertation explored this question through three investigations, each represented by a chapter.  While Chapter </w:t>
      </w:r>
      <w:r>
        <w:rPr>
          <w:rFonts w:cs="Times New Roman"/>
        </w:rPr>
        <w:t>2</w:t>
      </w:r>
      <w:r w:rsidRPr="00316330">
        <w:rPr>
          <w:rFonts w:cs="Times New Roman"/>
        </w:rPr>
        <w:t xml:space="preserve"> did not pertain to hydrologic modeling, Chapters </w:t>
      </w:r>
      <w:r>
        <w:rPr>
          <w:rFonts w:cs="Times New Roman"/>
        </w:rPr>
        <w:t xml:space="preserve">3 and 4 </w:t>
      </w:r>
      <w:r w:rsidRPr="00316330">
        <w:rPr>
          <w:rFonts w:cs="Times New Roman"/>
        </w:rPr>
        <w:t xml:space="preserve">were exercises using the Soil and Water Assessment Tool (SWAT) hydrologic model (Arnold et al. 1998).  </w:t>
      </w:r>
    </w:p>
    <w:p w:rsidR="00AA47AE" w:rsidRPr="00B16DF2" w:rsidRDefault="0011676D" w:rsidP="0011676D">
      <w:pPr>
        <w:pStyle w:val="Heading2"/>
      </w:pPr>
      <w:bookmarkStart w:id="227" w:name="_Toc364501670"/>
      <w:bookmarkStart w:id="228" w:name="_Toc368046201"/>
      <w:r>
        <w:t>5.1: Objectives and Key Findings</w:t>
      </w:r>
      <w:bookmarkEnd w:id="227"/>
      <w:bookmarkEnd w:id="228"/>
    </w:p>
    <w:p w:rsidR="00AA47AE" w:rsidRPr="00316330" w:rsidRDefault="00AA47AE" w:rsidP="00AA47AE">
      <w:pPr>
        <w:spacing w:line="480" w:lineRule="auto"/>
        <w:rPr>
          <w:rFonts w:cs="Times New Roman"/>
        </w:rPr>
      </w:pPr>
      <w:r w:rsidRPr="00316330">
        <w:rPr>
          <w:rFonts w:cs="Times New Roman"/>
        </w:rPr>
        <w:t xml:space="preserve">     There four objectives to this study, and associated key findings, are as follows:</w:t>
      </w:r>
    </w:p>
    <w:p w:rsidR="00AA47AE" w:rsidRPr="00316330" w:rsidRDefault="00AA47AE" w:rsidP="00AA47AE">
      <w:pPr>
        <w:spacing w:line="480" w:lineRule="auto"/>
        <w:rPr>
          <w:rFonts w:cs="Times New Roman"/>
        </w:rPr>
      </w:pPr>
      <w:r w:rsidRPr="00316330">
        <w:rPr>
          <w:rFonts w:cs="Times New Roman"/>
        </w:rPr>
        <w:lastRenderedPageBreak/>
        <w:t xml:space="preserve">(i) To contextualize the cultivation of switchgrass for biofuel cultivation within the GP’s history of land use change and in the discussions regarding sustainability in this region (Chapter </w:t>
      </w:r>
      <w:r>
        <w:rPr>
          <w:rFonts w:cs="Times New Roman"/>
        </w:rPr>
        <w:t>2</w:t>
      </w:r>
      <w:r w:rsidRPr="00316330">
        <w:rPr>
          <w:rFonts w:cs="Times New Roman"/>
        </w:rPr>
        <w:t>).</w:t>
      </w:r>
    </w:p>
    <w:p w:rsidR="00AA47AE" w:rsidRPr="00316330" w:rsidRDefault="00AA47AE" w:rsidP="00AA47AE">
      <w:pPr>
        <w:spacing w:line="480" w:lineRule="auto"/>
        <w:rPr>
          <w:rFonts w:cs="Times New Roman"/>
        </w:rPr>
      </w:pPr>
      <w:r w:rsidRPr="00316330">
        <w:rPr>
          <w:rFonts w:cs="Times New Roman"/>
        </w:rPr>
        <w:t xml:space="preserve">    </w:t>
      </w:r>
      <w:r>
        <w:rPr>
          <w:rFonts w:cs="Times New Roman"/>
        </w:rPr>
        <w:t>Since the Civil War, the</w:t>
      </w:r>
      <w:r w:rsidRPr="00316330">
        <w:rPr>
          <w:rFonts w:cs="Times New Roman"/>
        </w:rPr>
        <w:t xml:space="preserve"> Great Plains has been predominantly an agricultural region </w:t>
      </w:r>
      <w:r>
        <w:rPr>
          <w:rFonts w:cs="Times New Roman"/>
        </w:rPr>
        <w:t>with an economy based</w:t>
      </w:r>
      <w:r w:rsidRPr="00316330">
        <w:rPr>
          <w:rFonts w:cs="Times New Roman"/>
        </w:rPr>
        <w:t xml:space="preserve"> on the cultivation of wheat</w:t>
      </w:r>
      <w:r>
        <w:rPr>
          <w:rFonts w:cs="Times New Roman"/>
        </w:rPr>
        <w:t xml:space="preserve"> and </w:t>
      </w:r>
      <w:r w:rsidRPr="00316330">
        <w:rPr>
          <w:rFonts w:cs="Times New Roman"/>
        </w:rPr>
        <w:t>sorghum</w:t>
      </w:r>
      <w:r>
        <w:rPr>
          <w:rFonts w:cs="Times New Roman"/>
        </w:rPr>
        <w:t>, among other crops</w:t>
      </w:r>
      <w:r w:rsidRPr="00316330">
        <w:rPr>
          <w:rFonts w:cs="Times New Roman"/>
        </w:rPr>
        <w:t>.  Model results suggest that is expected to remain a largely agricultural region but will also continue to see continued growth along emerging and emerged micropolitan and metropolitan areas.  Biofuel cultivation is a real possible land use change in agricultural portions of the Great Plains.</w:t>
      </w:r>
    </w:p>
    <w:p w:rsidR="00AA47AE" w:rsidRPr="00316330" w:rsidRDefault="00AA47AE" w:rsidP="00AA47AE">
      <w:pPr>
        <w:spacing w:before="100" w:beforeAutospacing="1" w:after="100" w:afterAutospacing="1" w:line="480" w:lineRule="auto"/>
        <w:rPr>
          <w:rFonts w:eastAsia="Times New Roman" w:cs="Times New Roman"/>
        </w:rPr>
      </w:pPr>
      <w:r w:rsidRPr="00316330">
        <w:rPr>
          <w:rFonts w:eastAsia="Times New Roman" w:cs="Times New Roman"/>
        </w:rPr>
        <w:t xml:space="preserve">(ii)     To assess and quantify the direction and magnitude of change in key hydrologic variables, including seasonal stream discharge and seasonal evapotranspiration, that would result from incrementally replacing the existing vegetation within the basin with switchgrass.  </w:t>
      </w:r>
      <w:r w:rsidRPr="00316330">
        <w:rPr>
          <w:rFonts w:cs="Times New Roman"/>
        </w:rPr>
        <w:t xml:space="preserve">Because switchgrass is likely to displace other existing land types, it is essential to determine how such a change in land use affects regional hydrology </w:t>
      </w:r>
      <w:r w:rsidRPr="00316330">
        <w:rPr>
          <w:rFonts w:eastAsia="Times New Roman" w:cs="Times New Roman"/>
        </w:rPr>
        <w:t>(Chapter</w:t>
      </w:r>
      <w:r>
        <w:rPr>
          <w:rFonts w:eastAsia="Times New Roman" w:cs="Times New Roman"/>
        </w:rPr>
        <w:t>s</w:t>
      </w:r>
      <w:r w:rsidRPr="00316330">
        <w:rPr>
          <w:rFonts w:eastAsia="Times New Roman" w:cs="Times New Roman"/>
        </w:rPr>
        <w:t xml:space="preserve"> </w:t>
      </w:r>
      <w:r>
        <w:rPr>
          <w:rFonts w:eastAsia="Times New Roman" w:cs="Times New Roman"/>
        </w:rPr>
        <w:t>3, 4</w:t>
      </w:r>
      <w:r w:rsidRPr="00316330">
        <w:rPr>
          <w:rFonts w:eastAsia="Times New Roman" w:cs="Times New Roman"/>
        </w:rPr>
        <w:t xml:space="preserve">).  </w:t>
      </w:r>
    </w:p>
    <w:p w:rsidR="00AA47AE" w:rsidRPr="00B16DF2" w:rsidRDefault="00AA47AE" w:rsidP="00AA47AE">
      <w:pPr>
        <w:spacing w:line="480" w:lineRule="auto"/>
        <w:rPr>
          <w:rFonts w:cs="Times New Roman"/>
        </w:rPr>
      </w:pPr>
      <w:r>
        <w:rPr>
          <w:rFonts w:cs="Times New Roman"/>
        </w:rPr>
        <w:t xml:space="preserve">     </w:t>
      </w:r>
      <w:r w:rsidRPr="00316330">
        <w:rPr>
          <w:rFonts w:cs="Times New Roman"/>
        </w:rPr>
        <w:t>In a 1649 km</w:t>
      </w:r>
      <w:r w:rsidRPr="00B16DF2">
        <w:rPr>
          <w:rFonts w:cs="Times New Roman"/>
          <w:vertAlign w:val="superscript"/>
        </w:rPr>
        <w:t>2</w:t>
      </w:r>
      <w:r w:rsidRPr="00316330">
        <w:rPr>
          <w:rFonts w:cs="Times New Roman"/>
        </w:rPr>
        <w:t xml:space="preserve"> basin in Western Oklahoma, replacing either winter wheat or native range grasses with switchgrass reduces </w:t>
      </w:r>
      <w:r w:rsidR="00780A12">
        <w:rPr>
          <w:rFonts w:cs="Times New Roman"/>
        </w:rPr>
        <w:t>stream</w:t>
      </w:r>
      <w:r w:rsidRPr="00316330">
        <w:rPr>
          <w:rFonts w:cs="Times New Roman"/>
        </w:rPr>
        <w:t xml:space="preserve"> discharge from 6 to 21% (spring) and 6 to 31% (summer), and increases evapotranspiration from 3% - 32% (spring) and 2% - 19% (summer).  The extent</w:t>
      </w:r>
      <w:r>
        <w:rPr>
          <w:rFonts w:cs="Times New Roman"/>
        </w:rPr>
        <w:t>s</w:t>
      </w:r>
      <w:r w:rsidRPr="00316330">
        <w:rPr>
          <w:rFonts w:cs="Times New Roman"/>
        </w:rPr>
        <w:t xml:space="preserve"> of the increases in evapotranspiration are functions of switchgrass biomass, with larger values corresponding to replacement of pre-existing land uses with managed switchgrass.</w:t>
      </w:r>
      <w:r>
        <w:rPr>
          <w:rFonts w:cs="Times New Roman"/>
        </w:rPr>
        <w:t xml:space="preserve">  Reductions in spring and summer discharge and increases in spring and summer evapotranspiration associated with switchgrass </w:t>
      </w:r>
      <w:r>
        <w:rPr>
          <w:rFonts w:cs="Times New Roman"/>
        </w:rPr>
        <w:lastRenderedPageBreak/>
        <w:t>cultivation are also apparent in the 1061 km</w:t>
      </w:r>
      <w:r w:rsidRPr="00B16DF2">
        <w:rPr>
          <w:rFonts w:cs="Times New Roman"/>
          <w:vertAlign w:val="superscript"/>
        </w:rPr>
        <w:t>2</w:t>
      </w:r>
      <w:r>
        <w:rPr>
          <w:rFonts w:cs="Times New Roman"/>
        </w:rPr>
        <w:t xml:space="preserve"> Skeleton Creek Watershed (SCW) investigated in Chapter 4.  Decreased winter surface runoff and evapotranspiration are associated with switchgrass cultivation (Chapter 4). </w:t>
      </w:r>
      <w:r w:rsidRPr="00B16DF2">
        <w:rPr>
          <w:rFonts w:cs="Times New Roman"/>
        </w:rPr>
        <w:tab/>
        <w:t xml:space="preserve"> </w:t>
      </w:r>
    </w:p>
    <w:p w:rsidR="00AA47AE" w:rsidRPr="00316330" w:rsidRDefault="00AA47AE" w:rsidP="00AA47AE">
      <w:pPr>
        <w:spacing w:before="100" w:beforeAutospacing="1" w:after="100" w:afterAutospacing="1" w:line="480" w:lineRule="auto"/>
        <w:rPr>
          <w:rFonts w:eastAsia="Times New Roman" w:cs="Times New Roman"/>
        </w:rPr>
      </w:pPr>
      <w:r w:rsidRPr="00316330">
        <w:rPr>
          <w:rFonts w:eastAsia="Times New Roman" w:cs="Times New Roman"/>
        </w:rPr>
        <w:t xml:space="preserve">(iii)   To investigate the hydrologic responses of such watersheds to switchgrass production under climate change scenarios, and to isolate the relative impacts of climate change and switchgrass production (Chapter </w:t>
      </w:r>
      <w:r>
        <w:rPr>
          <w:rFonts w:eastAsia="Times New Roman" w:cs="Times New Roman"/>
        </w:rPr>
        <w:t>4</w:t>
      </w:r>
      <w:r w:rsidRPr="00316330">
        <w:rPr>
          <w:rFonts w:eastAsia="Times New Roman" w:cs="Times New Roman"/>
        </w:rPr>
        <w:t>).</w:t>
      </w:r>
    </w:p>
    <w:p w:rsidR="00AA47AE" w:rsidRPr="00B16DF2" w:rsidRDefault="00AA47AE" w:rsidP="00AA47AE">
      <w:pPr>
        <w:spacing w:line="480" w:lineRule="auto"/>
        <w:rPr>
          <w:rFonts w:cs="Times New Roman"/>
        </w:rPr>
      </w:pPr>
      <w:r w:rsidRPr="00B16DF2">
        <w:rPr>
          <w:rFonts w:cs="Times New Roman"/>
        </w:rPr>
        <w:t xml:space="preserve">     The direction of the percent changes in average surface runoff projected by SWAT during winter, spring, and summer varies by </w:t>
      </w:r>
      <w:r w:rsidR="00E83CDD">
        <w:rPr>
          <w:rFonts w:cs="Times New Roman"/>
        </w:rPr>
        <w:t>General Circulation Model (</w:t>
      </w:r>
      <w:r w:rsidRPr="00B16DF2">
        <w:rPr>
          <w:rFonts w:cs="Times New Roman"/>
        </w:rPr>
        <w:t>GCM</w:t>
      </w:r>
      <w:r w:rsidR="00E83CDD">
        <w:rPr>
          <w:rFonts w:cs="Times New Roman"/>
        </w:rPr>
        <w:t>)</w:t>
      </w:r>
      <w:r w:rsidRPr="00B16DF2">
        <w:rPr>
          <w:rFonts w:cs="Times New Roman"/>
        </w:rPr>
        <w:t xml:space="preserve">, resulting in predictions of both increases and decreases.  During winter, spring, and summer, switchgrass cultivation results in decreased </w:t>
      </w:r>
      <w:r w:rsidRPr="00B16DF2">
        <w:rPr>
          <w:rFonts w:cs="Times New Roman"/>
          <w:color w:val="000000"/>
        </w:rPr>
        <w:t xml:space="preserve">surface runoff relative to under scenarios where only temperature and precipitation were modified.  Switchgrass cultivation also results in decreased winter </w:t>
      </w:r>
      <w:proofErr w:type="gramStart"/>
      <w:r w:rsidRPr="00B16DF2">
        <w:rPr>
          <w:rFonts w:cs="Times New Roman"/>
          <w:color w:val="000000"/>
        </w:rPr>
        <w:t>eT</w:t>
      </w:r>
      <w:proofErr w:type="gramEnd"/>
      <w:r w:rsidRPr="00B16DF2">
        <w:rPr>
          <w:rFonts w:cs="Times New Roman"/>
          <w:color w:val="000000"/>
        </w:rPr>
        <w:t xml:space="preserve"> and increased spring and summer eT relative to that under solely a modification of precipitation and temperature</w:t>
      </w:r>
      <w:r w:rsidRPr="00B16DF2">
        <w:rPr>
          <w:rFonts w:cs="Times New Roman"/>
        </w:rPr>
        <w:t xml:space="preserve">.  Depending on the GCM employed and the season, either climate change or switchgrass cultivation can be identified as the dominant driver of changes in surface runoff.  Under the vast majority of GCMs, switchgrass cultivation is the dominant driver of changes in </w:t>
      </w:r>
      <w:proofErr w:type="gramStart"/>
      <w:r w:rsidRPr="00B16DF2">
        <w:rPr>
          <w:rFonts w:cs="Times New Roman"/>
        </w:rPr>
        <w:t>eT</w:t>
      </w:r>
      <w:proofErr w:type="gramEnd"/>
      <w:r w:rsidRPr="00B16DF2">
        <w:rPr>
          <w:rFonts w:cs="Times New Roman"/>
        </w:rPr>
        <w:t xml:space="preserve"> during the spring and summer.  </w:t>
      </w:r>
    </w:p>
    <w:p w:rsidR="00AA47AE" w:rsidRPr="00316330" w:rsidRDefault="00AA47AE" w:rsidP="00AA47AE">
      <w:pPr>
        <w:spacing w:before="100" w:beforeAutospacing="1" w:after="100" w:afterAutospacing="1" w:line="480" w:lineRule="auto"/>
        <w:rPr>
          <w:rFonts w:eastAsia="Times New Roman" w:cs="Times New Roman"/>
        </w:rPr>
      </w:pPr>
      <w:proofErr w:type="gramStart"/>
      <w:r w:rsidRPr="00316330">
        <w:rPr>
          <w:rFonts w:eastAsia="Times New Roman" w:cs="Times New Roman"/>
        </w:rPr>
        <w:t>(iv) To</w:t>
      </w:r>
      <w:proofErr w:type="gramEnd"/>
      <w:r w:rsidRPr="00316330">
        <w:rPr>
          <w:rFonts w:eastAsia="Times New Roman" w:cs="Times New Roman"/>
        </w:rPr>
        <w:t xml:space="preserve"> ascertain whether the cultivation of switchgrass in the U.S. Great Plains is advantageous or harmful from a water-supply perspective (</w:t>
      </w:r>
      <w:r>
        <w:rPr>
          <w:rFonts w:eastAsia="Times New Roman" w:cs="Times New Roman"/>
        </w:rPr>
        <w:t>Chapters 3, 4</w:t>
      </w:r>
      <w:r w:rsidRPr="00316330">
        <w:rPr>
          <w:rFonts w:eastAsia="Times New Roman" w:cs="Times New Roman"/>
        </w:rPr>
        <w:t>).</w:t>
      </w:r>
    </w:p>
    <w:p w:rsidR="00035FA6" w:rsidRDefault="00AA47AE" w:rsidP="00035FA6">
      <w:pPr>
        <w:spacing w:line="480" w:lineRule="auto"/>
        <w:rPr>
          <w:rFonts w:cs="Times New Roman"/>
        </w:rPr>
      </w:pPr>
      <w:r>
        <w:rPr>
          <w:rFonts w:cs="Times New Roman"/>
        </w:rPr>
        <w:t xml:space="preserve">     </w:t>
      </w:r>
      <w:r w:rsidRPr="00316330">
        <w:rPr>
          <w:rFonts w:cs="Times New Roman"/>
        </w:rPr>
        <w:t xml:space="preserve">The increased spring and summer evapotranspiration and reduced surface runoff associated with switchgrass cultivation </w:t>
      </w:r>
      <w:proofErr w:type="gramStart"/>
      <w:r w:rsidRPr="00316330">
        <w:rPr>
          <w:rFonts w:cs="Times New Roman"/>
        </w:rPr>
        <w:t>is</w:t>
      </w:r>
      <w:proofErr w:type="gramEnd"/>
      <w:r w:rsidRPr="00316330">
        <w:rPr>
          <w:rFonts w:cs="Times New Roman"/>
        </w:rPr>
        <w:t xml:space="preserve"> harmful from a water supply perspective.  If </w:t>
      </w:r>
      <w:r w:rsidRPr="00316330">
        <w:rPr>
          <w:rFonts w:cs="Times New Roman"/>
        </w:rPr>
        <w:lastRenderedPageBreak/>
        <w:t xml:space="preserve">switchgrass is fertilized, increases in evapotranspiration are amplified.  In drought-prone, semi-arid regions, reductions in available moisture can be especially problematic.  In Chapter </w:t>
      </w:r>
      <w:r>
        <w:rPr>
          <w:rFonts w:cs="Times New Roman"/>
        </w:rPr>
        <w:t>3</w:t>
      </w:r>
      <w:r w:rsidRPr="00316330">
        <w:rPr>
          <w:rFonts w:cs="Times New Roman"/>
        </w:rPr>
        <w:t xml:space="preserve"> for example, an apparent small reduction in median </w:t>
      </w:r>
      <w:r>
        <w:rPr>
          <w:rFonts w:cs="Times New Roman"/>
        </w:rPr>
        <w:t xml:space="preserve">summer </w:t>
      </w:r>
      <w:r w:rsidRPr="00316330">
        <w:rPr>
          <w:rFonts w:cs="Times New Roman"/>
        </w:rPr>
        <w:t xml:space="preserve">discharge (0.9 cms) associated with switchgrass production is </w:t>
      </w:r>
      <w:r w:rsidR="00035FA6">
        <w:rPr>
          <w:rFonts w:cs="Times New Roman"/>
        </w:rPr>
        <w:t>equivalent to a 31.2% decrease.</w:t>
      </w:r>
    </w:p>
    <w:p w:rsidR="00AA47AE" w:rsidRPr="00035FA6" w:rsidRDefault="00035FA6" w:rsidP="00035FA6">
      <w:pPr>
        <w:spacing w:line="480" w:lineRule="auto"/>
        <w:rPr>
          <w:rFonts w:cs="Times New Roman"/>
        </w:rPr>
      </w:pPr>
      <w:r>
        <w:rPr>
          <w:rFonts w:cs="Times New Roman"/>
        </w:rPr>
        <w:t xml:space="preserve">     </w:t>
      </w:r>
      <w:r w:rsidR="00AA47AE">
        <w:rPr>
          <w:rFonts w:cs="Times New Roman"/>
        </w:rPr>
        <w:t xml:space="preserve">In answering these objectives, this study contributed to the scholarly record by </w:t>
      </w:r>
      <w:r w:rsidR="00AA47AE">
        <w:rPr>
          <w:rFonts w:eastAsia="Times New Roman" w:cs="Times New Roman"/>
        </w:rPr>
        <w:t>investigating the hydrologic responses to switchgrass in the Great Plains region, and by combining the impacts of switchgrass cultivation with those emanating from changing precipitation and temperature patterns associated with climate change.</w:t>
      </w:r>
    </w:p>
    <w:p w:rsidR="00AD57A3" w:rsidRDefault="00AD57A3" w:rsidP="00AD57A3">
      <w:pPr>
        <w:pStyle w:val="Heading2"/>
      </w:pPr>
      <w:bookmarkStart w:id="229" w:name="_Toc368046202"/>
      <w:r>
        <w:t>5.2: Limitations to the SWAT Model</w:t>
      </w:r>
      <w:bookmarkEnd w:id="229"/>
    </w:p>
    <w:p w:rsidR="00EC2431" w:rsidRDefault="00EC2431" w:rsidP="00EC2431">
      <w:pPr>
        <w:spacing w:line="480" w:lineRule="auto"/>
        <w:rPr>
          <w:rFonts w:cs="Times New Roman"/>
        </w:rPr>
      </w:pPr>
      <w:r>
        <w:t xml:space="preserve">     Some limitations to the SWAT model are evident </w:t>
      </w:r>
      <w:r w:rsidR="00FF03B2">
        <w:t>from</w:t>
      </w:r>
      <w:r>
        <w:t xml:space="preserve"> the </w:t>
      </w:r>
      <w:proofErr w:type="gramStart"/>
      <w:r>
        <w:t>dissertation</w:t>
      </w:r>
      <w:r w:rsidR="00FF03B2">
        <w:t xml:space="preserve"> </w:t>
      </w:r>
      <w:r>
        <w:t>.</w:t>
      </w:r>
      <w:proofErr w:type="gramEnd"/>
      <w:r>
        <w:t xml:space="preserve">  </w:t>
      </w:r>
      <w:r w:rsidR="00756395">
        <w:t xml:space="preserve">Perhaps the most </w:t>
      </w:r>
      <w:r w:rsidR="00833BA2">
        <w:t>noteworthy</w:t>
      </w:r>
      <w:r w:rsidR="00756395">
        <w:t xml:space="preserve"> is the problematic semidistributed</w:t>
      </w:r>
      <w:r>
        <w:rPr>
          <w:rFonts w:cs="Times New Roman"/>
        </w:rPr>
        <w:t xml:space="preserve"> nature of SWAT.  </w:t>
      </w:r>
      <w:r w:rsidR="00756395">
        <w:rPr>
          <w:rFonts w:cs="Times New Roman"/>
        </w:rPr>
        <w:t xml:space="preserve">By design, SWAT assigns </w:t>
      </w:r>
      <w:r w:rsidR="000E7E9B">
        <w:rPr>
          <w:rFonts w:cs="Times New Roman"/>
        </w:rPr>
        <w:t xml:space="preserve">the </w:t>
      </w:r>
      <w:r w:rsidR="00756395">
        <w:rPr>
          <w:rFonts w:cs="Times New Roman"/>
        </w:rPr>
        <w:t>precipitation</w:t>
      </w:r>
      <w:r w:rsidR="00833BA2">
        <w:rPr>
          <w:rFonts w:cs="Times New Roman"/>
        </w:rPr>
        <w:t xml:space="preserve"> data to the </w:t>
      </w:r>
      <w:r w:rsidR="00756395">
        <w:rPr>
          <w:rFonts w:cs="Times New Roman"/>
        </w:rPr>
        <w:t>subbasin</w:t>
      </w:r>
      <w:r w:rsidR="000E7E9B">
        <w:rPr>
          <w:rFonts w:cs="Times New Roman"/>
        </w:rPr>
        <w:t xml:space="preserve"> </w:t>
      </w:r>
      <w:r w:rsidR="00833BA2">
        <w:rPr>
          <w:rFonts w:cs="Times New Roman"/>
        </w:rPr>
        <w:t xml:space="preserve">closest to the corresponding weather station </w:t>
      </w:r>
      <w:r w:rsidR="000E7E9B">
        <w:rPr>
          <w:rFonts w:cs="Times New Roman"/>
        </w:rPr>
        <w:t>despite the variability in rainfall patterns (i.e. it does not perform geostatistical analysis on the rainfall).</w:t>
      </w:r>
      <w:r w:rsidR="00756395">
        <w:rPr>
          <w:rFonts w:cs="Times New Roman"/>
        </w:rPr>
        <w:t xml:space="preserve">  </w:t>
      </w:r>
      <w:r w:rsidR="00833BA2">
        <w:rPr>
          <w:rFonts w:cs="Times New Roman"/>
        </w:rPr>
        <w:t>In order to capture the spatial variability in rainfall in a region experiencing highly localized precipitation like the US Great Plains, a large quantity of weather stations and subbasins is necessary.  An increased number of subbasins results in increased numbers of HRUs, which results in longer processing time.</w:t>
      </w:r>
    </w:p>
    <w:p w:rsidR="00EC2431" w:rsidRDefault="00EC2431" w:rsidP="00EC2431">
      <w:pPr>
        <w:spacing w:line="480" w:lineRule="auto"/>
        <w:rPr>
          <w:rFonts w:cs="Times New Roman"/>
        </w:rPr>
      </w:pPr>
      <w:r>
        <w:rPr>
          <w:rFonts w:cs="Times New Roman"/>
        </w:rPr>
        <w:t xml:space="preserve">     As mentioned above, the size of the subbasin matters considerably beyond its relevance to climatic data.  Given the restriction of a subbasin to the one main channel and one tributary, the user must carefully decide which streams merit retention.  As a </w:t>
      </w:r>
      <w:r>
        <w:rPr>
          <w:rFonts w:cs="Times New Roman"/>
        </w:rPr>
        <w:lastRenderedPageBreak/>
        <w:t>general rule: the greater the number of streams that are retained, the more subbasins need to be created.  As HRUs are then created for every subbasin, the quantity of HRUs increases, resulting in increased computation time.  On a similar note, the user must carefully consider any important facets of the basin when delineating the watershed.  If a user wishes to ensure that a particular land use or localized geological feature is preserved, s/he should ensure that these have their own subbasin.  This may be particularly difficult in the absence of a neighboring stream network on which to place a subbasin outlet, such as in the case of the Alluvium and Terrace Aquifer of the North Canadian River (see Chapter 3 of the dissertation)</w:t>
      </w:r>
      <w:r w:rsidR="000E7E9B">
        <w:rPr>
          <w:rFonts w:cs="Times New Roman"/>
        </w:rPr>
        <w:t xml:space="preserve"> where streams are lacking</w:t>
      </w:r>
      <w:r>
        <w:rPr>
          <w:rFonts w:cs="Times New Roman"/>
        </w:rPr>
        <w:t xml:space="preserve">.  The downside to these considerations is that they may result in SWAT not having subbasins of uniform size.  </w:t>
      </w:r>
    </w:p>
    <w:p w:rsidR="00EC2431" w:rsidRDefault="00EC2431" w:rsidP="00EC2431">
      <w:pPr>
        <w:spacing w:line="480" w:lineRule="auto"/>
        <w:rPr>
          <w:rFonts w:cs="Times New Roman"/>
        </w:rPr>
      </w:pPr>
      <w:r>
        <w:rPr>
          <w:rFonts w:cs="Times New Roman"/>
        </w:rPr>
        <w:t xml:space="preserve">     Another </w:t>
      </w:r>
      <w:r w:rsidR="00DD1C52">
        <w:rPr>
          <w:rFonts w:cs="Times New Roman"/>
        </w:rPr>
        <w:t>drawback</w:t>
      </w:r>
      <w:r>
        <w:rPr>
          <w:rFonts w:cs="Times New Roman"/>
        </w:rPr>
        <w:t xml:space="preserve"> to the model pertains to the characterization of a wetland, pond, pothole, and reservoirs as non-land uses but rather as external features with only one of each permitted per subbasin.  Such structures are not assigned a specific location in the subbasin.</w:t>
      </w:r>
      <w:r w:rsidR="000E7E9B">
        <w:rPr>
          <w:rFonts w:cs="Times New Roman"/>
        </w:rPr>
        <w:t xml:space="preserve">  A separate analysis not included here which involved assigning wetlands to the MNCR resulted in poor calibration.</w:t>
      </w:r>
      <w:r>
        <w:rPr>
          <w:rFonts w:cs="Times New Roman"/>
        </w:rPr>
        <w:t xml:space="preserve">   </w:t>
      </w:r>
    </w:p>
    <w:p w:rsidR="00EC2431" w:rsidRDefault="00EC2431" w:rsidP="00EC2431">
      <w:pPr>
        <w:spacing w:line="480" w:lineRule="auto"/>
        <w:rPr>
          <w:rFonts w:cs="Times New Roman"/>
        </w:rPr>
      </w:pPr>
      <w:r>
        <w:rPr>
          <w:rFonts w:cs="Times New Roman"/>
        </w:rPr>
        <w:t xml:space="preserve">     Another limitation to SWAT involves its handling of “flash-flood” events.  As SWAT is designed to evaluate the impacts of long-term land management practices, it is not designed to be used to investigate the impacts of isolated precipitation events</w:t>
      </w:r>
      <w:r w:rsidR="000E7E9B">
        <w:rPr>
          <w:rFonts w:cs="Times New Roman"/>
        </w:rPr>
        <w:t xml:space="preserve"> (Arnold et al. 1998)</w:t>
      </w:r>
      <w:r>
        <w:rPr>
          <w:rFonts w:cs="Times New Roman"/>
        </w:rPr>
        <w:t>.</w:t>
      </w:r>
      <w:r w:rsidR="000E7E9B">
        <w:rPr>
          <w:rFonts w:cs="Times New Roman"/>
        </w:rPr>
        <w:t xml:space="preserve">  This is yet another reason justifying a long calibration record in order to minimize the impacts of one intense storm.  In a separate analysis not included </w:t>
      </w:r>
      <w:r w:rsidR="000E7E9B">
        <w:rPr>
          <w:rFonts w:cs="Times New Roman"/>
        </w:rPr>
        <w:lastRenderedPageBreak/>
        <w:t xml:space="preserve">here, SWAT performed poorly when trying to simulate the hydrologic impacts of a tropical storm. </w:t>
      </w:r>
      <w:r>
        <w:rPr>
          <w:rFonts w:cs="Times New Roman"/>
        </w:rPr>
        <w:t xml:space="preserve">  </w:t>
      </w:r>
    </w:p>
    <w:p w:rsidR="00AD57A3" w:rsidRPr="006B644D" w:rsidRDefault="00035FA6" w:rsidP="006B644D">
      <w:pPr>
        <w:pStyle w:val="HTMLPreformatted"/>
        <w:shd w:val="clear" w:color="auto" w:fill="FFFFFF"/>
        <w:spacing w:line="480" w:lineRule="auto"/>
        <w:rPr>
          <w:rFonts w:asciiTheme="majorHAnsi" w:hAnsiTheme="majorHAnsi" w:cstheme="majorHAnsi"/>
          <w:color w:val="000000"/>
          <w:sz w:val="24"/>
          <w:szCs w:val="24"/>
        </w:rPr>
      </w:pPr>
      <w:r w:rsidRPr="006B644D">
        <w:rPr>
          <w:rFonts w:asciiTheme="majorHAnsi" w:hAnsiTheme="majorHAnsi" w:cstheme="majorHAnsi"/>
          <w:b/>
          <w:sz w:val="24"/>
          <w:szCs w:val="24"/>
        </w:rPr>
        <w:t xml:space="preserve">     </w:t>
      </w:r>
      <w:r w:rsidRPr="006B644D">
        <w:rPr>
          <w:rFonts w:asciiTheme="majorHAnsi" w:hAnsiTheme="majorHAnsi" w:cstheme="majorHAnsi"/>
          <w:sz w:val="24"/>
          <w:szCs w:val="24"/>
        </w:rPr>
        <w:t xml:space="preserve">Additionally, this </w:t>
      </w:r>
      <w:r w:rsidR="008820C6">
        <w:rPr>
          <w:rFonts w:asciiTheme="majorHAnsi" w:hAnsiTheme="majorHAnsi" w:cstheme="majorHAnsi"/>
          <w:sz w:val="24"/>
          <w:szCs w:val="24"/>
        </w:rPr>
        <w:t>research</w:t>
      </w:r>
      <w:r w:rsidRPr="006B644D">
        <w:rPr>
          <w:rFonts w:asciiTheme="majorHAnsi" w:hAnsiTheme="majorHAnsi" w:cstheme="majorHAnsi"/>
          <w:sz w:val="24"/>
          <w:szCs w:val="24"/>
        </w:rPr>
        <w:t xml:space="preserve"> </w:t>
      </w:r>
      <w:r w:rsidR="00640CBE">
        <w:rPr>
          <w:rFonts w:asciiTheme="majorHAnsi" w:hAnsiTheme="majorHAnsi" w:cstheme="majorHAnsi"/>
          <w:sz w:val="24"/>
          <w:szCs w:val="24"/>
        </w:rPr>
        <w:t>identified</w:t>
      </w:r>
      <w:r w:rsidRPr="006B644D">
        <w:rPr>
          <w:rFonts w:asciiTheme="majorHAnsi" w:hAnsiTheme="majorHAnsi" w:cstheme="majorHAnsi"/>
          <w:sz w:val="24"/>
          <w:szCs w:val="24"/>
        </w:rPr>
        <w:t xml:space="preserve"> various considerations that emerge when using SWAT in the Great Plains.  The lack of long-term high-resolution rainfall records, combined with ephemeral streams and minute discharges</w:t>
      </w:r>
      <w:r w:rsidR="000F2A53" w:rsidRPr="006B644D">
        <w:rPr>
          <w:rFonts w:asciiTheme="majorHAnsi" w:hAnsiTheme="majorHAnsi" w:cstheme="majorHAnsi"/>
          <w:sz w:val="24"/>
          <w:szCs w:val="24"/>
        </w:rPr>
        <w:t>,</w:t>
      </w:r>
      <w:r w:rsidRPr="006B644D">
        <w:rPr>
          <w:rFonts w:asciiTheme="majorHAnsi" w:hAnsiTheme="majorHAnsi" w:cstheme="majorHAnsi"/>
          <w:sz w:val="24"/>
          <w:szCs w:val="24"/>
        </w:rPr>
        <w:t xml:space="preserve"> greatly complicate</w:t>
      </w:r>
      <w:r w:rsidR="000F2A53" w:rsidRPr="006B644D">
        <w:rPr>
          <w:rFonts w:asciiTheme="majorHAnsi" w:hAnsiTheme="majorHAnsi" w:cstheme="majorHAnsi"/>
          <w:sz w:val="24"/>
          <w:szCs w:val="24"/>
        </w:rPr>
        <w:t>s</w:t>
      </w:r>
      <w:r w:rsidRPr="006B644D">
        <w:rPr>
          <w:rFonts w:asciiTheme="majorHAnsi" w:hAnsiTheme="majorHAnsi" w:cstheme="majorHAnsi"/>
          <w:sz w:val="24"/>
          <w:szCs w:val="24"/>
        </w:rPr>
        <w:t xml:space="preserve"> hydrologic modeling in this region.  Two other watersheds, the Wolf Creek Basin in the Texas Panhandle and Western Oklahoma </w:t>
      </w:r>
      <w:r w:rsidR="000F2A53" w:rsidRPr="006B644D">
        <w:rPr>
          <w:rFonts w:asciiTheme="majorHAnsi" w:hAnsiTheme="majorHAnsi" w:cstheme="majorHAnsi"/>
          <w:sz w:val="24"/>
          <w:szCs w:val="24"/>
        </w:rPr>
        <w:t>(USGS Hydrologic Unit Code</w:t>
      </w:r>
      <w:r w:rsidR="006B644D" w:rsidRPr="006B644D">
        <w:rPr>
          <w:rFonts w:asciiTheme="majorHAnsi" w:hAnsiTheme="majorHAnsi" w:cstheme="majorHAnsi"/>
          <w:sz w:val="24"/>
          <w:szCs w:val="24"/>
        </w:rPr>
        <w:t>s</w:t>
      </w:r>
      <w:r w:rsidR="000F2A53" w:rsidRPr="006B644D">
        <w:rPr>
          <w:rFonts w:asciiTheme="majorHAnsi" w:hAnsiTheme="majorHAnsi" w:cstheme="majorHAnsi"/>
          <w:sz w:val="24"/>
          <w:szCs w:val="24"/>
        </w:rPr>
        <w:t xml:space="preserve"> </w:t>
      </w:r>
      <w:r w:rsidR="006B644D" w:rsidRPr="006B644D">
        <w:rPr>
          <w:rFonts w:asciiTheme="majorHAnsi" w:hAnsiTheme="majorHAnsi" w:cstheme="majorHAnsi"/>
          <w:color w:val="000000"/>
          <w:sz w:val="24"/>
          <w:szCs w:val="24"/>
        </w:rPr>
        <w:t>11100202 and 11100203)</w:t>
      </w:r>
      <w:r w:rsidR="006B644D">
        <w:rPr>
          <w:rFonts w:asciiTheme="majorHAnsi" w:hAnsiTheme="majorHAnsi" w:cstheme="majorHAnsi"/>
          <w:color w:val="000000"/>
          <w:sz w:val="24"/>
          <w:szCs w:val="24"/>
        </w:rPr>
        <w:t xml:space="preserve"> </w:t>
      </w:r>
      <w:r w:rsidRPr="006B644D">
        <w:rPr>
          <w:rFonts w:asciiTheme="majorHAnsi" w:hAnsiTheme="majorHAnsi" w:cstheme="majorHAnsi"/>
          <w:sz w:val="24"/>
          <w:szCs w:val="24"/>
        </w:rPr>
        <w:t>and the Palo Duro Basin in the Texas Panhandle</w:t>
      </w:r>
      <w:r w:rsidR="006B644D" w:rsidRPr="006B644D">
        <w:rPr>
          <w:rFonts w:asciiTheme="majorHAnsi" w:hAnsiTheme="majorHAnsi" w:cstheme="majorHAnsi"/>
          <w:sz w:val="24"/>
          <w:szCs w:val="24"/>
        </w:rPr>
        <w:t xml:space="preserve"> (</w:t>
      </w:r>
      <w:r w:rsidR="006B644D" w:rsidRPr="006B644D">
        <w:rPr>
          <w:rFonts w:asciiTheme="majorHAnsi" w:hAnsiTheme="majorHAnsi" w:cstheme="majorHAnsi"/>
          <w:color w:val="000000"/>
          <w:sz w:val="24"/>
          <w:szCs w:val="24"/>
        </w:rPr>
        <w:t>11100104)</w:t>
      </w:r>
      <w:r w:rsidRPr="006B644D">
        <w:rPr>
          <w:rFonts w:asciiTheme="majorHAnsi" w:hAnsiTheme="majorHAnsi" w:cstheme="majorHAnsi"/>
          <w:sz w:val="24"/>
          <w:szCs w:val="24"/>
        </w:rPr>
        <w:t xml:space="preserve">, were initially considered for this research but were not included here due to problems with calibration arising from the problems listed above.  </w:t>
      </w:r>
    </w:p>
    <w:p w:rsidR="00AA47AE" w:rsidRPr="00316330" w:rsidRDefault="0011676D" w:rsidP="0011676D">
      <w:pPr>
        <w:pStyle w:val="Heading2"/>
      </w:pPr>
      <w:bookmarkStart w:id="230" w:name="_Toc364501671"/>
      <w:bookmarkStart w:id="231" w:name="_Toc368046203"/>
      <w:r>
        <w:t>5.</w:t>
      </w:r>
      <w:r w:rsidR="006B644D">
        <w:t>3</w:t>
      </w:r>
      <w:r>
        <w:t>: Avenues for F</w:t>
      </w:r>
      <w:r w:rsidR="00AA47AE" w:rsidRPr="00316330">
        <w:t xml:space="preserve">urther </w:t>
      </w:r>
      <w:r>
        <w:t>R</w:t>
      </w:r>
      <w:r w:rsidR="00AA47AE" w:rsidRPr="00316330">
        <w:t>esearch</w:t>
      </w:r>
      <w:bookmarkEnd w:id="230"/>
      <w:bookmarkEnd w:id="231"/>
    </w:p>
    <w:p w:rsidR="00AA47AE" w:rsidRPr="00316330" w:rsidRDefault="00AA47AE" w:rsidP="0011676D">
      <w:pPr>
        <w:spacing w:line="480" w:lineRule="auto"/>
        <w:rPr>
          <w:rFonts w:cs="Times New Roman"/>
        </w:rPr>
      </w:pPr>
      <w:r w:rsidRPr="00316330">
        <w:rPr>
          <w:rFonts w:cs="Times New Roman"/>
        </w:rPr>
        <w:t xml:space="preserve">     Several avenues for future research are manifest.  Experimentation with different biofuel crop types will enrich our understanding of the impacts of biofuel cultivation on hydrology</w:t>
      </w:r>
      <w:r w:rsidR="00FF03B2">
        <w:rPr>
          <w:rFonts w:cs="Times New Roman"/>
        </w:rPr>
        <w:t>, as would a multi-species analysis</w:t>
      </w:r>
      <w:r w:rsidRPr="00316330">
        <w:rPr>
          <w:rFonts w:cs="Times New Roman"/>
        </w:rPr>
        <w:t>.  The grass Miscanthus (</w:t>
      </w:r>
      <w:r w:rsidRPr="00316330">
        <w:rPr>
          <w:rFonts w:cs="Times New Roman"/>
          <w:i/>
        </w:rPr>
        <w:t xml:space="preserve">Miscanthus giganteus) </w:t>
      </w:r>
      <w:r w:rsidRPr="00316330">
        <w:rPr>
          <w:rFonts w:cs="Times New Roman"/>
        </w:rPr>
        <w:t xml:space="preserve">has recently received much attention in the literature as a grass that is capable of producing large yields while using much less water than current crops.  Chapter </w:t>
      </w:r>
      <w:r>
        <w:rPr>
          <w:rFonts w:cs="Times New Roman"/>
        </w:rPr>
        <w:t>4</w:t>
      </w:r>
      <w:r w:rsidRPr="00316330">
        <w:rPr>
          <w:rFonts w:cs="Times New Roman"/>
        </w:rPr>
        <w:t xml:space="preserve"> may be enhanced through the performance of analyses dealing with other future decades and different IPCC scenarios.  While the chapter investigates a “worst-case” scenario by investigating the A2 IPCC SRES scenario, it could benefit from an investigation of a “best-case” scenario by examining the impacts of the B1 IPCC scenario.  Additionally, very recently projections from the CMIP5 program have been </w:t>
      </w:r>
      <w:r w:rsidRPr="00316330">
        <w:rPr>
          <w:rFonts w:cs="Times New Roman"/>
        </w:rPr>
        <w:lastRenderedPageBreak/>
        <w:t>published</w:t>
      </w:r>
      <w:r>
        <w:rPr>
          <w:rFonts w:cs="Times New Roman"/>
        </w:rPr>
        <w:t xml:space="preserve"> and have been utilized along with CMIP3 outputs</w:t>
      </w:r>
      <w:r w:rsidRPr="00316330">
        <w:rPr>
          <w:rFonts w:cs="Times New Roman"/>
        </w:rPr>
        <w:t xml:space="preserve">, </w:t>
      </w:r>
      <w:r>
        <w:rPr>
          <w:rFonts w:cs="Times New Roman"/>
        </w:rPr>
        <w:t>which would likewise be a logical extension of this work</w:t>
      </w:r>
      <w:r w:rsidR="0011676D">
        <w:rPr>
          <w:rFonts w:cs="Times New Roman"/>
        </w:rPr>
        <w:t xml:space="preserve">. </w:t>
      </w:r>
    </w:p>
    <w:p w:rsidR="00AA47AE" w:rsidRPr="00316330" w:rsidRDefault="004F3E6F" w:rsidP="00553399">
      <w:pPr>
        <w:pStyle w:val="Heading2"/>
      </w:pPr>
      <w:bookmarkStart w:id="232" w:name="_Toc364501672"/>
      <w:bookmarkStart w:id="233" w:name="_Toc368046204"/>
      <w:r>
        <w:t>References</w:t>
      </w:r>
      <w:bookmarkEnd w:id="232"/>
      <w:bookmarkEnd w:id="233"/>
    </w:p>
    <w:p w:rsidR="00747ABD" w:rsidRDefault="00747ABD" w:rsidP="00747ABD">
      <w:pPr>
        <w:rPr>
          <w:rFonts w:cs="Times New Roman"/>
        </w:rPr>
      </w:pPr>
      <w:r w:rsidRPr="00C523D2">
        <w:rPr>
          <w:rFonts w:cs="Times New Roman"/>
        </w:rPr>
        <w:t>Arnold, J. G., R. Srinivasan, R. S. Muttia</w:t>
      </w:r>
      <w:r>
        <w:rPr>
          <w:rFonts w:cs="Times New Roman"/>
        </w:rPr>
        <w:t>h, and J. R. Williams 1998</w:t>
      </w:r>
      <w:r w:rsidRPr="00C523D2">
        <w:rPr>
          <w:rFonts w:cs="Times New Roman"/>
        </w:rPr>
        <w:t xml:space="preserve"> Large area </w:t>
      </w:r>
      <w:r>
        <w:rPr>
          <w:rFonts w:cs="Times New Roman"/>
        </w:rPr>
        <w:tab/>
      </w:r>
      <w:r w:rsidRPr="00C523D2">
        <w:rPr>
          <w:rFonts w:cs="Times New Roman"/>
        </w:rPr>
        <w:t xml:space="preserve">hydrologic modeling and assessment - </w:t>
      </w:r>
      <w:r>
        <w:rPr>
          <w:rFonts w:cs="Times New Roman"/>
        </w:rPr>
        <w:t>p</w:t>
      </w:r>
      <w:r w:rsidRPr="00C523D2">
        <w:rPr>
          <w:rFonts w:cs="Times New Roman"/>
        </w:rPr>
        <w:t xml:space="preserve">art 1: </w:t>
      </w:r>
      <w:r>
        <w:rPr>
          <w:rFonts w:cs="Times New Roman"/>
        </w:rPr>
        <w:t>m</w:t>
      </w:r>
      <w:r w:rsidRPr="00C523D2">
        <w:rPr>
          <w:rFonts w:cs="Times New Roman"/>
        </w:rPr>
        <w:t xml:space="preserve">odel development, </w:t>
      </w:r>
      <w:r w:rsidRPr="00C7005B">
        <w:rPr>
          <w:rFonts w:cs="Times New Roman"/>
          <w:i/>
        </w:rPr>
        <w:t>J</w:t>
      </w:r>
      <w:r>
        <w:rPr>
          <w:rFonts w:cs="Times New Roman"/>
          <w:i/>
        </w:rPr>
        <w:t>.</w:t>
      </w:r>
      <w:r w:rsidRPr="00C7005B">
        <w:rPr>
          <w:rFonts w:cs="Times New Roman"/>
          <w:i/>
        </w:rPr>
        <w:t xml:space="preserve"> Am</w:t>
      </w:r>
      <w:r>
        <w:rPr>
          <w:rFonts w:cs="Times New Roman"/>
          <w:i/>
        </w:rPr>
        <w:t>.</w:t>
      </w:r>
      <w:r w:rsidRPr="00C7005B">
        <w:rPr>
          <w:rFonts w:cs="Times New Roman"/>
          <w:i/>
        </w:rPr>
        <w:t xml:space="preserve"> </w:t>
      </w:r>
      <w:r>
        <w:rPr>
          <w:rFonts w:cs="Times New Roman"/>
          <w:i/>
        </w:rPr>
        <w:tab/>
      </w:r>
      <w:r w:rsidRPr="00C7005B">
        <w:rPr>
          <w:rFonts w:cs="Times New Roman"/>
          <w:i/>
        </w:rPr>
        <w:t>Water Resour</w:t>
      </w:r>
      <w:r>
        <w:rPr>
          <w:rFonts w:cs="Times New Roman"/>
          <w:i/>
        </w:rPr>
        <w:t>.</w:t>
      </w:r>
      <w:r w:rsidRPr="00C7005B">
        <w:rPr>
          <w:rFonts w:cs="Times New Roman"/>
          <w:i/>
        </w:rPr>
        <w:t xml:space="preserve"> As</w:t>
      </w:r>
      <w:r>
        <w:rPr>
          <w:rFonts w:cs="Times New Roman"/>
          <w:i/>
        </w:rPr>
        <w:t>.</w:t>
      </w:r>
      <w:r w:rsidRPr="00C523D2">
        <w:rPr>
          <w:rFonts w:cs="Times New Roman"/>
        </w:rPr>
        <w:t xml:space="preserve">, </w:t>
      </w:r>
      <w:r w:rsidRPr="00C7005B">
        <w:rPr>
          <w:rFonts w:cs="Times New Roman"/>
          <w:b/>
        </w:rPr>
        <w:t>34</w:t>
      </w:r>
      <w:r w:rsidRPr="00C523D2">
        <w:rPr>
          <w:rFonts w:cs="Times New Roman"/>
        </w:rPr>
        <w:t>, 73-89.</w:t>
      </w:r>
    </w:p>
    <w:p w:rsidR="00AA47AE" w:rsidRPr="00316330" w:rsidRDefault="00AA47AE" w:rsidP="00AA47AE">
      <w:pPr>
        <w:rPr>
          <w:rFonts w:cs="Times New Roman"/>
        </w:rPr>
      </w:pPr>
      <w:r>
        <w:rPr>
          <w:rFonts w:cs="Times New Roman"/>
        </w:rPr>
        <w:t>Kotkin, J. 2012</w:t>
      </w:r>
      <w:r w:rsidRPr="00316330">
        <w:rPr>
          <w:rFonts w:cs="Times New Roman"/>
        </w:rPr>
        <w:t xml:space="preserve"> </w:t>
      </w:r>
      <w:proofErr w:type="gramStart"/>
      <w:r w:rsidRPr="00316330">
        <w:rPr>
          <w:rFonts w:cs="Times New Roman"/>
          <w:i/>
        </w:rPr>
        <w:t>The</w:t>
      </w:r>
      <w:proofErr w:type="gramEnd"/>
      <w:r w:rsidRPr="00316330">
        <w:rPr>
          <w:rFonts w:cs="Times New Roman"/>
          <w:i/>
        </w:rPr>
        <w:t xml:space="preserve"> Rise of the Great Plains</w:t>
      </w:r>
      <w:r w:rsidRPr="00117712">
        <w:rPr>
          <w:rFonts w:cs="Times New Roman"/>
        </w:rPr>
        <w:t>.</w:t>
      </w:r>
      <w:r>
        <w:rPr>
          <w:rFonts w:cs="Times New Roman"/>
        </w:rPr>
        <w:t xml:space="preserve">  </w:t>
      </w:r>
      <w:proofErr w:type="gramStart"/>
      <w:r w:rsidRPr="00316330">
        <w:rPr>
          <w:rFonts w:cs="Times New Roman"/>
        </w:rPr>
        <w:t>Texas Tech University</w:t>
      </w:r>
      <w:r>
        <w:rPr>
          <w:rFonts w:cs="Times New Roman"/>
        </w:rPr>
        <w:t xml:space="preserve"> Press</w:t>
      </w:r>
      <w:r w:rsidRPr="00316330">
        <w:rPr>
          <w:rFonts w:cs="Times New Roman"/>
        </w:rPr>
        <w:t xml:space="preserve">, Lubbock, </w:t>
      </w:r>
      <w:r>
        <w:rPr>
          <w:rFonts w:cs="Times New Roman"/>
        </w:rPr>
        <w:tab/>
      </w:r>
      <w:r w:rsidRPr="00316330">
        <w:rPr>
          <w:rFonts w:cs="Times New Roman"/>
        </w:rPr>
        <w:t>TX</w:t>
      </w:r>
      <w:r>
        <w:rPr>
          <w:rFonts w:cs="Times New Roman"/>
        </w:rPr>
        <w:t>, USA</w:t>
      </w:r>
      <w:r w:rsidRPr="00316330">
        <w:rPr>
          <w:rFonts w:cs="Times New Roman"/>
        </w:rPr>
        <w:t>.</w:t>
      </w:r>
      <w:proofErr w:type="gramEnd"/>
    </w:p>
    <w:p w:rsidR="00AA47AE" w:rsidRPr="00316330" w:rsidRDefault="00AA47AE" w:rsidP="00AA47AE">
      <w:pPr>
        <w:rPr>
          <w:rFonts w:cs="Times New Roman"/>
        </w:rPr>
      </w:pPr>
      <w:r w:rsidRPr="00316330">
        <w:rPr>
          <w:rFonts w:cs="Times New Roman"/>
        </w:rPr>
        <w:t>P</w:t>
      </w:r>
      <w:r>
        <w:rPr>
          <w:rFonts w:cs="Times New Roman"/>
        </w:rPr>
        <w:t>opper, D. E., and F. J. Popper 1987</w:t>
      </w:r>
      <w:r w:rsidRPr="00316330">
        <w:rPr>
          <w:rFonts w:cs="Times New Roman"/>
        </w:rPr>
        <w:t xml:space="preserve"> Great Plains: From </w:t>
      </w:r>
      <w:r w:rsidR="00747ABD">
        <w:rPr>
          <w:rFonts w:cs="Times New Roman"/>
        </w:rPr>
        <w:t>d</w:t>
      </w:r>
      <w:r w:rsidRPr="00316330">
        <w:rPr>
          <w:rFonts w:cs="Times New Roman"/>
        </w:rPr>
        <w:t xml:space="preserve">ust to </w:t>
      </w:r>
      <w:r w:rsidR="00747ABD">
        <w:rPr>
          <w:rFonts w:cs="Times New Roman"/>
        </w:rPr>
        <w:t>d</w:t>
      </w:r>
      <w:r w:rsidRPr="00316330">
        <w:rPr>
          <w:rFonts w:cs="Times New Roman"/>
        </w:rPr>
        <w:t xml:space="preserve">ust, </w:t>
      </w:r>
      <w:r w:rsidRPr="00316330">
        <w:rPr>
          <w:rFonts w:cs="Times New Roman"/>
          <w:i/>
        </w:rPr>
        <w:t>Planning</w:t>
      </w:r>
      <w:r>
        <w:rPr>
          <w:rFonts w:cs="Times New Roman"/>
        </w:rPr>
        <w:t xml:space="preserve"> </w:t>
      </w:r>
      <w:r w:rsidRPr="00117712">
        <w:rPr>
          <w:rFonts w:cs="Times New Roman"/>
          <w:b/>
        </w:rPr>
        <w:t>53</w:t>
      </w:r>
      <w:r w:rsidRPr="00316330">
        <w:rPr>
          <w:rFonts w:cs="Times New Roman"/>
        </w:rPr>
        <w:t>, 12-</w:t>
      </w:r>
      <w:r>
        <w:rPr>
          <w:rFonts w:cs="Times New Roman"/>
        </w:rPr>
        <w:tab/>
      </w:r>
      <w:r w:rsidRPr="00316330">
        <w:rPr>
          <w:rFonts w:cs="Times New Roman"/>
        </w:rPr>
        <w:t>18.</w:t>
      </w:r>
    </w:p>
    <w:p w:rsidR="00AA47AE" w:rsidRPr="00316330" w:rsidRDefault="00AA47AE" w:rsidP="00AA47AE">
      <w:pPr>
        <w:rPr>
          <w:rFonts w:cs="Times New Roman"/>
        </w:rPr>
      </w:pPr>
      <w:r w:rsidRPr="00316330">
        <w:rPr>
          <w:rFonts w:cs="Times New Roman"/>
        </w:rPr>
        <w:t xml:space="preserve">Sohl, T. L., B. M. Sleeter, K. L. Sayler, M. A. Bouchard, R. R. Reker, S. L. Bennett, R. </w:t>
      </w:r>
      <w:r w:rsidRPr="00316330">
        <w:rPr>
          <w:rFonts w:cs="Times New Roman"/>
        </w:rPr>
        <w:tab/>
        <w:t>R. Sleeter, R.</w:t>
      </w:r>
      <w:r>
        <w:rPr>
          <w:rFonts w:cs="Times New Roman"/>
        </w:rPr>
        <w:t xml:space="preserve"> L. Kanengieter, and Z. L. Zhu 2012</w:t>
      </w:r>
      <w:r w:rsidRPr="00316330">
        <w:rPr>
          <w:rFonts w:cs="Times New Roman"/>
        </w:rPr>
        <w:t xml:space="preserve"> Spatially explicit land-use </w:t>
      </w:r>
      <w:r w:rsidRPr="00316330">
        <w:rPr>
          <w:rFonts w:cs="Times New Roman"/>
        </w:rPr>
        <w:tab/>
        <w:t xml:space="preserve">and land-cover scenarios for the Great Plains of the United States, </w:t>
      </w:r>
      <w:r>
        <w:rPr>
          <w:rFonts w:cs="Times New Roman"/>
          <w:i/>
        </w:rPr>
        <w:t xml:space="preserve">Agr. </w:t>
      </w:r>
      <w:proofErr w:type="gramStart"/>
      <w:r>
        <w:rPr>
          <w:rFonts w:cs="Times New Roman"/>
          <w:i/>
        </w:rPr>
        <w:t>Ecosyst.</w:t>
      </w:r>
      <w:proofErr w:type="gramEnd"/>
      <w:r>
        <w:rPr>
          <w:rFonts w:cs="Times New Roman"/>
          <w:i/>
        </w:rPr>
        <w:t xml:space="preserve"> </w:t>
      </w:r>
      <w:r>
        <w:rPr>
          <w:rFonts w:cs="Times New Roman"/>
          <w:i/>
        </w:rPr>
        <w:tab/>
      </w:r>
      <w:proofErr w:type="gramStart"/>
      <w:r>
        <w:rPr>
          <w:rFonts w:cs="Times New Roman"/>
          <w:i/>
        </w:rPr>
        <w:t>Environ.</w:t>
      </w:r>
      <w:r w:rsidRPr="00316330">
        <w:rPr>
          <w:rFonts w:cs="Times New Roman"/>
        </w:rPr>
        <w:t>,</w:t>
      </w:r>
      <w:proofErr w:type="gramEnd"/>
      <w:r w:rsidRPr="00316330">
        <w:rPr>
          <w:rFonts w:cs="Times New Roman"/>
        </w:rPr>
        <w:t xml:space="preserve"> </w:t>
      </w:r>
      <w:r w:rsidRPr="00117712">
        <w:rPr>
          <w:rFonts w:cs="Times New Roman"/>
          <w:b/>
        </w:rPr>
        <w:t>153</w:t>
      </w:r>
      <w:r w:rsidRPr="00316330">
        <w:rPr>
          <w:rFonts w:cs="Times New Roman"/>
        </w:rPr>
        <w:t>, 1-15.</w:t>
      </w:r>
    </w:p>
    <w:p w:rsidR="00AA47AE" w:rsidRPr="00316330" w:rsidRDefault="00AA47AE" w:rsidP="00AA47AE">
      <w:pPr>
        <w:rPr>
          <w:rFonts w:cs="Times New Roman"/>
        </w:rPr>
      </w:pPr>
      <w:proofErr w:type="gramStart"/>
      <w:r>
        <w:rPr>
          <w:rFonts w:cs="Times New Roman"/>
        </w:rPr>
        <w:t>Wallach, B. 1985</w:t>
      </w:r>
      <w:r w:rsidRPr="00316330">
        <w:rPr>
          <w:rFonts w:cs="Times New Roman"/>
        </w:rPr>
        <w:t xml:space="preserve"> The Return of the </w:t>
      </w:r>
      <w:r w:rsidR="00747ABD">
        <w:rPr>
          <w:rFonts w:cs="Times New Roman"/>
        </w:rPr>
        <w:t>p</w:t>
      </w:r>
      <w:r w:rsidRPr="00316330">
        <w:rPr>
          <w:rFonts w:cs="Times New Roman"/>
        </w:rPr>
        <w:t xml:space="preserve">rairie, </w:t>
      </w:r>
      <w:r w:rsidRPr="00316330">
        <w:rPr>
          <w:rFonts w:cs="Times New Roman"/>
          <w:i/>
        </w:rPr>
        <w:t>Landscape</w:t>
      </w:r>
      <w:r>
        <w:rPr>
          <w:rFonts w:cs="Times New Roman"/>
        </w:rPr>
        <w:t xml:space="preserve"> </w:t>
      </w:r>
      <w:r w:rsidRPr="00117712">
        <w:rPr>
          <w:rFonts w:cs="Times New Roman"/>
          <w:b/>
        </w:rPr>
        <w:t>28</w:t>
      </w:r>
      <w:r w:rsidRPr="00316330">
        <w:rPr>
          <w:rFonts w:cs="Times New Roman"/>
        </w:rPr>
        <w:t>, 1-5.</w:t>
      </w:r>
      <w:proofErr w:type="gramEnd"/>
    </w:p>
    <w:p w:rsidR="00A539DD" w:rsidRDefault="00AA47AE">
      <w:pPr>
        <w:rPr>
          <w:rFonts w:cs="Times New Roman"/>
        </w:rPr>
      </w:pPr>
      <w:r>
        <w:rPr>
          <w:rFonts w:cs="Times New Roman"/>
        </w:rPr>
        <w:t>Wood, R. E. 2008</w:t>
      </w:r>
      <w:r w:rsidRPr="00316330">
        <w:rPr>
          <w:rFonts w:cs="Times New Roman"/>
        </w:rPr>
        <w:t xml:space="preserve"> </w:t>
      </w:r>
      <w:r w:rsidRPr="00316330">
        <w:rPr>
          <w:rFonts w:cs="Times New Roman"/>
          <w:i/>
        </w:rPr>
        <w:t xml:space="preserve">Survival of </w:t>
      </w:r>
      <w:r>
        <w:rPr>
          <w:rFonts w:cs="Times New Roman"/>
          <w:i/>
        </w:rPr>
        <w:t>R</w:t>
      </w:r>
      <w:r w:rsidRPr="00316330">
        <w:rPr>
          <w:rFonts w:cs="Times New Roman"/>
          <w:i/>
        </w:rPr>
        <w:t xml:space="preserve">ural America: </w:t>
      </w:r>
      <w:r>
        <w:rPr>
          <w:rFonts w:cs="Times New Roman"/>
          <w:i/>
        </w:rPr>
        <w:t>S</w:t>
      </w:r>
      <w:r w:rsidRPr="00316330">
        <w:rPr>
          <w:rFonts w:cs="Times New Roman"/>
          <w:i/>
        </w:rPr>
        <w:t xml:space="preserve">mall victories and </w:t>
      </w:r>
      <w:r>
        <w:rPr>
          <w:rFonts w:cs="Times New Roman"/>
          <w:i/>
        </w:rPr>
        <w:t>B</w:t>
      </w:r>
      <w:r w:rsidRPr="00316330">
        <w:rPr>
          <w:rFonts w:cs="Times New Roman"/>
          <w:i/>
        </w:rPr>
        <w:t xml:space="preserve">itter </w:t>
      </w:r>
      <w:r>
        <w:rPr>
          <w:rFonts w:cs="Times New Roman"/>
          <w:i/>
        </w:rPr>
        <w:t>H</w:t>
      </w:r>
      <w:r w:rsidRPr="00316330">
        <w:rPr>
          <w:rFonts w:cs="Times New Roman"/>
          <w:i/>
        </w:rPr>
        <w:t>arvests</w:t>
      </w:r>
      <w:r>
        <w:rPr>
          <w:rFonts w:cs="Times New Roman"/>
        </w:rPr>
        <w:t>.</w:t>
      </w:r>
      <w:r w:rsidRPr="00316330">
        <w:rPr>
          <w:rFonts w:cs="Times New Roman"/>
        </w:rPr>
        <w:t xml:space="preserve"> </w:t>
      </w:r>
      <w:r w:rsidRPr="00316330">
        <w:rPr>
          <w:rFonts w:cs="Times New Roman"/>
        </w:rPr>
        <w:tab/>
      </w:r>
      <w:proofErr w:type="gramStart"/>
      <w:r>
        <w:rPr>
          <w:rFonts w:cs="Times New Roman"/>
        </w:rPr>
        <w:t>University Press of Kansas, Lawrence, KS, USA.</w:t>
      </w:r>
      <w:proofErr w:type="gramEnd"/>
    </w:p>
    <w:p w:rsidR="00A539DD" w:rsidRDefault="00A539DD">
      <w:pPr>
        <w:rPr>
          <w:rFonts w:cs="Times New Roman"/>
        </w:rPr>
      </w:pPr>
      <w:r>
        <w:rPr>
          <w:rFonts w:cs="Times New Roman"/>
        </w:rPr>
        <w:br w:type="page"/>
      </w:r>
    </w:p>
    <w:p w:rsidR="00CF7BEE" w:rsidRDefault="005D2319" w:rsidP="001C7579">
      <w:pPr>
        <w:pStyle w:val="Heading1"/>
        <w:jc w:val="center"/>
        <w:rPr>
          <w:sz w:val="28"/>
          <w:szCs w:val="28"/>
        </w:rPr>
      </w:pPr>
      <w:bookmarkStart w:id="234" w:name="_Toc364501673"/>
      <w:bookmarkStart w:id="235" w:name="_Toc368046205"/>
      <w:r>
        <w:rPr>
          <w:rFonts w:asciiTheme="minorHAnsi" w:hAnsiTheme="minorHAnsi" w:cstheme="minorHAnsi"/>
          <w:sz w:val="28"/>
          <w:szCs w:val="28"/>
        </w:rPr>
        <w:lastRenderedPageBreak/>
        <w:t>Appendix</w:t>
      </w:r>
      <w:r w:rsidR="00CF7BEE" w:rsidRPr="00CF7BEE">
        <w:rPr>
          <w:rFonts w:asciiTheme="minorHAnsi" w:hAnsiTheme="minorHAnsi" w:cstheme="minorHAnsi"/>
          <w:sz w:val="28"/>
          <w:szCs w:val="28"/>
        </w:rPr>
        <w:t xml:space="preserve">: </w:t>
      </w:r>
      <w:r w:rsidR="00CF7BEE" w:rsidRPr="00CF7BEE">
        <w:rPr>
          <w:sz w:val="28"/>
          <w:szCs w:val="28"/>
        </w:rPr>
        <w:t xml:space="preserve">Summary of Hydrologic Parameters, </w:t>
      </w:r>
      <w:r w:rsidR="00CF7BEE">
        <w:rPr>
          <w:sz w:val="28"/>
          <w:szCs w:val="28"/>
        </w:rPr>
        <w:t>According to</w:t>
      </w:r>
      <w:r w:rsidR="00CF7BEE" w:rsidRPr="00CF7BEE">
        <w:rPr>
          <w:sz w:val="28"/>
          <w:szCs w:val="28"/>
        </w:rPr>
        <w:t xml:space="preserve"> GCM, by Season (Pertains to Chapter 4)</w:t>
      </w:r>
      <w:bookmarkEnd w:id="234"/>
      <w:bookmarkEnd w:id="235"/>
    </w:p>
    <w:p w:rsidR="004C36A5" w:rsidRDefault="004C36A5">
      <w:pPr>
        <w:rPr>
          <w:rFonts w:eastAsia="Times New Roman" w:cs="Times New Roman"/>
          <w:b/>
          <w:bCs/>
          <w:kern w:val="36"/>
          <w:sz w:val="28"/>
          <w:szCs w:val="28"/>
        </w:rPr>
      </w:pPr>
      <w:r>
        <w:rPr>
          <w:sz w:val="28"/>
          <w:szCs w:val="28"/>
        </w:rPr>
        <w:br w:type="page"/>
      </w:r>
    </w:p>
    <w:p w:rsidR="004C36A5" w:rsidRPr="000C7091" w:rsidRDefault="005D2319" w:rsidP="000D5404">
      <w:pPr>
        <w:pStyle w:val="Tabletitle"/>
        <w:jc w:val="center"/>
      </w:pPr>
      <w:bookmarkStart w:id="236" w:name="_Toc364503718"/>
      <w:bookmarkStart w:id="237" w:name="_Toc367550612"/>
      <w:r w:rsidRPr="000C7091">
        <w:rPr>
          <w:rFonts w:eastAsiaTheme="majorEastAsia"/>
        </w:rPr>
        <w:lastRenderedPageBreak/>
        <w:t>Table A.1: Summary of Hydrologic Parameters, by GCM, for the winter season</w:t>
      </w:r>
      <w:bookmarkEnd w:id="236"/>
      <w:bookmarkEnd w:id="237"/>
    </w:p>
    <w:tbl>
      <w:tblPr>
        <w:tblW w:w="7515"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tblBorders>
        <w:tblLayout w:type="fixed"/>
        <w:tblLook w:val="0020" w:firstRow="1" w:lastRow="0" w:firstColumn="0" w:lastColumn="0" w:noHBand="0" w:noVBand="0"/>
      </w:tblPr>
      <w:tblGrid>
        <w:gridCol w:w="2086"/>
        <w:gridCol w:w="903"/>
        <w:gridCol w:w="807"/>
        <w:gridCol w:w="871"/>
        <w:gridCol w:w="871"/>
        <w:gridCol w:w="1151"/>
        <w:gridCol w:w="826"/>
      </w:tblGrid>
      <w:tr w:rsidR="004C36A5" w:rsidTr="00B6696C">
        <w:trPr>
          <w:jc w:val="center"/>
        </w:trPr>
        <w:tc>
          <w:tcPr>
            <w:tcW w:w="2086" w:type="dxa"/>
            <w:tcBorders>
              <w:top w:val="single" w:sz="8" w:space="0" w:color="000000" w:themeColor="text1"/>
              <w:bottom w:val="single" w:sz="8" w:space="0" w:color="000000" w:themeColor="text1"/>
              <w:right w:val="single" w:sz="8" w:space="0" w:color="000000" w:themeColor="text1"/>
            </w:tcBorders>
          </w:tcPr>
          <w:p w:rsidR="004C36A5" w:rsidRDefault="004C36A5" w:rsidP="004C36A5">
            <w:pPr>
              <w:rPr>
                <w:rFonts w:ascii="Arial Unicode MS" w:eastAsia="Arial Unicode MS" w:hAnsi="Arial Unicode MS" w:cs="Times New Roman"/>
                <w:b/>
                <w:bCs/>
                <w:color w:val="000000"/>
                <w:shd w:val="clear" w:color="auto" w:fill="FFFFFF"/>
                <w:lang w:eastAsia="ja-JP"/>
              </w:rPr>
            </w:pPr>
          </w:p>
        </w:tc>
        <w:tc>
          <w:tcPr>
            <w:tcW w:w="90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hideMark/>
          </w:tcPr>
          <w:p w:rsidR="004C36A5" w:rsidRDefault="000844CF" w:rsidP="004C36A5">
            <w:pPr>
              <w:jc w:val="right"/>
              <w:rPr>
                <w:rFonts w:eastAsia="PMingLiU" w:cs="Times New Roman"/>
                <w:b/>
                <w:bCs/>
                <w:color w:val="FFFFFF"/>
                <w:lang w:eastAsia="ja-JP"/>
              </w:rPr>
            </w:pPr>
            <w:r w:rsidRPr="000844CF">
              <w:rPr>
                <w:rFonts w:ascii="Cambria Math" w:hAnsi="Cambria Math"/>
                <w:b/>
                <w:sz w:val="22"/>
                <w:szCs w:val="22"/>
              </w:rPr>
              <w:t>P</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4C36A5" w:rsidRDefault="004C36A5" w:rsidP="004C36A5">
            <w:pPr>
              <w:jc w:val="right"/>
              <w:rPr>
                <w:rFonts w:eastAsia="PMingLiU" w:cs="Times New Roman"/>
                <w:b/>
                <w:bCs/>
                <w:color w:val="000000"/>
                <w:lang w:eastAsia="ja-JP"/>
              </w:rPr>
            </w:pPr>
            <w:r w:rsidRPr="000844CF">
              <w:rPr>
                <w:rFonts w:ascii="Cambria Math" w:hAnsi="Cambria Math" w:cs="Cambria Math"/>
                <w:b/>
                <w:bCs/>
                <w:color w:val="000000"/>
                <w:sz w:val="22"/>
                <w:szCs w:val="22"/>
              </w:rPr>
              <w:fldChar w:fldCharType="begin"/>
            </w:r>
            <w:r w:rsidRPr="000844CF">
              <w:rPr>
                <w:rFonts w:ascii="Cambria Math" w:hAnsi="Cambria Math" w:cs="Cambria Math"/>
                <w:b/>
                <w:bCs/>
                <w:color w:val="000000"/>
                <w:sz w:val="22"/>
                <w:szCs w:val="22"/>
              </w:rPr>
              <w:instrText xml:space="preserve"> QUOTE </w:instrText>
            </w:r>
            <w:r w:rsidRPr="000844CF">
              <w:rPr>
                <w:noProof/>
                <w:sz w:val="22"/>
                <w:szCs w:val="22"/>
              </w:rPr>
              <w:drawing>
                <wp:inline distT="0" distB="0" distL="0" distR="0" wp14:anchorId="51044328" wp14:editId="2B913B5D">
                  <wp:extent cx="152400" cy="1809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844CF">
              <w:rPr>
                <w:rFonts w:ascii="Cambria Math" w:hAnsi="Cambria Math" w:cs="Cambria Math"/>
                <w:b/>
                <w:bCs/>
                <w:color w:val="000000"/>
                <w:sz w:val="22"/>
                <w:szCs w:val="22"/>
              </w:rPr>
              <w:instrText xml:space="preserve"> </w:instrText>
            </w:r>
            <w:r w:rsidRPr="000844CF">
              <w:rPr>
                <w:rFonts w:ascii="Cambria Math" w:hAnsi="Cambria Math" w:cs="Cambria Math"/>
                <w:b/>
                <w:bCs/>
                <w:color w:val="000000"/>
                <w:sz w:val="22"/>
                <w:szCs w:val="22"/>
              </w:rPr>
              <w:fldChar w:fldCharType="separate"/>
            </w:r>
            <w:r w:rsidRPr="000844CF">
              <w:rPr>
                <w:noProof/>
                <w:sz w:val="22"/>
                <w:szCs w:val="22"/>
              </w:rPr>
              <w:drawing>
                <wp:inline distT="0" distB="0" distL="0" distR="0" wp14:anchorId="7D9F237E" wp14:editId="5D218844">
                  <wp:extent cx="152400" cy="1809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844CF">
              <w:rPr>
                <w:rFonts w:ascii="Cambria Math" w:hAnsi="Cambria Math" w:cs="Cambria Math"/>
                <w:b/>
                <w:bCs/>
                <w:color w:val="000000"/>
                <w:sz w:val="22"/>
                <w:szCs w:val="22"/>
              </w:rPr>
              <w:fldChar w:fldCharType="end"/>
            </w:r>
            <w:r>
              <w:rPr>
                <w:rFonts w:ascii="Cambria Math" w:hAnsi="Cambria Math" w:cs="Cambria Math"/>
                <w:color w:val="000000"/>
                <w:lang w:eastAsia="ja-JP"/>
              </w:rPr>
              <w:t xml:space="preserve"> </w:t>
            </w:r>
            <w:r w:rsidRPr="000844CF">
              <w:rPr>
                <w:rFonts w:ascii="Cambria Math" w:hAnsi="Cambria Math" w:cs="Cambria Math"/>
                <w:color w:val="000000"/>
                <w:sz w:val="22"/>
                <w:szCs w:val="22"/>
                <w:lang w:eastAsia="ja-JP"/>
              </w:rPr>
              <w:t>(</w:t>
            </w:r>
            <w:r w:rsidRPr="000844CF">
              <w:rPr>
                <w:rFonts w:ascii="Cambria Math" w:hAnsi="Cambria Math" w:cs="Cambria Math"/>
                <w:color w:val="000000"/>
                <w:sz w:val="22"/>
                <w:szCs w:val="22"/>
                <w:vertAlign w:val="superscript"/>
                <w:lang w:eastAsia="ja-JP"/>
              </w:rPr>
              <w:t>O</w:t>
            </w:r>
            <w:r w:rsidRPr="000844CF">
              <w:rPr>
                <w:rFonts w:ascii="Cambria Math" w:hAnsi="Cambria Math" w:cs="Cambria Math"/>
                <w:color w:val="000000"/>
                <w:sz w:val="22"/>
                <w:szCs w:val="22"/>
                <w:lang w:eastAsia="ja-JP"/>
              </w:rPr>
              <w:t>C)</w:t>
            </w:r>
          </w:p>
        </w:tc>
        <w:tc>
          <w:tcPr>
            <w:tcW w:w="871" w:type="dxa"/>
            <w:tcBorders>
              <w:top w:val="single" w:sz="8" w:space="0" w:color="000000" w:themeColor="text1"/>
              <w:left w:val="single" w:sz="8" w:space="0" w:color="000000" w:themeColor="text1"/>
              <w:bottom w:val="single" w:sz="8" w:space="0" w:color="000000" w:themeColor="text1"/>
            </w:tcBorders>
            <w:vAlign w:val="bottom"/>
            <w:hideMark/>
          </w:tcPr>
          <w:p w:rsidR="004C36A5" w:rsidRDefault="000844CF" w:rsidP="004C36A5">
            <w:pPr>
              <w:jc w:val="right"/>
              <w:rPr>
                <w:rFonts w:ascii="Calibri" w:eastAsia="PMingLiU" w:hAnsi="Calibri" w:cs="Calibri"/>
                <w:b/>
                <w:bCs/>
                <w:color w:val="000000"/>
                <w:lang w:eastAsia="ja-JP"/>
              </w:rPr>
            </w:pPr>
            <w:r w:rsidRPr="004C36A5">
              <w:rPr>
                <w:rFonts w:ascii="Cambria Math" w:hAnsi="Cambria Math"/>
                <w:b/>
                <w:color w:val="000000"/>
                <w:sz w:val="22"/>
                <w:szCs w:val="22"/>
              </w:rPr>
              <w:t>r</w:t>
            </w:r>
            <w:r w:rsidRPr="004C36A5">
              <w:rPr>
                <w:rFonts w:ascii="Cambria Math" w:hAnsi="Cambria Math"/>
                <w:b/>
                <w:color w:val="000000"/>
                <w:sz w:val="22"/>
                <w:szCs w:val="22"/>
                <w:vertAlign w:val="subscript"/>
              </w:rPr>
              <w:t>s</w:t>
            </w:r>
          </w:p>
        </w:tc>
        <w:tc>
          <w:tcPr>
            <w:tcW w:w="871" w:type="dxa"/>
            <w:tcBorders>
              <w:top w:val="single" w:sz="8" w:space="0" w:color="000000" w:themeColor="text1"/>
              <w:bottom w:val="single" w:sz="8" w:space="0" w:color="000000" w:themeColor="text1"/>
              <w:right w:val="single" w:sz="8" w:space="0" w:color="000000" w:themeColor="text1"/>
            </w:tcBorders>
            <w:vAlign w:val="bottom"/>
            <w:hideMark/>
          </w:tcPr>
          <w:p w:rsidR="004C36A5" w:rsidRDefault="000844CF" w:rsidP="004C36A5">
            <w:pPr>
              <w:jc w:val="right"/>
              <w:rPr>
                <w:rFonts w:ascii="Calibri" w:eastAsia="PMingLiU" w:hAnsi="Calibri" w:cs="Calibri"/>
                <w:b/>
                <w:bCs/>
                <w:color w:val="000000"/>
                <w:lang w:eastAsia="ja-JP"/>
              </w:rPr>
            </w:pPr>
            <w:r w:rsidRPr="004C36A5">
              <w:rPr>
                <w:rFonts w:ascii="Cambria Math" w:hAnsi="Cambria Math"/>
                <w:b/>
                <w:sz w:val="22"/>
                <w:szCs w:val="22"/>
              </w:rPr>
              <w:t>eT</w:t>
            </w:r>
          </w:p>
        </w:tc>
        <w:tc>
          <w:tcPr>
            <w:tcW w:w="1151" w:type="dxa"/>
            <w:tcBorders>
              <w:top w:val="single" w:sz="8" w:space="0" w:color="000000" w:themeColor="text1"/>
              <w:left w:val="single" w:sz="8" w:space="0" w:color="000000" w:themeColor="text1"/>
              <w:bottom w:val="single" w:sz="8" w:space="0" w:color="000000" w:themeColor="text1"/>
            </w:tcBorders>
            <w:vAlign w:val="bottom"/>
          </w:tcPr>
          <w:p w:rsidR="004C36A5" w:rsidRDefault="004C36A5" w:rsidP="004C36A5">
            <w:pPr>
              <w:jc w:val="right"/>
              <w:rPr>
                <w:rFonts w:ascii="Calibri" w:eastAsia="PMingLiU" w:hAnsi="Calibri" w:cs="Calibri"/>
                <w:b/>
                <w:bCs/>
                <w:color w:val="000000"/>
                <w:lang w:eastAsia="ja-JP"/>
              </w:rPr>
            </w:pPr>
          </w:p>
        </w:tc>
        <w:tc>
          <w:tcPr>
            <w:tcW w:w="826" w:type="dxa"/>
            <w:tcBorders>
              <w:top w:val="single" w:sz="8" w:space="0" w:color="000000" w:themeColor="text1"/>
              <w:bottom w:val="single" w:sz="8" w:space="0" w:color="000000" w:themeColor="text1"/>
            </w:tcBorders>
            <w:vAlign w:val="bottom"/>
          </w:tcPr>
          <w:p w:rsidR="004C36A5" w:rsidRDefault="004C36A5" w:rsidP="004C36A5">
            <w:pPr>
              <w:jc w:val="right"/>
              <w:rPr>
                <w:rFonts w:ascii="Calibri" w:eastAsia="PMingLiU" w:hAnsi="Calibri" w:cs="Calibri"/>
                <w:b/>
                <w:bCs/>
                <w:color w:val="000000"/>
                <w:lang w:eastAsia="ja-JP"/>
              </w:rPr>
            </w:pPr>
          </w:p>
        </w:tc>
      </w:tr>
      <w:tr w:rsidR="004C36A5" w:rsidTr="00B6696C">
        <w:trPr>
          <w:jc w:val="center"/>
        </w:trPr>
        <w:tc>
          <w:tcPr>
            <w:tcW w:w="2086" w:type="dxa"/>
            <w:tcBorders>
              <w:top w:val="single" w:sz="8" w:space="0" w:color="000000" w:themeColor="text1"/>
              <w:bottom w:val="single" w:sz="8" w:space="0" w:color="000000" w:themeColor="text1"/>
              <w:right w:val="single" w:sz="8" w:space="0" w:color="000000" w:themeColor="text1"/>
            </w:tcBorders>
          </w:tcPr>
          <w:p w:rsidR="004C36A5" w:rsidRPr="004C36A5" w:rsidRDefault="004C36A5" w:rsidP="004C36A5">
            <w:pPr>
              <w:rPr>
                <w:rFonts w:ascii="Arial Unicode MS" w:eastAsia="Arial Unicode MS" w:hAnsi="Arial Unicode MS" w:cs="Arial Unicode MS"/>
                <w:i/>
                <w:iCs/>
                <w:color w:val="000000"/>
                <w:sz w:val="20"/>
                <w:szCs w:val="20"/>
                <w:shd w:val="clear" w:color="auto" w:fill="FFFFFF"/>
                <w:lang w:eastAsia="ja-JP"/>
              </w:rPr>
            </w:pPr>
            <w:r w:rsidRPr="004C36A5">
              <w:rPr>
                <w:rFonts w:ascii="Arial Unicode MS" w:eastAsia="Arial Unicode MS" w:hAnsi="Arial Unicode MS" w:cs="Arial Unicode MS" w:hint="eastAsia"/>
                <w:i/>
                <w:iCs/>
                <w:color w:val="000000"/>
                <w:sz w:val="20"/>
                <w:szCs w:val="20"/>
                <w:shd w:val="clear" w:color="auto" w:fill="FFFFFF"/>
                <w:lang w:eastAsia="ja-JP"/>
              </w:rPr>
              <w:t>Avg Obs Value for Parameter (mm H</w:t>
            </w:r>
            <w:r w:rsidRPr="004C36A5">
              <w:rPr>
                <w:rFonts w:ascii="Arial Unicode MS" w:eastAsia="Arial Unicode MS" w:hAnsi="Arial Unicode MS" w:cs="Arial Unicode MS" w:hint="eastAsia"/>
                <w:i/>
                <w:iCs/>
                <w:color w:val="000000"/>
                <w:sz w:val="20"/>
                <w:szCs w:val="20"/>
                <w:shd w:val="clear" w:color="auto" w:fill="FFFFFF"/>
                <w:vertAlign w:val="subscript"/>
                <w:lang w:eastAsia="ja-JP"/>
              </w:rPr>
              <w:t>2</w:t>
            </w:r>
            <w:r w:rsidRPr="004C36A5">
              <w:rPr>
                <w:rFonts w:ascii="Arial Unicode MS" w:eastAsia="Arial Unicode MS" w:hAnsi="Arial Unicode MS" w:cs="Arial Unicode MS" w:hint="eastAsia"/>
                <w:i/>
                <w:iCs/>
                <w:color w:val="000000"/>
                <w:sz w:val="20"/>
                <w:szCs w:val="20"/>
                <w:shd w:val="clear" w:color="auto" w:fill="FFFFFF"/>
                <w:lang w:eastAsia="ja-JP"/>
              </w:rPr>
              <w:t>0)</w:t>
            </w:r>
          </w:p>
        </w:tc>
        <w:tc>
          <w:tcPr>
            <w:tcW w:w="90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rsidR="004C36A5" w:rsidRPr="004C36A5" w:rsidRDefault="004C36A5" w:rsidP="004C36A5">
            <w:pPr>
              <w:jc w:val="right"/>
              <w:rPr>
                <w:rFonts w:ascii="Calibri" w:hAnsi="Calibri" w:cs="Calibri"/>
                <w:i/>
                <w:iCs/>
                <w:color w:val="000000"/>
                <w:sz w:val="20"/>
                <w:szCs w:val="20"/>
                <w:lang w:eastAsia="ja-JP"/>
              </w:rPr>
            </w:pPr>
            <w:r w:rsidRPr="004C36A5">
              <w:rPr>
                <w:rFonts w:ascii="Calibri" w:hAnsi="Calibri" w:cs="Calibri"/>
                <w:i/>
                <w:iCs/>
                <w:color w:val="000000"/>
                <w:sz w:val="20"/>
                <w:szCs w:val="20"/>
                <w:lang w:eastAsia="ja-JP"/>
              </w:rPr>
              <w:t>65</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rsidR="004C36A5" w:rsidRPr="004C36A5" w:rsidRDefault="004C36A5" w:rsidP="004C36A5">
            <w:pPr>
              <w:jc w:val="right"/>
              <w:rPr>
                <w:rFonts w:ascii="Calibri" w:hAnsi="Calibri" w:cs="Calibri"/>
                <w:i/>
                <w:iCs/>
                <w:color w:val="000000"/>
                <w:sz w:val="20"/>
                <w:szCs w:val="20"/>
                <w:lang w:eastAsia="ja-JP"/>
              </w:rPr>
            </w:pPr>
            <w:r w:rsidRPr="004C36A5">
              <w:rPr>
                <w:rFonts w:ascii="Calibri" w:hAnsi="Calibri" w:cs="Calibri"/>
                <w:i/>
                <w:iCs/>
                <w:color w:val="000000"/>
                <w:sz w:val="20"/>
                <w:szCs w:val="20"/>
                <w:lang w:eastAsia="ja-JP"/>
              </w:rPr>
              <w:t>3.19</w:t>
            </w:r>
          </w:p>
        </w:tc>
        <w:tc>
          <w:tcPr>
            <w:tcW w:w="871" w:type="dxa"/>
            <w:tcBorders>
              <w:top w:val="single" w:sz="8" w:space="0" w:color="000000" w:themeColor="text1"/>
              <w:left w:val="single" w:sz="8" w:space="0" w:color="000000" w:themeColor="text1"/>
              <w:bottom w:val="single" w:sz="8" w:space="0" w:color="000000" w:themeColor="text1"/>
            </w:tcBorders>
            <w:vAlign w:val="bottom"/>
          </w:tcPr>
          <w:p w:rsidR="004C36A5" w:rsidRPr="004C36A5" w:rsidRDefault="004C36A5" w:rsidP="004C36A5">
            <w:pPr>
              <w:jc w:val="right"/>
              <w:rPr>
                <w:rFonts w:ascii="Calibri" w:hAnsi="Calibri" w:cs="Calibri"/>
                <w:i/>
                <w:iCs/>
                <w:color w:val="000000"/>
                <w:sz w:val="20"/>
                <w:szCs w:val="20"/>
                <w:lang w:eastAsia="ja-JP"/>
              </w:rPr>
            </w:pPr>
            <w:r w:rsidRPr="004C36A5">
              <w:rPr>
                <w:rFonts w:ascii="Calibri" w:hAnsi="Calibri" w:cs="Calibri"/>
                <w:i/>
                <w:iCs/>
                <w:color w:val="000000"/>
                <w:sz w:val="20"/>
                <w:szCs w:val="20"/>
                <w:lang w:eastAsia="ja-JP"/>
              </w:rPr>
              <w:t>3</w:t>
            </w:r>
          </w:p>
        </w:tc>
        <w:tc>
          <w:tcPr>
            <w:tcW w:w="871" w:type="dxa"/>
            <w:tcBorders>
              <w:top w:val="single" w:sz="8" w:space="0" w:color="000000" w:themeColor="text1"/>
              <w:bottom w:val="single" w:sz="8" w:space="0" w:color="000000" w:themeColor="text1"/>
              <w:right w:val="single" w:sz="8" w:space="0" w:color="000000" w:themeColor="text1"/>
            </w:tcBorders>
            <w:vAlign w:val="bottom"/>
          </w:tcPr>
          <w:p w:rsidR="004C36A5" w:rsidRPr="004C36A5" w:rsidRDefault="004C36A5" w:rsidP="004C36A5">
            <w:pPr>
              <w:jc w:val="right"/>
              <w:rPr>
                <w:rFonts w:ascii="Calibri" w:hAnsi="Calibri" w:cs="Calibri"/>
                <w:i/>
                <w:iCs/>
                <w:color w:val="000000"/>
                <w:sz w:val="20"/>
                <w:szCs w:val="20"/>
                <w:lang w:eastAsia="ja-JP"/>
              </w:rPr>
            </w:pPr>
            <w:r w:rsidRPr="004C36A5">
              <w:rPr>
                <w:rFonts w:ascii="Calibri" w:hAnsi="Calibri" w:cs="Calibri"/>
                <w:i/>
                <w:iCs/>
                <w:color w:val="000000"/>
                <w:sz w:val="20"/>
                <w:szCs w:val="20"/>
                <w:lang w:eastAsia="ja-JP"/>
              </w:rPr>
              <w:t>70</w:t>
            </w:r>
          </w:p>
        </w:tc>
        <w:tc>
          <w:tcPr>
            <w:tcW w:w="1151" w:type="dxa"/>
            <w:tcBorders>
              <w:top w:val="single" w:sz="8" w:space="0" w:color="000000" w:themeColor="text1"/>
              <w:left w:val="single" w:sz="8" w:space="0" w:color="000000" w:themeColor="text1"/>
              <w:bottom w:val="single" w:sz="8" w:space="0" w:color="000000" w:themeColor="text1"/>
            </w:tcBorders>
            <w:vAlign w:val="bottom"/>
          </w:tcPr>
          <w:p w:rsidR="004C36A5" w:rsidRPr="004C36A5" w:rsidRDefault="004C36A5" w:rsidP="004C36A5">
            <w:pPr>
              <w:jc w:val="right"/>
              <w:rPr>
                <w:rFonts w:ascii="Calibri" w:eastAsia="PMingLiU" w:hAnsi="Calibri" w:cs="Calibri"/>
                <w:b/>
                <w:bCs/>
                <w:i/>
                <w:iCs/>
                <w:color w:val="000000"/>
                <w:sz w:val="20"/>
                <w:szCs w:val="20"/>
                <w:lang w:eastAsia="ja-JP"/>
              </w:rPr>
            </w:pPr>
          </w:p>
        </w:tc>
        <w:tc>
          <w:tcPr>
            <w:tcW w:w="826" w:type="dxa"/>
            <w:tcBorders>
              <w:top w:val="single" w:sz="8" w:space="0" w:color="000000" w:themeColor="text1"/>
              <w:bottom w:val="single" w:sz="8" w:space="0" w:color="000000" w:themeColor="text1"/>
            </w:tcBorders>
            <w:vAlign w:val="bottom"/>
          </w:tcPr>
          <w:p w:rsidR="004C36A5" w:rsidRPr="004C36A5" w:rsidRDefault="004C36A5" w:rsidP="004C36A5">
            <w:pPr>
              <w:jc w:val="right"/>
              <w:rPr>
                <w:rFonts w:ascii="Calibri" w:eastAsia="PMingLiU" w:hAnsi="Calibri" w:cs="Calibri"/>
                <w:b/>
                <w:bCs/>
                <w:i/>
                <w:iCs/>
                <w:color w:val="000000"/>
                <w:sz w:val="20"/>
                <w:szCs w:val="20"/>
                <w:lang w:eastAsia="ja-JP"/>
              </w:rPr>
            </w:pPr>
          </w:p>
        </w:tc>
      </w:tr>
      <w:tr w:rsidR="004C36A5" w:rsidTr="000844CF">
        <w:trPr>
          <w:jc w:val="center"/>
        </w:trPr>
        <w:tc>
          <w:tcPr>
            <w:tcW w:w="2086" w:type="dxa"/>
            <w:tcBorders>
              <w:top w:val="single" w:sz="8" w:space="0" w:color="000000" w:themeColor="text1"/>
              <w:bottom w:val="single" w:sz="8" w:space="0" w:color="000000" w:themeColor="text1"/>
              <w:right w:val="single" w:sz="8" w:space="0" w:color="000000" w:themeColor="text1"/>
            </w:tcBorders>
          </w:tcPr>
          <w:p w:rsidR="004C36A5" w:rsidRDefault="004C36A5" w:rsidP="004C36A5">
            <w:pPr>
              <w:rPr>
                <w:rFonts w:ascii="Arial Unicode MS" w:eastAsia="Arial Unicode MS" w:hAnsi="Arial Unicode MS" w:cs="Times New Roman"/>
                <w:i/>
                <w:iCs/>
                <w:color w:val="000000"/>
                <w:shd w:val="clear" w:color="auto" w:fill="FFFFFF"/>
                <w:lang w:eastAsia="ja-JP"/>
              </w:rPr>
            </w:pPr>
          </w:p>
        </w:tc>
        <w:tc>
          <w:tcPr>
            <w:tcW w:w="90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rsidR="004C36A5" w:rsidRDefault="004C36A5" w:rsidP="004C36A5">
            <w:pPr>
              <w:jc w:val="right"/>
              <w:rPr>
                <w:rFonts w:ascii="Calibri" w:eastAsia="PMingLiU" w:hAnsi="Calibri" w:cs="Calibri"/>
                <w:i/>
                <w:iCs/>
                <w:color w:val="000000"/>
                <w:lang w:eastAsia="ja-JP"/>
              </w:rPr>
            </w:pP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4C36A5" w:rsidRDefault="004C36A5" w:rsidP="004C36A5">
            <w:pPr>
              <w:jc w:val="right"/>
              <w:rPr>
                <w:rFonts w:ascii="Calibri" w:eastAsia="PMingLiU" w:hAnsi="Calibri" w:cs="Calibri"/>
                <w:i/>
                <w:iCs/>
                <w:color w:val="000000"/>
                <w:lang w:eastAsia="ja-JP"/>
              </w:rPr>
            </w:pPr>
          </w:p>
        </w:tc>
        <w:tc>
          <w:tcPr>
            <w:tcW w:w="174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AEEF3"/>
            <w:vAlign w:val="bottom"/>
            <w:hideMark/>
          </w:tcPr>
          <w:p w:rsidR="004C36A5" w:rsidRPr="004C36A5" w:rsidRDefault="004C36A5" w:rsidP="004C36A5">
            <w:pPr>
              <w:jc w:val="center"/>
              <w:rPr>
                <w:rFonts w:asciiTheme="majorHAnsi" w:eastAsia="PMingLiU" w:hAnsiTheme="majorHAnsi" w:cstheme="majorHAnsi"/>
                <w:b/>
                <w:bCs/>
                <w:color w:val="000000"/>
                <w:sz w:val="20"/>
                <w:szCs w:val="20"/>
                <w:lang w:eastAsia="ja-JP"/>
              </w:rPr>
            </w:pPr>
            <w:r w:rsidRPr="004C36A5">
              <w:rPr>
                <w:rFonts w:asciiTheme="majorHAnsi" w:hAnsiTheme="majorHAnsi" w:cstheme="majorHAnsi"/>
                <w:b/>
                <w:bCs/>
                <w:color w:val="000000"/>
                <w:sz w:val="20"/>
                <w:szCs w:val="20"/>
                <w:lang w:eastAsia="ja-JP"/>
              </w:rPr>
              <w:t>Climate Change Only</w:t>
            </w:r>
          </w:p>
        </w:tc>
        <w:tc>
          <w:tcPr>
            <w:tcW w:w="1977" w:type="dxa"/>
            <w:gridSpan w:val="2"/>
            <w:tcBorders>
              <w:top w:val="single" w:sz="8" w:space="0" w:color="000000" w:themeColor="text1"/>
              <w:left w:val="single" w:sz="8" w:space="0" w:color="000000" w:themeColor="text1"/>
              <w:bottom w:val="single" w:sz="8" w:space="0" w:color="000000" w:themeColor="text1"/>
            </w:tcBorders>
            <w:shd w:val="clear" w:color="auto" w:fill="DAEEF3"/>
            <w:vAlign w:val="bottom"/>
            <w:hideMark/>
          </w:tcPr>
          <w:p w:rsidR="004C36A5" w:rsidRPr="004C36A5" w:rsidRDefault="004C36A5" w:rsidP="004C36A5">
            <w:pPr>
              <w:jc w:val="center"/>
              <w:rPr>
                <w:rFonts w:asciiTheme="majorHAnsi" w:eastAsia="PMingLiU" w:hAnsiTheme="majorHAnsi" w:cstheme="majorHAnsi"/>
                <w:b/>
                <w:bCs/>
                <w:color w:val="000000"/>
                <w:sz w:val="20"/>
                <w:szCs w:val="20"/>
                <w:lang w:eastAsia="ja-JP"/>
              </w:rPr>
            </w:pPr>
            <w:r w:rsidRPr="004C36A5">
              <w:rPr>
                <w:rFonts w:asciiTheme="majorHAnsi" w:hAnsiTheme="majorHAnsi" w:cstheme="majorHAnsi"/>
                <w:b/>
                <w:bCs/>
                <w:color w:val="000000"/>
                <w:sz w:val="20"/>
                <w:szCs w:val="20"/>
                <w:lang w:eastAsia="ja-JP"/>
              </w:rPr>
              <w:t>Climate Change + Switchgrass</w:t>
            </w:r>
          </w:p>
        </w:tc>
      </w:tr>
      <w:tr w:rsidR="00D373A2" w:rsidTr="000844CF">
        <w:trPr>
          <w:jc w:val="center"/>
        </w:trPr>
        <w:tc>
          <w:tcPr>
            <w:tcW w:w="2086" w:type="dxa"/>
            <w:tcBorders>
              <w:top w:val="single" w:sz="8" w:space="0" w:color="000000" w:themeColor="text1"/>
              <w:bottom w:val="single" w:sz="4" w:space="0" w:color="000000" w:themeColor="text1"/>
              <w:right w:val="single" w:sz="8" w:space="0" w:color="000000" w:themeColor="text1"/>
            </w:tcBorders>
            <w:hideMark/>
          </w:tcPr>
          <w:p w:rsidR="00D373A2" w:rsidRDefault="00D373A2" w:rsidP="004C36A5">
            <w:pPr>
              <w:rPr>
                <w:rFonts w:ascii="Arial Unicode MS" w:eastAsia="Arial Unicode MS" w:hAnsi="Arial Unicode MS" w:cs="Arial Unicode MS"/>
                <w:b/>
                <w:bCs/>
                <w:color w:val="000000"/>
                <w:sz w:val="22"/>
                <w:szCs w:val="22"/>
                <w:shd w:val="clear" w:color="auto" w:fill="FFFFFF"/>
                <w:lang w:eastAsia="ja-JP"/>
              </w:rPr>
            </w:pPr>
            <w:r>
              <w:rPr>
                <w:rFonts w:ascii="Arial Unicode MS" w:eastAsia="Arial Unicode MS" w:hAnsi="Arial Unicode MS" w:cs="Arial Unicode MS" w:hint="eastAsia"/>
                <w:b/>
                <w:bCs/>
                <w:color w:val="000000"/>
                <w:sz w:val="22"/>
                <w:szCs w:val="22"/>
                <w:shd w:val="clear" w:color="auto" w:fill="FFFFFF"/>
                <w:lang w:eastAsia="ja-JP"/>
              </w:rPr>
              <w:t>GCM</w:t>
            </w:r>
          </w:p>
        </w:tc>
        <w:tc>
          <w:tcPr>
            <w:tcW w:w="903" w:type="dxa"/>
            <w:tcBorders>
              <w:top w:val="single" w:sz="8" w:space="0" w:color="000000" w:themeColor="text1"/>
              <w:left w:val="single" w:sz="8" w:space="0" w:color="000000" w:themeColor="text1"/>
              <w:bottom w:val="single" w:sz="4" w:space="0" w:color="000000" w:themeColor="text1"/>
              <w:right w:val="single" w:sz="8" w:space="0" w:color="000000" w:themeColor="text1"/>
            </w:tcBorders>
            <w:vAlign w:val="bottom"/>
            <w:hideMark/>
          </w:tcPr>
          <w:p w:rsidR="00D373A2" w:rsidRPr="000844CF" w:rsidRDefault="00D373A2" w:rsidP="004C36A5">
            <w:pPr>
              <w:jc w:val="right"/>
              <w:rPr>
                <w:rFonts w:ascii="Cambria Math" w:eastAsia="PMingLiU" w:hAnsi="Cambria Math" w:cs="Calibri"/>
                <w:b/>
                <w:bCs/>
                <w:color w:val="000000"/>
                <w:lang w:eastAsia="ja-JP"/>
              </w:rPr>
            </w:pPr>
            <w:r w:rsidRPr="000844CF">
              <w:rPr>
                <w:rFonts w:ascii="Cambria Math" w:hAnsi="Cambria Math"/>
                <w:b/>
                <w:sz w:val="22"/>
                <w:szCs w:val="22"/>
              </w:rPr>
              <w:t>%ΔP</w:t>
            </w:r>
          </w:p>
        </w:tc>
        <w:tc>
          <w:tcPr>
            <w:tcW w:w="807" w:type="dxa"/>
            <w:tcBorders>
              <w:top w:val="single" w:sz="8" w:space="0" w:color="000000" w:themeColor="text1"/>
              <w:left w:val="single" w:sz="8" w:space="0" w:color="000000" w:themeColor="text1"/>
              <w:bottom w:val="single" w:sz="4" w:space="0" w:color="000000" w:themeColor="text1"/>
              <w:right w:val="single" w:sz="8" w:space="0" w:color="000000" w:themeColor="text1"/>
            </w:tcBorders>
            <w:hideMark/>
          </w:tcPr>
          <w:p w:rsidR="00D373A2" w:rsidRPr="000844CF" w:rsidRDefault="00D373A2" w:rsidP="004C36A5">
            <w:pPr>
              <w:jc w:val="right"/>
              <w:rPr>
                <w:rFonts w:ascii="Cambria Math" w:eastAsia="PMingLiU" w:hAnsi="Cambria Math" w:cs="Times New Roman"/>
                <w:b/>
                <w:bCs/>
                <w:color w:val="000000"/>
                <w:sz w:val="22"/>
                <w:szCs w:val="22"/>
                <w:lang w:eastAsia="ja-JP"/>
              </w:rPr>
            </w:pPr>
            <w:r w:rsidRPr="000844CF">
              <w:rPr>
                <w:rFonts w:ascii="Cambria Math" w:hAnsi="Cambria Math"/>
                <w:b/>
                <w:sz w:val="22"/>
                <w:szCs w:val="22"/>
              </w:rPr>
              <w:t>ΔT</w:t>
            </w:r>
            <w:r w:rsidRPr="000844CF">
              <w:rPr>
                <w:rFonts w:ascii="Cambria Math" w:hAnsi="Cambria Math" w:cs="Cambria Math"/>
                <w:b/>
                <w:bCs/>
                <w:color w:val="000000"/>
                <w:sz w:val="22"/>
                <w:szCs w:val="22"/>
                <w:lang w:eastAsia="ja-JP"/>
              </w:rPr>
              <w:t xml:space="preserve"> (</w:t>
            </w:r>
            <w:r w:rsidRPr="000844CF">
              <w:rPr>
                <w:rFonts w:ascii="Cambria Math" w:hAnsi="Cambria Math" w:cs="Cambria Math"/>
                <w:b/>
                <w:bCs/>
                <w:color w:val="000000"/>
                <w:sz w:val="22"/>
                <w:szCs w:val="22"/>
                <w:vertAlign w:val="superscript"/>
                <w:lang w:eastAsia="ja-JP"/>
              </w:rPr>
              <w:t>O</w:t>
            </w:r>
            <w:r w:rsidRPr="000844CF">
              <w:rPr>
                <w:rFonts w:ascii="Cambria Math" w:hAnsi="Cambria Math" w:cs="Cambria Math"/>
                <w:b/>
                <w:bCs/>
                <w:color w:val="000000"/>
                <w:sz w:val="22"/>
                <w:szCs w:val="22"/>
                <w:lang w:eastAsia="ja-JP"/>
              </w:rPr>
              <w:t>C)</w:t>
            </w:r>
          </w:p>
        </w:tc>
        <w:tc>
          <w:tcPr>
            <w:tcW w:w="871" w:type="dxa"/>
            <w:tcBorders>
              <w:top w:val="single" w:sz="8" w:space="0" w:color="000000" w:themeColor="text1"/>
              <w:left w:val="single" w:sz="8" w:space="0" w:color="000000" w:themeColor="text1"/>
              <w:bottom w:val="single" w:sz="4" w:space="0" w:color="000000" w:themeColor="text1"/>
            </w:tcBorders>
            <w:vAlign w:val="bottom"/>
            <w:hideMark/>
          </w:tcPr>
          <w:p w:rsidR="00D373A2" w:rsidRPr="004C36A5" w:rsidRDefault="00D373A2" w:rsidP="00D373A2">
            <w:pPr>
              <w:jc w:val="right"/>
              <w:rPr>
                <w:rFonts w:ascii="Calibri" w:hAnsi="Calibri" w:cs="Calibri"/>
                <w:b/>
                <w:bCs/>
                <w:color w:val="000000"/>
                <w:sz w:val="20"/>
                <w:szCs w:val="20"/>
                <w:lang w:eastAsia="ja-JP"/>
              </w:rPr>
            </w:pPr>
            <w:r w:rsidRPr="004C36A5">
              <w:rPr>
                <w:rFonts w:ascii="Cambria Math" w:hAnsi="Cambria Math"/>
                <w:b/>
                <w:color w:val="000000"/>
                <w:sz w:val="22"/>
                <w:szCs w:val="22"/>
              </w:rPr>
              <w:t>%Δr</w:t>
            </w:r>
            <w:r w:rsidRPr="004C36A5">
              <w:rPr>
                <w:rFonts w:ascii="Cambria Math" w:hAnsi="Cambria Math"/>
                <w:b/>
                <w:color w:val="000000"/>
                <w:sz w:val="22"/>
                <w:szCs w:val="22"/>
                <w:vertAlign w:val="subscript"/>
              </w:rPr>
              <w:t>s</w:t>
            </w:r>
          </w:p>
        </w:tc>
        <w:tc>
          <w:tcPr>
            <w:tcW w:w="871" w:type="dxa"/>
            <w:tcBorders>
              <w:top w:val="single" w:sz="8" w:space="0" w:color="000000" w:themeColor="text1"/>
              <w:bottom w:val="single" w:sz="4" w:space="0" w:color="000000" w:themeColor="text1"/>
              <w:right w:val="single" w:sz="8" w:space="0" w:color="000000" w:themeColor="text1"/>
            </w:tcBorders>
            <w:vAlign w:val="bottom"/>
            <w:hideMark/>
          </w:tcPr>
          <w:p w:rsidR="00D373A2" w:rsidRPr="004C36A5" w:rsidRDefault="00D373A2" w:rsidP="00D373A2">
            <w:pPr>
              <w:jc w:val="right"/>
              <w:rPr>
                <w:rFonts w:ascii="Calibri" w:hAnsi="Calibri" w:cs="Calibri"/>
                <w:b/>
                <w:bCs/>
                <w:color w:val="000000"/>
                <w:sz w:val="20"/>
                <w:szCs w:val="20"/>
                <w:lang w:eastAsia="ja-JP"/>
              </w:rPr>
            </w:pPr>
            <w:r w:rsidRPr="004C36A5">
              <w:rPr>
                <w:rFonts w:ascii="Cambria Math" w:hAnsi="Cambria Math"/>
                <w:b/>
                <w:sz w:val="22"/>
                <w:szCs w:val="22"/>
              </w:rPr>
              <w:t>%ΔeT</w:t>
            </w:r>
          </w:p>
        </w:tc>
        <w:tc>
          <w:tcPr>
            <w:tcW w:w="1151" w:type="dxa"/>
            <w:tcBorders>
              <w:top w:val="single" w:sz="8" w:space="0" w:color="000000" w:themeColor="text1"/>
              <w:left w:val="single" w:sz="8" w:space="0" w:color="000000" w:themeColor="text1"/>
              <w:bottom w:val="single" w:sz="4" w:space="0" w:color="000000" w:themeColor="text1"/>
            </w:tcBorders>
            <w:vAlign w:val="bottom"/>
            <w:hideMark/>
          </w:tcPr>
          <w:p w:rsidR="00D373A2" w:rsidRPr="004C36A5" w:rsidRDefault="00D373A2" w:rsidP="00D373A2">
            <w:pPr>
              <w:jc w:val="right"/>
              <w:rPr>
                <w:rFonts w:ascii="Calibri" w:hAnsi="Calibri" w:cs="Calibri"/>
                <w:b/>
                <w:bCs/>
                <w:color w:val="000000"/>
                <w:sz w:val="20"/>
                <w:szCs w:val="20"/>
                <w:lang w:eastAsia="ja-JP"/>
              </w:rPr>
            </w:pPr>
            <w:r w:rsidRPr="004C36A5">
              <w:rPr>
                <w:rFonts w:ascii="Cambria Math" w:hAnsi="Cambria Math"/>
                <w:b/>
                <w:color w:val="000000"/>
                <w:sz w:val="22"/>
                <w:szCs w:val="22"/>
              </w:rPr>
              <w:t>%Δr</w:t>
            </w:r>
            <w:r w:rsidRPr="004C36A5">
              <w:rPr>
                <w:rFonts w:ascii="Cambria Math" w:hAnsi="Cambria Math"/>
                <w:b/>
                <w:color w:val="000000"/>
                <w:sz w:val="22"/>
                <w:szCs w:val="22"/>
                <w:vertAlign w:val="subscript"/>
              </w:rPr>
              <w:t>s</w:t>
            </w:r>
          </w:p>
        </w:tc>
        <w:tc>
          <w:tcPr>
            <w:tcW w:w="826" w:type="dxa"/>
            <w:tcBorders>
              <w:top w:val="single" w:sz="8" w:space="0" w:color="000000" w:themeColor="text1"/>
              <w:bottom w:val="single" w:sz="4" w:space="0" w:color="000000" w:themeColor="text1"/>
            </w:tcBorders>
            <w:vAlign w:val="bottom"/>
            <w:hideMark/>
          </w:tcPr>
          <w:p w:rsidR="00D373A2" w:rsidRPr="004C36A5" w:rsidRDefault="00D373A2" w:rsidP="00D373A2">
            <w:pPr>
              <w:jc w:val="right"/>
              <w:rPr>
                <w:rFonts w:ascii="Calibri" w:hAnsi="Calibri" w:cs="Calibri"/>
                <w:b/>
                <w:bCs/>
                <w:color w:val="000000"/>
                <w:sz w:val="20"/>
                <w:szCs w:val="20"/>
                <w:lang w:eastAsia="ja-JP"/>
              </w:rPr>
            </w:pPr>
            <w:r w:rsidRPr="004C36A5">
              <w:rPr>
                <w:rFonts w:ascii="Cambria Math" w:hAnsi="Cambria Math"/>
                <w:b/>
                <w:sz w:val="22"/>
                <w:szCs w:val="22"/>
              </w:rPr>
              <w:t>%ΔeT</w:t>
            </w:r>
          </w:p>
        </w:tc>
      </w:tr>
      <w:tr w:rsidR="004C36A5" w:rsidTr="000844CF">
        <w:trPr>
          <w:jc w:val="center"/>
        </w:trPr>
        <w:tc>
          <w:tcPr>
            <w:tcW w:w="2086" w:type="dxa"/>
            <w:tcBorders>
              <w:top w:val="single" w:sz="4" w:space="0" w:color="000000" w:themeColor="text1"/>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rPr>
            </w:pPr>
            <w:r w:rsidRPr="004C36A5">
              <w:rPr>
                <w:rFonts w:ascii="Arial Unicode MS" w:eastAsia="Arial Unicode MS" w:hAnsi="Arial Unicode MS" w:cs="Arial Unicode MS" w:hint="eastAsia"/>
                <w:color w:val="000000"/>
                <w:sz w:val="20"/>
                <w:szCs w:val="20"/>
                <w:lang w:eastAsia="ja-JP"/>
              </w:rPr>
              <w:t>UKMO-HADCM3</w:t>
            </w:r>
          </w:p>
        </w:tc>
        <w:tc>
          <w:tcPr>
            <w:tcW w:w="903" w:type="dxa"/>
            <w:tcBorders>
              <w:top w:val="single" w:sz="4" w:space="0" w:color="000000" w:themeColor="text1"/>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-23.68*</w:t>
            </w:r>
          </w:p>
        </w:tc>
        <w:tc>
          <w:tcPr>
            <w:tcW w:w="807" w:type="dxa"/>
            <w:tcBorders>
              <w:top w:val="single" w:sz="4" w:space="0" w:color="000000" w:themeColor="text1"/>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2.22</w:t>
            </w:r>
          </w:p>
        </w:tc>
        <w:tc>
          <w:tcPr>
            <w:tcW w:w="871" w:type="dxa"/>
            <w:tcBorders>
              <w:top w:val="single" w:sz="4" w:space="0" w:color="000000" w:themeColor="text1"/>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-56.12</w:t>
            </w:r>
          </w:p>
        </w:tc>
        <w:tc>
          <w:tcPr>
            <w:tcW w:w="871" w:type="dxa"/>
            <w:tcBorders>
              <w:top w:val="single" w:sz="4"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0.16</w:t>
            </w:r>
          </w:p>
        </w:tc>
        <w:tc>
          <w:tcPr>
            <w:tcW w:w="1151" w:type="dxa"/>
            <w:tcBorders>
              <w:top w:val="single" w:sz="4" w:space="0" w:color="000000" w:themeColor="text1"/>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-68.96</w:t>
            </w:r>
          </w:p>
        </w:tc>
        <w:tc>
          <w:tcPr>
            <w:tcW w:w="826" w:type="dxa"/>
            <w:tcBorders>
              <w:top w:val="single" w:sz="4"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-15.58</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eastAsia="PMingLiU" w:cs="Times New Roman"/>
                <w:sz w:val="20"/>
                <w:szCs w:val="20"/>
                <w:lang w:eastAsia="ja-JP"/>
              </w:rPr>
            </w:pPr>
            <w:r w:rsidRPr="004C36A5">
              <w:rPr>
                <w:rFonts w:ascii="Arial Unicode MS" w:eastAsia="Arial Unicode MS" w:hAnsi="Arial Unicode MS" w:cs="Arial Unicode MS" w:hint="eastAsia"/>
                <w:color w:val="000000"/>
                <w:sz w:val="20"/>
                <w:szCs w:val="20"/>
                <w:lang w:eastAsia="ja-JP"/>
              </w:rPr>
              <w:t>GISS_MODEL_E_R</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-14.18</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1.47</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-57.91</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-6.34</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-73.73</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-20.85</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MIUB_ECHOG</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-10.2</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1.75</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-32.84</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-13.89</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-47.16</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-26.19</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CGCM3.1 (T47)</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-8.59*</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0.93</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-47.16</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-2.62</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-42.09</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-20.07</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PCM</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-6.35</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0.82</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0.9</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0.77</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-49.25</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-12.82</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BCCR_BCM_2.0</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-6.3</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1.37</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-32.54</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-1.01</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-43.88</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-15.99</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GFDL_CM_2_0</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-2.6</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1.15</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-47.76</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-17.59</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-71.34</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-18.13</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CNRM_CM3</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1.23</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0.75</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-14.03</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-8.92</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-48.96</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-22.61</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MIROC3.2 (MEDRES)</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2.66</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1.32</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-13.73</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-10.02</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-54.63</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-10.85</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CCSM3</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4.46</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1.06</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6.27</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-12.99</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-44.78</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-14.85</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CSIRO_MK3_0</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6.39*</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0.84</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-15.52</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-8.98</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-54.03</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-23.75</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GFDL_CM2_1</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9.23*</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-0.3</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-9.25</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-6.11</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-37.31</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-21.62</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B6696C" w:rsidP="00B6696C">
            <w:pPr>
              <w:spacing w:after="0"/>
              <w:rPr>
                <w:rFonts w:ascii="Arial Unicode MS" w:eastAsia="Arial Unicode MS" w:hAnsi="Arial Unicode MS" w:cs="Times New Roman"/>
                <w:color w:val="000000"/>
                <w:sz w:val="20"/>
                <w:szCs w:val="20"/>
                <w:shd w:val="clear" w:color="auto" w:fill="FFFFFF"/>
                <w:lang w:eastAsia="ja-JP"/>
              </w:rPr>
            </w:pPr>
            <w:r>
              <w:rPr>
                <w:rFonts w:ascii="Arial Unicode MS" w:eastAsia="Arial Unicode MS" w:hAnsi="Arial Unicode MS" w:cs="Arial Unicode MS" w:hint="eastAsia"/>
                <w:color w:val="000000"/>
                <w:sz w:val="20"/>
                <w:szCs w:val="20"/>
                <w:lang w:eastAsia="ja-JP"/>
              </w:rPr>
              <w:t>MRI-CGCM2</w:t>
            </w:r>
            <w:r>
              <w:rPr>
                <w:rFonts w:ascii="Arial Unicode MS" w:eastAsia="Arial Unicode MS" w:hAnsi="Arial Unicode MS" w:cs="Arial Unicode MS"/>
                <w:color w:val="000000"/>
                <w:sz w:val="20"/>
                <w:szCs w:val="20"/>
                <w:lang w:eastAsia="ja-JP"/>
              </w:rPr>
              <w:t>.3.2</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9.93</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0.61</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42.39</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-4.11</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-15.52</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-21.38</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INMCM3_0</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21.96*</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1.89</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10.15</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-8.21</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-42.09</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-18.23</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IPSL_CM4</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28.3*</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0.99</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97.61</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-0.18</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37.91</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-11.33</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Times New Roman"/>
                <w:color w:val="000000"/>
                <w:sz w:val="20"/>
                <w:szCs w:val="20"/>
                <w:shd w:val="clear" w:color="auto" w:fill="FFFFFF"/>
                <w:lang w:eastAsia="ja-JP"/>
              </w:rPr>
            </w:pPr>
            <w:r w:rsidRPr="004C36A5">
              <w:rPr>
                <w:rFonts w:ascii="Arial Unicode MS" w:eastAsia="Arial Unicode MS" w:hAnsi="Arial Unicode MS" w:cs="Arial Unicode MS" w:hint="eastAsia"/>
                <w:color w:val="000000"/>
                <w:sz w:val="20"/>
                <w:szCs w:val="20"/>
                <w:lang w:eastAsia="ja-JP"/>
              </w:rPr>
              <w:t>ECHAM5/MPI-OM</w:t>
            </w:r>
          </w:p>
        </w:tc>
        <w:tc>
          <w:tcPr>
            <w:tcW w:w="903" w:type="dxa"/>
            <w:tcBorders>
              <w:left w:val="single" w:sz="8" w:space="0" w:color="000000" w:themeColor="text1"/>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30.78*</w:t>
            </w:r>
          </w:p>
        </w:tc>
        <w:tc>
          <w:tcPr>
            <w:tcW w:w="807" w:type="dxa"/>
            <w:tcBorders>
              <w:top w:val="nil"/>
              <w:left w:val="single" w:sz="8" w:space="0" w:color="000000" w:themeColor="text1"/>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-0.42</w:t>
            </w:r>
          </w:p>
        </w:tc>
        <w:tc>
          <w:tcPr>
            <w:tcW w:w="871" w:type="dxa"/>
            <w:tcBorders>
              <w:top w:val="nil"/>
              <w:left w:val="single" w:sz="8" w:space="0" w:color="000000" w:themeColor="text1"/>
              <w:bottom w:val="nil"/>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188.36</w:t>
            </w:r>
          </w:p>
        </w:tc>
        <w:tc>
          <w:tcPr>
            <w:tcW w:w="871" w:type="dxa"/>
            <w:tcBorders>
              <w:top w:val="nil"/>
              <w:bottom w:val="nil"/>
              <w:righ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5.42</w:t>
            </w:r>
          </w:p>
        </w:tc>
        <w:tc>
          <w:tcPr>
            <w:tcW w:w="1151" w:type="dxa"/>
            <w:tcBorders>
              <w:left w:val="single" w:sz="8" w:space="0" w:color="000000" w:themeColor="text1"/>
            </w:tcBorders>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156.42</w:t>
            </w:r>
          </w:p>
        </w:tc>
        <w:tc>
          <w:tcPr>
            <w:tcW w:w="826" w:type="dxa"/>
            <w:vAlign w:val="center"/>
            <w:hideMark/>
          </w:tcPr>
          <w:p w:rsidR="004C36A5" w:rsidRPr="004C36A5" w:rsidRDefault="004C36A5" w:rsidP="00D373A2">
            <w:pPr>
              <w:spacing w:after="0"/>
              <w:jc w:val="right"/>
              <w:rPr>
                <w:rFonts w:ascii="Calibri" w:eastAsia="PMingLiU" w:hAnsi="Calibri" w:cs="Calibri"/>
                <w:color w:val="000000"/>
                <w:sz w:val="20"/>
                <w:szCs w:val="20"/>
                <w:lang w:eastAsia="ja-JP"/>
              </w:rPr>
            </w:pPr>
            <w:r w:rsidRPr="004C36A5">
              <w:rPr>
                <w:rFonts w:ascii="Calibri" w:hAnsi="Calibri" w:cs="Calibri"/>
                <w:color w:val="000000"/>
                <w:sz w:val="20"/>
                <w:szCs w:val="20"/>
                <w:lang w:eastAsia="ja-JP"/>
              </w:rPr>
              <w:t>-17.45</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Arial Unicode MS"/>
                <w:b/>
                <w:bCs/>
                <w:color w:val="000000"/>
                <w:sz w:val="20"/>
                <w:szCs w:val="20"/>
                <w:lang w:eastAsia="ja-JP"/>
              </w:rPr>
            </w:pPr>
            <w:r w:rsidRPr="004C36A5">
              <w:rPr>
                <w:rFonts w:ascii="Arial Unicode MS" w:eastAsia="Arial Unicode MS" w:hAnsi="Arial Unicode MS" w:cs="Arial Unicode MS" w:hint="eastAsia"/>
                <w:b/>
                <w:bCs/>
                <w:color w:val="000000"/>
                <w:sz w:val="20"/>
                <w:szCs w:val="20"/>
                <w:lang w:eastAsia="ja-JP"/>
              </w:rPr>
              <w:t>Minimum</w:t>
            </w:r>
          </w:p>
        </w:tc>
        <w:tc>
          <w:tcPr>
            <w:tcW w:w="903" w:type="dxa"/>
            <w:tcBorders>
              <w:left w:val="single" w:sz="8" w:space="0" w:color="000000" w:themeColor="text1"/>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-23.68</w:t>
            </w:r>
          </w:p>
        </w:tc>
        <w:tc>
          <w:tcPr>
            <w:tcW w:w="807" w:type="dxa"/>
            <w:tcBorders>
              <w:top w:val="nil"/>
              <w:left w:val="single" w:sz="8" w:space="0" w:color="000000" w:themeColor="text1"/>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-0.42</w:t>
            </w:r>
          </w:p>
        </w:tc>
        <w:tc>
          <w:tcPr>
            <w:tcW w:w="871" w:type="dxa"/>
            <w:tcBorders>
              <w:top w:val="nil"/>
              <w:left w:val="single" w:sz="8" w:space="0" w:color="000000" w:themeColor="text1"/>
              <w:bottom w:val="nil"/>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-57.91</w:t>
            </w:r>
          </w:p>
        </w:tc>
        <w:tc>
          <w:tcPr>
            <w:tcW w:w="871" w:type="dxa"/>
            <w:tcBorders>
              <w:top w:val="nil"/>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-17.59</w:t>
            </w:r>
          </w:p>
        </w:tc>
        <w:tc>
          <w:tcPr>
            <w:tcW w:w="1151" w:type="dxa"/>
            <w:tcBorders>
              <w:lef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-73.73</w:t>
            </w:r>
          </w:p>
        </w:tc>
        <w:tc>
          <w:tcPr>
            <w:tcW w:w="826" w:type="dxa"/>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-26.19</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Arial Unicode MS"/>
                <w:b/>
                <w:bCs/>
                <w:color w:val="000000"/>
                <w:sz w:val="20"/>
                <w:szCs w:val="20"/>
                <w:lang w:eastAsia="ja-JP"/>
              </w:rPr>
            </w:pPr>
            <w:r w:rsidRPr="004C36A5">
              <w:rPr>
                <w:rFonts w:ascii="Arial Unicode MS" w:eastAsia="Arial Unicode MS" w:hAnsi="Arial Unicode MS" w:cs="Arial Unicode MS" w:hint="eastAsia"/>
                <w:b/>
                <w:bCs/>
                <w:color w:val="000000"/>
                <w:sz w:val="20"/>
                <w:szCs w:val="20"/>
                <w:lang w:eastAsia="ja-JP"/>
              </w:rPr>
              <w:t>1st Quartile</w:t>
            </w:r>
          </w:p>
        </w:tc>
        <w:tc>
          <w:tcPr>
            <w:tcW w:w="903" w:type="dxa"/>
            <w:tcBorders>
              <w:left w:val="single" w:sz="8" w:space="0" w:color="000000" w:themeColor="text1"/>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-6.91</w:t>
            </w:r>
          </w:p>
        </w:tc>
        <w:tc>
          <w:tcPr>
            <w:tcW w:w="807" w:type="dxa"/>
            <w:tcBorders>
              <w:top w:val="nil"/>
              <w:left w:val="single" w:sz="8" w:space="0" w:color="000000" w:themeColor="text1"/>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0.8</w:t>
            </w:r>
          </w:p>
        </w:tc>
        <w:tc>
          <w:tcPr>
            <w:tcW w:w="871" w:type="dxa"/>
            <w:tcBorders>
              <w:top w:val="nil"/>
              <w:left w:val="single" w:sz="8" w:space="0" w:color="000000" w:themeColor="text1"/>
              <w:bottom w:val="nil"/>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-36.42</w:t>
            </w:r>
          </w:p>
        </w:tc>
        <w:tc>
          <w:tcPr>
            <w:tcW w:w="871" w:type="dxa"/>
            <w:tcBorders>
              <w:top w:val="nil"/>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-9.24</w:t>
            </w:r>
          </w:p>
        </w:tc>
        <w:tc>
          <w:tcPr>
            <w:tcW w:w="1151" w:type="dxa"/>
            <w:tcBorders>
              <w:lef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-54.18</w:t>
            </w:r>
          </w:p>
        </w:tc>
        <w:tc>
          <w:tcPr>
            <w:tcW w:w="826" w:type="dxa"/>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-21.44</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Arial Unicode MS"/>
                <w:b/>
                <w:bCs/>
                <w:color w:val="000000"/>
                <w:sz w:val="20"/>
                <w:szCs w:val="20"/>
                <w:lang w:eastAsia="ja-JP"/>
              </w:rPr>
            </w:pPr>
            <w:r w:rsidRPr="004C36A5">
              <w:rPr>
                <w:rFonts w:ascii="Arial Unicode MS" w:eastAsia="Arial Unicode MS" w:hAnsi="Arial Unicode MS" w:cs="Arial Unicode MS" w:hint="eastAsia"/>
                <w:b/>
                <w:bCs/>
                <w:color w:val="000000"/>
                <w:sz w:val="20"/>
                <w:szCs w:val="20"/>
                <w:lang w:eastAsia="ja-JP"/>
              </w:rPr>
              <w:t>Median</w:t>
            </w:r>
          </w:p>
        </w:tc>
        <w:tc>
          <w:tcPr>
            <w:tcW w:w="903" w:type="dxa"/>
            <w:tcBorders>
              <w:left w:val="single" w:sz="8" w:space="0" w:color="000000" w:themeColor="text1"/>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1.95</w:t>
            </w:r>
          </w:p>
        </w:tc>
        <w:tc>
          <w:tcPr>
            <w:tcW w:w="807" w:type="dxa"/>
            <w:tcBorders>
              <w:top w:val="nil"/>
              <w:left w:val="single" w:sz="8" w:space="0" w:color="000000" w:themeColor="text1"/>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1.03</w:t>
            </w:r>
          </w:p>
        </w:tc>
        <w:tc>
          <w:tcPr>
            <w:tcW w:w="871" w:type="dxa"/>
            <w:tcBorders>
              <w:top w:val="nil"/>
              <w:left w:val="single" w:sz="8" w:space="0" w:color="000000" w:themeColor="text1"/>
              <w:bottom w:val="nil"/>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-13.88</w:t>
            </w:r>
          </w:p>
        </w:tc>
        <w:tc>
          <w:tcPr>
            <w:tcW w:w="871" w:type="dxa"/>
            <w:tcBorders>
              <w:top w:val="nil"/>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-6.23</w:t>
            </w:r>
          </w:p>
        </w:tc>
        <w:tc>
          <w:tcPr>
            <w:tcW w:w="1151" w:type="dxa"/>
            <w:tcBorders>
              <w:lef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-45.97</w:t>
            </w:r>
          </w:p>
        </w:tc>
        <w:tc>
          <w:tcPr>
            <w:tcW w:w="826" w:type="dxa"/>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-18.18</w:t>
            </w:r>
          </w:p>
        </w:tc>
      </w:tr>
      <w:tr w:rsidR="004C36A5" w:rsidTr="00B6696C">
        <w:trPr>
          <w:jc w:val="center"/>
        </w:trPr>
        <w:tc>
          <w:tcPr>
            <w:tcW w:w="2086" w:type="dxa"/>
            <w:tcBorders>
              <w:top w:val="nil"/>
              <w:bottom w:val="nil"/>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Arial Unicode MS"/>
                <w:b/>
                <w:bCs/>
                <w:color w:val="000000"/>
                <w:sz w:val="20"/>
                <w:szCs w:val="20"/>
                <w:lang w:eastAsia="ja-JP"/>
              </w:rPr>
            </w:pPr>
            <w:r w:rsidRPr="004C36A5">
              <w:rPr>
                <w:rFonts w:ascii="Arial Unicode MS" w:eastAsia="Arial Unicode MS" w:hAnsi="Arial Unicode MS" w:cs="Arial Unicode MS" w:hint="eastAsia"/>
                <w:b/>
                <w:bCs/>
                <w:color w:val="000000"/>
                <w:sz w:val="20"/>
                <w:szCs w:val="20"/>
                <w:lang w:eastAsia="ja-JP"/>
              </w:rPr>
              <w:t>3rd Quartile</w:t>
            </w:r>
          </w:p>
        </w:tc>
        <w:tc>
          <w:tcPr>
            <w:tcW w:w="903" w:type="dxa"/>
            <w:tcBorders>
              <w:left w:val="single" w:sz="8" w:space="0" w:color="000000" w:themeColor="text1"/>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9.41</w:t>
            </w:r>
          </w:p>
        </w:tc>
        <w:tc>
          <w:tcPr>
            <w:tcW w:w="807" w:type="dxa"/>
            <w:tcBorders>
              <w:top w:val="nil"/>
              <w:left w:val="single" w:sz="8" w:space="0" w:color="000000" w:themeColor="text1"/>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1.4</w:t>
            </w:r>
          </w:p>
        </w:tc>
        <w:tc>
          <w:tcPr>
            <w:tcW w:w="871" w:type="dxa"/>
            <w:tcBorders>
              <w:top w:val="nil"/>
              <w:left w:val="single" w:sz="8" w:space="0" w:color="000000" w:themeColor="text1"/>
              <w:bottom w:val="nil"/>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7.24</w:t>
            </w:r>
          </w:p>
        </w:tc>
        <w:tc>
          <w:tcPr>
            <w:tcW w:w="871" w:type="dxa"/>
            <w:tcBorders>
              <w:top w:val="nil"/>
              <w:bottom w:val="nil"/>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-0.8</w:t>
            </w:r>
          </w:p>
        </w:tc>
        <w:tc>
          <w:tcPr>
            <w:tcW w:w="1151" w:type="dxa"/>
            <w:tcBorders>
              <w:lef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-40.9</w:t>
            </w:r>
          </w:p>
        </w:tc>
        <w:tc>
          <w:tcPr>
            <w:tcW w:w="826" w:type="dxa"/>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-15.4</w:t>
            </w:r>
          </w:p>
        </w:tc>
      </w:tr>
      <w:tr w:rsidR="004C36A5" w:rsidTr="00B6696C">
        <w:trPr>
          <w:jc w:val="center"/>
        </w:trPr>
        <w:tc>
          <w:tcPr>
            <w:tcW w:w="2086" w:type="dxa"/>
            <w:tcBorders>
              <w:top w:val="nil"/>
              <w:bottom w:val="single" w:sz="8" w:space="0" w:color="000000" w:themeColor="text1"/>
              <w:right w:val="single" w:sz="8" w:space="0" w:color="000000" w:themeColor="text1"/>
            </w:tcBorders>
            <w:vAlign w:val="center"/>
            <w:hideMark/>
          </w:tcPr>
          <w:p w:rsidR="004C36A5" w:rsidRPr="004C36A5" w:rsidRDefault="004C36A5" w:rsidP="00D373A2">
            <w:pPr>
              <w:spacing w:after="0"/>
              <w:rPr>
                <w:rFonts w:ascii="Arial Unicode MS" w:eastAsia="Arial Unicode MS" w:hAnsi="Arial Unicode MS" w:cs="Arial Unicode MS"/>
                <w:b/>
                <w:bCs/>
                <w:color w:val="000000"/>
                <w:sz w:val="20"/>
                <w:szCs w:val="20"/>
                <w:lang w:eastAsia="ja-JP"/>
              </w:rPr>
            </w:pPr>
            <w:r w:rsidRPr="004C36A5">
              <w:rPr>
                <w:rFonts w:ascii="Arial Unicode MS" w:eastAsia="Arial Unicode MS" w:hAnsi="Arial Unicode MS" w:cs="Arial Unicode MS" w:hint="eastAsia"/>
                <w:b/>
                <w:bCs/>
                <w:color w:val="000000"/>
                <w:sz w:val="20"/>
                <w:szCs w:val="20"/>
                <w:lang w:eastAsia="ja-JP"/>
              </w:rPr>
              <w:t>Maximum</w:t>
            </w:r>
          </w:p>
        </w:tc>
        <w:tc>
          <w:tcPr>
            <w:tcW w:w="903" w:type="dxa"/>
            <w:tcBorders>
              <w:left w:val="single" w:sz="8" w:space="0" w:color="000000" w:themeColor="text1"/>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30.78</w:t>
            </w:r>
          </w:p>
        </w:tc>
        <w:tc>
          <w:tcPr>
            <w:tcW w:w="807" w:type="dxa"/>
            <w:tcBorders>
              <w:top w:val="nil"/>
              <w:left w:val="single" w:sz="8" w:space="0" w:color="000000" w:themeColor="text1"/>
              <w:bottom w:val="single" w:sz="8" w:space="0" w:color="000000" w:themeColor="text1"/>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2.22</w:t>
            </w:r>
          </w:p>
        </w:tc>
        <w:tc>
          <w:tcPr>
            <w:tcW w:w="871" w:type="dxa"/>
            <w:tcBorders>
              <w:top w:val="nil"/>
              <w:left w:val="single" w:sz="8" w:space="0" w:color="000000" w:themeColor="text1"/>
              <w:bottom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188.36</w:t>
            </w:r>
          </w:p>
        </w:tc>
        <w:tc>
          <w:tcPr>
            <w:tcW w:w="871" w:type="dxa"/>
            <w:tcBorders>
              <w:top w:val="nil"/>
              <w:bottom w:val="single" w:sz="8" w:space="0" w:color="000000" w:themeColor="text1"/>
              <w:righ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5.42</w:t>
            </w:r>
          </w:p>
        </w:tc>
        <w:tc>
          <w:tcPr>
            <w:tcW w:w="1151" w:type="dxa"/>
            <w:tcBorders>
              <w:left w:val="single" w:sz="8" w:space="0" w:color="000000" w:themeColor="text1"/>
            </w:tcBorders>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156.42</w:t>
            </w:r>
          </w:p>
        </w:tc>
        <w:tc>
          <w:tcPr>
            <w:tcW w:w="826" w:type="dxa"/>
            <w:vAlign w:val="bottom"/>
            <w:hideMark/>
          </w:tcPr>
          <w:p w:rsidR="004C36A5" w:rsidRPr="004C36A5" w:rsidRDefault="004C36A5" w:rsidP="00D373A2">
            <w:pPr>
              <w:spacing w:after="0"/>
              <w:jc w:val="right"/>
              <w:rPr>
                <w:rFonts w:ascii="Calibri" w:eastAsia="PMingLiU" w:hAnsi="Calibri" w:cs="Calibri"/>
                <w:b/>
                <w:bCs/>
                <w:color w:val="000000"/>
                <w:sz w:val="20"/>
                <w:szCs w:val="20"/>
                <w:lang w:eastAsia="ja-JP"/>
              </w:rPr>
            </w:pPr>
            <w:r w:rsidRPr="004C36A5">
              <w:rPr>
                <w:rFonts w:ascii="Calibri" w:hAnsi="Calibri" w:cs="Calibri"/>
                <w:b/>
                <w:bCs/>
                <w:color w:val="000000"/>
                <w:sz w:val="20"/>
                <w:szCs w:val="20"/>
                <w:lang w:eastAsia="ja-JP"/>
              </w:rPr>
              <w:t>-10.85</w:t>
            </w:r>
          </w:p>
        </w:tc>
      </w:tr>
    </w:tbl>
    <w:p w:rsidR="00D373A2" w:rsidRDefault="004C36A5" w:rsidP="000D5404">
      <w:pPr>
        <w:spacing w:line="480" w:lineRule="auto"/>
        <w:rPr>
          <w:rFonts w:eastAsia="Times New Roman" w:cs="Times New Roman"/>
          <w:b/>
          <w:bCs/>
          <w:kern w:val="36"/>
          <w:sz w:val="28"/>
          <w:szCs w:val="28"/>
        </w:rPr>
      </w:pPr>
      <w:r w:rsidRPr="00DD6BFA">
        <w:t>*</w:t>
      </w:r>
      <w:r>
        <w:t xml:space="preserve"> </w:t>
      </w:r>
      <w:r w:rsidRPr="00DD6BFA">
        <w:t>Denotes statistically significant change in precipitation (p&lt;0.05).  Only precipitation was tested for statistical significance.</w:t>
      </w:r>
    </w:p>
    <w:p w:rsidR="00D373A2" w:rsidRPr="005D2319" w:rsidRDefault="00D373A2" w:rsidP="000D5404">
      <w:pPr>
        <w:pStyle w:val="Tabletitle"/>
        <w:jc w:val="center"/>
      </w:pPr>
      <w:bookmarkStart w:id="238" w:name="_Toc364503719"/>
      <w:bookmarkStart w:id="239" w:name="_Toc367550613"/>
      <w:r w:rsidRPr="005D2319">
        <w:lastRenderedPageBreak/>
        <w:t>Table A.2: Summary of Hydrologic Parameters, by GCM, for the spring season</w:t>
      </w:r>
      <w:bookmarkEnd w:id="238"/>
      <w:bookmarkEnd w:id="239"/>
    </w:p>
    <w:tbl>
      <w:tblPr>
        <w:tblW w:w="7515"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tblBorders>
        <w:tblLayout w:type="fixed"/>
        <w:tblLook w:val="0020" w:firstRow="1" w:lastRow="0" w:firstColumn="0" w:lastColumn="0" w:noHBand="0" w:noVBand="0"/>
      </w:tblPr>
      <w:tblGrid>
        <w:gridCol w:w="2086"/>
        <w:gridCol w:w="903"/>
        <w:gridCol w:w="807"/>
        <w:gridCol w:w="871"/>
        <w:gridCol w:w="871"/>
        <w:gridCol w:w="1151"/>
        <w:gridCol w:w="826"/>
      </w:tblGrid>
      <w:tr w:rsidR="000844CF" w:rsidRPr="00D373A2" w:rsidTr="00B6696C">
        <w:trPr>
          <w:jc w:val="center"/>
        </w:trPr>
        <w:tc>
          <w:tcPr>
            <w:tcW w:w="2086" w:type="dxa"/>
            <w:tcBorders>
              <w:top w:val="single" w:sz="8" w:space="0" w:color="000000" w:themeColor="text1"/>
              <w:bottom w:val="single" w:sz="8" w:space="0" w:color="000000" w:themeColor="text1"/>
              <w:right w:val="single" w:sz="8" w:space="0" w:color="000000" w:themeColor="text1"/>
            </w:tcBorders>
          </w:tcPr>
          <w:p w:rsidR="000844CF" w:rsidRPr="00D373A2" w:rsidRDefault="000844CF" w:rsidP="00D373A2">
            <w:pPr>
              <w:rPr>
                <w:rFonts w:ascii="Arial Unicode MS" w:eastAsia="Arial Unicode MS" w:hAnsi="Arial Unicode MS" w:cs="Times New Roman"/>
                <w:b/>
                <w:bCs/>
                <w:color w:val="000000"/>
                <w:sz w:val="20"/>
                <w:szCs w:val="20"/>
                <w:shd w:val="clear" w:color="auto" w:fill="FFFFFF"/>
                <w:lang w:eastAsia="ja-JP"/>
              </w:rPr>
            </w:pPr>
          </w:p>
        </w:tc>
        <w:tc>
          <w:tcPr>
            <w:tcW w:w="90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hideMark/>
          </w:tcPr>
          <w:p w:rsidR="000844CF" w:rsidRDefault="000844CF" w:rsidP="000844CF">
            <w:pPr>
              <w:jc w:val="right"/>
              <w:rPr>
                <w:rFonts w:eastAsia="PMingLiU" w:cs="Times New Roman"/>
                <w:b/>
                <w:bCs/>
                <w:color w:val="FFFFFF"/>
                <w:lang w:eastAsia="ja-JP"/>
              </w:rPr>
            </w:pPr>
            <w:r w:rsidRPr="000844CF">
              <w:rPr>
                <w:rFonts w:ascii="Cambria Math" w:hAnsi="Cambria Math"/>
                <w:b/>
                <w:sz w:val="22"/>
                <w:szCs w:val="22"/>
              </w:rPr>
              <w:t>P</w:t>
            </w:r>
          </w:p>
        </w:tc>
        <w:tc>
          <w:tcPr>
            <w:tcW w:w="807" w:type="dxa"/>
            <w:tcBorders>
              <w:top w:val="single" w:sz="8" w:space="0" w:color="000000" w:themeColor="text1"/>
              <w:left w:val="single" w:sz="8" w:space="0" w:color="000000" w:themeColor="text1"/>
              <w:bottom w:val="single" w:sz="8" w:space="0" w:color="000000" w:themeColor="text1"/>
            </w:tcBorders>
            <w:hideMark/>
          </w:tcPr>
          <w:p w:rsidR="000844CF" w:rsidRDefault="000844CF" w:rsidP="000844CF">
            <w:pPr>
              <w:jc w:val="right"/>
              <w:rPr>
                <w:rFonts w:eastAsia="PMingLiU" w:cs="Times New Roman"/>
                <w:b/>
                <w:bCs/>
                <w:color w:val="000000"/>
                <w:lang w:eastAsia="ja-JP"/>
              </w:rPr>
            </w:pPr>
            <w:r w:rsidRPr="000844CF">
              <w:rPr>
                <w:rFonts w:ascii="Cambria Math" w:hAnsi="Cambria Math" w:cs="Cambria Math"/>
                <w:b/>
                <w:bCs/>
                <w:color w:val="000000"/>
                <w:sz w:val="22"/>
                <w:szCs w:val="22"/>
              </w:rPr>
              <w:fldChar w:fldCharType="begin"/>
            </w:r>
            <w:r w:rsidRPr="000844CF">
              <w:rPr>
                <w:rFonts w:ascii="Cambria Math" w:hAnsi="Cambria Math" w:cs="Cambria Math"/>
                <w:b/>
                <w:bCs/>
                <w:color w:val="000000"/>
                <w:sz w:val="22"/>
                <w:szCs w:val="22"/>
              </w:rPr>
              <w:instrText xml:space="preserve"> QUOTE </w:instrText>
            </w:r>
            <w:r w:rsidRPr="000844CF">
              <w:rPr>
                <w:noProof/>
                <w:sz w:val="22"/>
                <w:szCs w:val="22"/>
              </w:rPr>
              <w:drawing>
                <wp:inline distT="0" distB="0" distL="0" distR="0" wp14:anchorId="225DBADD" wp14:editId="00D671DB">
                  <wp:extent cx="152400" cy="180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844CF">
              <w:rPr>
                <w:rFonts w:ascii="Cambria Math" w:hAnsi="Cambria Math" w:cs="Cambria Math"/>
                <w:b/>
                <w:bCs/>
                <w:color w:val="000000"/>
                <w:sz w:val="22"/>
                <w:szCs w:val="22"/>
              </w:rPr>
              <w:instrText xml:space="preserve"> </w:instrText>
            </w:r>
            <w:r w:rsidRPr="000844CF">
              <w:rPr>
                <w:rFonts w:ascii="Cambria Math" w:hAnsi="Cambria Math" w:cs="Cambria Math"/>
                <w:b/>
                <w:bCs/>
                <w:color w:val="000000"/>
                <w:sz w:val="22"/>
                <w:szCs w:val="22"/>
              </w:rPr>
              <w:fldChar w:fldCharType="separate"/>
            </w:r>
            <w:r w:rsidRPr="000844CF">
              <w:rPr>
                <w:noProof/>
                <w:sz w:val="22"/>
                <w:szCs w:val="22"/>
              </w:rPr>
              <w:drawing>
                <wp:inline distT="0" distB="0" distL="0" distR="0" wp14:anchorId="3DDA8034" wp14:editId="027513BA">
                  <wp:extent cx="152400" cy="180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844CF">
              <w:rPr>
                <w:rFonts w:ascii="Cambria Math" w:hAnsi="Cambria Math" w:cs="Cambria Math"/>
                <w:b/>
                <w:bCs/>
                <w:color w:val="000000"/>
                <w:sz w:val="22"/>
                <w:szCs w:val="22"/>
              </w:rPr>
              <w:fldChar w:fldCharType="end"/>
            </w:r>
            <w:r>
              <w:rPr>
                <w:rFonts w:ascii="Cambria Math" w:hAnsi="Cambria Math" w:cs="Cambria Math"/>
                <w:color w:val="000000"/>
                <w:lang w:eastAsia="ja-JP"/>
              </w:rPr>
              <w:t xml:space="preserve"> </w:t>
            </w:r>
            <w:r w:rsidRPr="000844CF">
              <w:rPr>
                <w:rFonts w:ascii="Cambria Math" w:hAnsi="Cambria Math" w:cs="Cambria Math"/>
                <w:color w:val="000000"/>
                <w:sz w:val="22"/>
                <w:szCs w:val="22"/>
                <w:lang w:eastAsia="ja-JP"/>
              </w:rPr>
              <w:t>(</w:t>
            </w:r>
            <w:r w:rsidRPr="000844CF">
              <w:rPr>
                <w:rFonts w:ascii="Cambria Math" w:hAnsi="Cambria Math" w:cs="Cambria Math"/>
                <w:color w:val="000000"/>
                <w:sz w:val="22"/>
                <w:szCs w:val="22"/>
                <w:vertAlign w:val="superscript"/>
                <w:lang w:eastAsia="ja-JP"/>
              </w:rPr>
              <w:t>O</w:t>
            </w:r>
            <w:r w:rsidRPr="000844CF">
              <w:rPr>
                <w:rFonts w:ascii="Cambria Math" w:hAnsi="Cambria Math" w:cs="Cambria Math"/>
                <w:color w:val="000000"/>
                <w:sz w:val="22"/>
                <w:szCs w:val="22"/>
                <w:lang w:eastAsia="ja-JP"/>
              </w:rPr>
              <w:t>C)</w:t>
            </w:r>
          </w:p>
        </w:tc>
        <w:tc>
          <w:tcPr>
            <w:tcW w:w="871" w:type="dxa"/>
            <w:tcBorders>
              <w:top w:val="single" w:sz="8" w:space="0" w:color="000000" w:themeColor="text1"/>
              <w:bottom w:val="single" w:sz="8" w:space="0" w:color="000000" w:themeColor="text1"/>
            </w:tcBorders>
            <w:vAlign w:val="bottom"/>
            <w:hideMark/>
          </w:tcPr>
          <w:p w:rsidR="000844CF" w:rsidRDefault="000844CF" w:rsidP="000844CF">
            <w:pPr>
              <w:jc w:val="right"/>
              <w:rPr>
                <w:rFonts w:ascii="Calibri" w:eastAsia="PMingLiU" w:hAnsi="Calibri" w:cs="Calibri"/>
                <w:b/>
                <w:bCs/>
                <w:color w:val="000000"/>
                <w:lang w:eastAsia="ja-JP"/>
              </w:rPr>
            </w:pPr>
            <w:r w:rsidRPr="004C36A5">
              <w:rPr>
                <w:rFonts w:ascii="Cambria Math" w:hAnsi="Cambria Math"/>
                <w:b/>
                <w:color w:val="000000"/>
                <w:sz w:val="22"/>
                <w:szCs w:val="22"/>
              </w:rPr>
              <w:t>r</w:t>
            </w:r>
            <w:r w:rsidRPr="004C36A5">
              <w:rPr>
                <w:rFonts w:ascii="Cambria Math" w:hAnsi="Cambria Math"/>
                <w:b/>
                <w:color w:val="000000"/>
                <w:sz w:val="22"/>
                <w:szCs w:val="22"/>
                <w:vertAlign w:val="subscript"/>
              </w:rPr>
              <w:t>s</w:t>
            </w:r>
          </w:p>
        </w:tc>
        <w:tc>
          <w:tcPr>
            <w:tcW w:w="871" w:type="dxa"/>
            <w:tcBorders>
              <w:top w:val="single" w:sz="8" w:space="0" w:color="000000" w:themeColor="text1"/>
              <w:bottom w:val="single" w:sz="8" w:space="0" w:color="000000" w:themeColor="text1"/>
              <w:right w:val="single" w:sz="8" w:space="0" w:color="000000" w:themeColor="text1"/>
            </w:tcBorders>
            <w:vAlign w:val="bottom"/>
            <w:hideMark/>
          </w:tcPr>
          <w:p w:rsidR="000844CF" w:rsidRDefault="000844CF" w:rsidP="000844CF">
            <w:pPr>
              <w:jc w:val="right"/>
              <w:rPr>
                <w:rFonts w:ascii="Calibri" w:eastAsia="PMingLiU" w:hAnsi="Calibri" w:cs="Calibri"/>
                <w:b/>
                <w:bCs/>
                <w:color w:val="000000"/>
                <w:lang w:eastAsia="ja-JP"/>
              </w:rPr>
            </w:pPr>
            <w:r w:rsidRPr="004C36A5">
              <w:rPr>
                <w:rFonts w:ascii="Cambria Math" w:hAnsi="Cambria Math"/>
                <w:b/>
                <w:sz w:val="22"/>
                <w:szCs w:val="22"/>
              </w:rPr>
              <w:t>eT</w:t>
            </w:r>
          </w:p>
        </w:tc>
        <w:tc>
          <w:tcPr>
            <w:tcW w:w="1151" w:type="dxa"/>
            <w:tcBorders>
              <w:top w:val="single" w:sz="8" w:space="0" w:color="000000" w:themeColor="text1"/>
              <w:left w:val="single" w:sz="8" w:space="0" w:color="000000" w:themeColor="text1"/>
              <w:bottom w:val="single" w:sz="8" w:space="0" w:color="000000" w:themeColor="text1"/>
            </w:tcBorders>
            <w:vAlign w:val="bottom"/>
          </w:tcPr>
          <w:p w:rsidR="000844CF" w:rsidRPr="00D373A2" w:rsidRDefault="000844CF" w:rsidP="00D373A2">
            <w:pPr>
              <w:jc w:val="right"/>
              <w:rPr>
                <w:rFonts w:ascii="Calibri" w:eastAsia="PMingLiU" w:hAnsi="Calibri" w:cs="Calibri"/>
                <w:b/>
                <w:bCs/>
                <w:color w:val="000000"/>
                <w:sz w:val="20"/>
                <w:szCs w:val="20"/>
                <w:lang w:eastAsia="ja-JP"/>
              </w:rPr>
            </w:pPr>
          </w:p>
        </w:tc>
        <w:tc>
          <w:tcPr>
            <w:tcW w:w="826" w:type="dxa"/>
            <w:tcBorders>
              <w:top w:val="single" w:sz="8" w:space="0" w:color="000000" w:themeColor="text1"/>
              <w:bottom w:val="single" w:sz="8" w:space="0" w:color="000000" w:themeColor="text1"/>
            </w:tcBorders>
            <w:vAlign w:val="bottom"/>
          </w:tcPr>
          <w:p w:rsidR="000844CF" w:rsidRPr="00D373A2" w:rsidRDefault="000844CF" w:rsidP="00D373A2">
            <w:pPr>
              <w:jc w:val="right"/>
              <w:rPr>
                <w:rFonts w:ascii="Calibri" w:eastAsia="PMingLiU" w:hAnsi="Calibri" w:cs="Calibri"/>
                <w:b/>
                <w:bCs/>
                <w:color w:val="000000"/>
                <w:sz w:val="20"/>
                <w:szCs w:val="20"/>
                <w:lang w:eastAsia="ja-JP"/>
              </w:rPr>
            </w:pPr>
          </w:p>
        </w:tc>
      </w:tr>
      <w:tr w:rsidR="00D373A2" w:rsidRPr="00D373A2" w:rsidTr="000844CF">
        <w:trPr>
          <w:jc w:val="center"/>
        </w:trPr>
        <w:tc>
          <w:tcPr>
            <w:tcW w:w="2086" w:type="dxa"/>
            <w:tcBorders>
              <w:top w:val="single" w:sz="8" w:space="0" w:color="000000" w:themeColor="text1"/>
              <w:bottom w:val="single" w:sz="8" w:space="0" w:color="000000" w:themeColor="text1"/>
              <w:right w:val="single" w:sz="8" w:space="0" w:color="000000" w:themeColor="text1"/>
            </w:tcBorders>
          </w:tcPr>
          <w:p w:rsidR="00D373A2" w:rsidRPr="00D373A2" w:rsidRDefault="00D373A2" w:rsidP="00D373A2">
            <w:pPr>
              <w:rPr>
                <w:rFonts w:ascii="Arial Unicode MS" w:eastAsia="Arial Unicode MS" w:hAnsi="Arial Unicode MS" w:cs="Arial Unicode MS"/>
                <w:i/>
                <w:iCs/>
                <w:color w:val="000000"/>
                <w:sz w:val="20"/>
                <w:szCs w:val="20"/>
                <w:shd w:val="clear" w:color="auto" w:fill="FFFFFF"/>
                <w:lang w:eastAsia="ja-JP"/>
              </w:rPr>
            </w:pPr>
            <w:r w:rsidRPr="00D373A2">
              <w:rPr>
                <w:rFonts w:ascii="Arial Unicode MS" w:eastAsia="Arial Unicode MS" w:hAnsi="Arial Unicode MS" w:cs="Arial Unicode MS" w:hint="eastAsia"/>
                <w:i/>
                <w:iCs/>
                <w:color w:val="000000"/>
                <w:sz w:val="20"/>
                <w:szCs w:val="20"/>
                <w:shd w:val="clear" w:color="auto" w:fill="FFFFFF"/>
                <w:lang w:eastAsia="ja-JP"/>
              </w:rPr>
              <w:t>Avg Obs Value for Parameter (mm H</w:t>
            </w:r>
            <w:r w:rsidRPr="00D373A2">
              <w:rPr>
                <w:rFonts w:ascii="Arial Unicode MS" w:eastAsia="Arial Unicode MS" w:hAnsi="Arial Unicode MS" w:cs="Arial Unicode MS" w:hint="eastAsia"/>
                <w:i/>
                <w:iCs/>
                <w:color w:val="000000"/>
                <w:sz w:val="20"/>
                <w:szCs w:val="20"/>
                <w:shd w:val="clear" w:color="auto" w:fill="FFFFFF"/>
                <w:vertAlign w:val="subscript"/>
                <w:lang w:eastAsia="ja-JP"/>
              </w:rPr>
              <w:t>2</w:t>
            </w:r>
            <w:r w:rsidRPr="00D373A2">
              <w:rPr>
                <w:rFonts w:ascii="Arial Unicode MS" w:eastAsia="Arial Unicode MS" w:hAnsi="Arial Unicode MS" w:cs="Arial Unicode MS" w:hint="eastAsia"/>
                <w:i/>
                <w:iCs/>
                <w:color w:val="000000"/>
                <w:sz w:val="20"/>
                <w:szCs w:val="20"/>
                <w:shd w:val="clear" w:color="auto" w:fill="FFFFFF"/>
                <w:lang w:eastAsia="ja-JP"/>
              </w:rPr>
              <w:t>0)</w:t>
            </w:r>
          </w:p>
        </w:tc>
        <w:tc>
          <w:tcPr>
            <w:tcW w:w="90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rsidR="00D373A2" w:rsidRPr="00D373A2" w:rsidRDefault="00D373A2" w:rsidP="00D373A2">
            <w:pPr>
              <w:jc w:val="right"/>
              <w:rPr>
                <w:rFonts w:ascii="Calibri" w:hAnsi="Calibri" w:cs="Calibri"/>
                <w:b/>
                <w:bCs/>
                <w:i/>
                <w:iCs/>
                <w:color w:val="000000"/>
                <w:sz w:val="20"/>
                <w:szCs w:val="20"/>
                <w:lang w:eastAsia="ja-JP"/>
              </w:rPr>
            </w:pPr>
            <w:r>
              <w:rPr>
                <w:rFonts w:ascii="Calibri" w:hAnsi="Calibri" w:cs="Calibri"/>
                <w:b/>
                <w:bCs/>
                <w:i/>
                <w:iCs/>
                <w:color w:val="000000"/>
                <w:sz w:val="20"/>
                <w:szCs w:val="20"/>
                <w:lang w:eastAsia="ja-JP"/>
              </w:rPr>
              <w:t>242</w:t>
            </w:r>
          </w:p>
        </w:tc>
        <w:tc>
          <w:tcPr>
            <w:tcW w:w="807" w:type="dxa"/>
            <w:tcBorders>
              <w:top w:val="single" w:sz="8" w:space="0" w:color="000000" w:themeColor="text1"/>
              <w:left w:val="single" w:sz="8" w:space="0" w:color="000000" w:themeColor="text1"/>
              <w:bottom w:val="single" w:sz="8" w:space="0" w:color="000000" w:themeColor="text1"/>
            </w:tcBorders>
            <w:vAlign w:val="bottom"/>
          </w:tcPr>
          <w:p w:rsidR="00D373A2" w:rsidRPr="00D373A2" w:rsidRDefault="00D373A2" w:rsidP="00D373A2">
            <w:pPr>
              <w:jc w:val="right"/>
              <w:rPr>
                <w:rFonts w:ascii="Calibri" w:eastAsia="PMingLiU" w:hAnsi="Calibri" w:cs="Calibri"/>
                <w:b/>
                <w:bCs/>
                <w:i/>
                <w:iCs/>
                <w:color w:val="000000"/>
                <w:sz w:val="20"/>
                <w:szCs w:val="20"/>
                <w:lang w:eastAsia="ja-JP"/>
              </w:rPr>
            </w:pPr>
            <w:r>
              <w:rPr>
                <w:rFonts w:ascii="Calibri" w:eastAsia="PMingLiU" w:hAnsi="Calibri" w:cs="Calibri"/>
                <w:b/>
                <w:bCs/>
                <w:i/>
                <w:iCs/>
                <w:color w:val="000000"/>
                <w:sz w:val="20"/>
                <w:szCs w:val="20"/>
                <w:lang w:eastAsia="ja-JP"/>
              </w:rPr>
              <w:t>15.31</w:t>
            </w:r>
          </w:p>
        </w:tc>
        <w:tc>
          <w:tcPr>
            <w:tcW w:w="871" w:type="dxa"/>
            <w:tcBorders>
              <w:top w:val="single" w:sz="8" w:space="0" w:color="000000" w:themeColor="text1"/>
              <w:bottom w:val="single" w:sz="8" w:space="0" w:color="000000" w:themeColor="text1"/>
            </w:tcBorders>
            <w:vAlign w:val="bottom"/>
          </w:tcPr>
          <w:p w:rsidR="00D373A2" w:rsidRPr="00D373A2" w:rsidRDefault="00D373A2" w:rsidP="00D373A2">
            <w:pPr>
              <w:jc w:val="right"/>
              <w:rPr>
                <w:rFonts w:ascii="Calibri" w:hAnsi="Calibri" w:cs="Calibri"/>
                <w:b/>
                <w:bCs/>
                <w:i/>
                <w:iCs/>
                <w:color w:val="000000"/>
                <w:sz w:val="20"/>
                <w:szCs w:val="20"/>
                <w:lang w:eastAsia="ja-JP"/>
              </w:rPr>
            </w:pPr>
            <w:r>
              <w:rPr>
                <w:rFonts w:ascii="Calibri" w:hAnsi="Calibri" w:cs="Calibri"/>
                <w:b/>
                <w:bCs/>
                <w:i/>
                <w:iCs/>
                <w:color w:val="000000"/>
                <w:sz w:val="20"/>
                <w:szCs w:val="20"/>
                <w:lang w:eastAsia="ja-JP"/>
              </w:rPr>
              <w:t>37</w:t>
            </w:r>
          </w:p>
        </w:tc>
        <w:tc>
          <w:tcPr>
            <w:tcW w:w="871" w:type="dxa"/>
            <w:tcBorders>
              <w:top w:val="single" w:sz="8" w:space="0" w:color="000000" w:themeColor="text1"/>
              <w:bottom w:val="single" w:sz="8" w:space="0" w:color="000000" w:themeColor="text1"/>
              <w:right w:val="single" w:sz="8" w:space="0" w:color="000000" w:themeColor="text1"/>
            </w:tcBorders>
            <w:vAlign w:val="bottom"/>
          </w:tcPr>
          <w:p w:rsidR="00D373A2" w:rsidRPr="00D373A2" w:rsidRDefault="00D373A2" w:rsidP="00D373A2">
            <w:pPr>
              <w:jc w:val="right"/>
              <w:rPr>
                <w:rFonts w:ascii="Calibri" w:hAnsi="Calibri" w:cs="Calibri"/>
                <w:b/>
                <w:bCs/>
                <w:i/>
                <w:iCs/>
                <w:color w:val="000000"/>
                <w:sz w:val="20"/>
                <w:szCs w:val="20"/>
                <w:lang w:eastAsia="ja-JP"/>
              </w:rPr>
            </w:pPr>
            <w:r>
              <w:rPr>
                <w:rFonts w:ascii="Calibri" w:hAnsi="Calibri" w:cs="Calibri"/>
                <w:b/>
                <w:bCs/>
                <w:i/>
                <w:iCs/>
                <w:color w:val="000000"/>
                <w:sz w:val="20"/>
                <w:szCs w:val="20"/>
                <w:lang w:eastAsia="ja-JP"/>
              </w:rPr>
              <w:t>166</w:t>
            </w:r>
          </w:p>
        </w:tc>
        <w:tc>
          <w:tcPr>
            <w:tcW w:w="1151" w:type="dxa"/>
            <w:tcBorders>
              <w:top w:val="single" w:sz="8" w:space="0" w:color="000000" w:themeColor="text1"/>
              <w:left w:val="single" w:sz="8" w:space="0" w:color="000000" w:themeColor="text1"/>
              <w:bottom w:val="single" w:sz="8" w:space="0" w:color="000000" w:themeColor="text1"/>
            </w:tcBorders>
            <w:vAlign w:val="bottom"/>
          </w:tcPr>
          <w:p w:rsidR="00D373A2" w:rsidRPr="00D373A2" w:rsidRDefault="00D373A2" w:rsidP="00D373A2">
            <w:pPr>
              <w:jc w:val="right"/>
              <w:rPr>
                <w:rFonts w:ascii="Calibri" w:eastAsia="PMingLiU" w:hAnsi="Calibri" w:cs="Calibri"/>
                <w:b/>
                <w:bCs/>
                <w:i/>
                <w:iCs/>
                <w:color w:val="000000"/>
                <w:sz w:val="20"/>
                <w:szCs w:val="20"/>
                <w:lang w:eastAsia="ja-JP"/>
              </w:rPr>
            </w:pPr>
          </w:p>
        </w:tc>
        <w:tc>
          <w:tcPr>
            <w:tcW w:w="826" w:type="dxa"/>
            <w:tcBorders>
              <w:top w:val="single" w:sz="8" w:space="0" w:color="000000" w:themeColor="text1"/>
              <w:bottom w:val="single" w:sz="8" w:space="0" w:color="000000" w:themeColor="text1"/>
            </w:tcBorders>
            <w:vAlign w:val="bottom"/>
          </w:tcPr>
          <w:p w:rsidR="00D373A2" w:rsidRPr="00D373A2" w:rsidRDefault="00D373A2" w:rsidP="00D373A2">
            <w:pPr>
              <w:jc w:val="right"/>
              <w:rPr>
                <w:rFonts w:ascii="Calibri" w:eastAsia="PMingLiU" w:hAnsi="Calibri" w:cs="Calibri"/>
                <w:b/>
                <w:bCs/>
                <w:i/>
                <w:iCs/>
                <w:color w:val="000000"/>
                <w:sz w:val="20"/>
                <w:szCs w:val="20"/>
                <w:lang w:eastAsia="ja-JP"/>
              </w:rPr>
            </w:pPr>
          </w:p>
        </w:tc>
      </w:tr>
      <w:tr w:rsidR="00D373A2" w:rsidRPr="00D373A2" w:rsidTr="000844CF">
        <w:trPr>
          <w:jc w:val="center"/>
        </w:trPr>
        <w:tc>
          <w:tcPr>
            <w:tcW w:w="2086" w:type="dxa"/>
            <w:tcBorders>
              <w:top w:val="single" w:sz="8" w:space="0" w:color="000000" w:themeColor="text1"/>
              <w:bottom w:val="single" w:sz="4" w:space="0" w:color="000000" w:themeColor="text1"/>
              <w:right w:val="single" w:sz="8" w:space="0" w:color="000000" w:themeColor="text1"/>
            </w:tcBorders>
          </w:tcPr>
          <w:p w:rsidR="00D373A2" w:rsidRPr="00D373A2" w:rsidRDefault="00D373A2" w:rsidP="00D373A2">
            <w:pPr>
              <w:rPr>
                <w:rFonts w:ascii="Arial Unicode MS" w:eastAsia="Arial Unicode MS" w:hAnsi="Arial Unicode MS" w:cs="Times New Roman"/>
                <w:i/>
                <w:iCs/>
                <w:color w:val="000000"/>
                <w:sz w:val="20"/>
                <w:szCs w:val="20"/>
                <w:shd w:val="clear" w:color="auto" w:fill="FFFFFF"/>
                <w:lang w:eastAsia="ja-JP"/>
              </w:rPr>
            </w:pPr>
          </w:p>
        </w:tc>
        <w:tc>
          <w:tcPr>
            <w:tcW w:w="903" w:type="dxa"/>
            <w:tcBorders>
              <w:top w:val="single" w:sz="8" w:space="0" w:color="000000" w:themeColor="text1"/>
              <w:left w:val="single" w:sz="8" w:space="0" w:color="000000" w:themeColor="text1"/>
              <w:bottom w:val="single" w:sz="4" w:space="0" w:color="000000" w:themeColor="text1"/>
              <w:right w:val="single" w:sz="4" w:space="0" w:color="000000" w:themeColor="text1"/>
            </w:tcBorders>
            <w:vAlign w:val="bottom"/>
          </w:tcPr>
          <w:p w:rsidR="00D373A2" w:rsidRPr="00D373A2" w:rsidRDefault="00D373A2" w:rsidP="00D373A2">
            <w:pPr>
              <w:jc w:val="right"/>
              <w:rPr>
                <w:rFonts w:ascii="Calibri" w:eastAsia="PMingLiU" w:hAnsi="Calibri" w:cs="Calibri"/>
                <w:b/>
                <w:bCs/>
                <w:i/>
                <w:iCs/>
                <w:color w:val="000000"/>
                <w:sz w:val="20"/>
                <w:szCs w:val="20"/>
                <w:lang w:eastAsia="ja-JP"/>
              </w:rPr>
            </w:pPr>
          </w:p>
        </w:tc>
        <w:tc>
          <w:tcPr>
            <w:tcW w:w="807" w:type="dxa"/>
            <w:tcBorders>
              <w:top w:val="single" w:sz="8" w:space="0" w:color="000000" w:themeColor="text1"/>
              <w:left w:val="single" w:sz="4" w:space="0" w:color="000000" w:themeColor="text1"/>
              <w:bottom w:val="single" w:sz="4" w:space="0" w:color="000000" w:themeColor="text1"/>
              <w:right w:val="single" w:sz="4" w:space="0" w:color="000000" w:themeColor="text1"/>
            </w:tcBorders>
          </w:tcPr>
          <w:p w:rsidR="00D373A2" w:rsidRPr="00D373A2" w:rsidRDefault="00D373A2" w:rsidP="00D373A2">
            <w:pPr>
              <w:jc w:val="right"/>
              <w:rPr>
                <w:rFonts w:ascii="Calibri" w:eastAsia="PMingLiU" w:hAnsi="Calibri" w:cs="Calibri"/>
                <w:b/>
                <w:bCs/>
                <w:i/>
                <w:iCs/>
                <w:color w:val="000000"/>
                <w:sz w:val="20"/>
                <w:szCs w:val="20"/>
                <w:lang w:eastAsia="ja-JP"/>
              </w:rPr>
            </w:pPr>
          </w:p>
        </w:tc>
        <w:tc>
          <w:tcPr>
            <w:tcW w:w="1742" w:type="dxa"/>
            <w:gridSpan w:val="2"/>
            <w:tcBorders>
              <w:top w:val="single" w:sz="8" w:space="0" w:color="000000" w:themeColor="text1"/>
              <w:left w:val="single" w:sz="4" w:space="0" w:color="000000" w:themeColor="text1"/>
              <w:bottom w:val="single" w:sz="4" w:space="0" w:color="000000" w:themeColor="text1"/>
              <w:right w:val="single" w:sz="8" w:space="0" w:color="000000" w:themeColor="text1"/>
            </w:tcBorders>
            <w:shd w:val="clear" w:color="auto" w:fill="DAEEF3"/>
            <w:vAlign w:val="bottom"/>
            <w:hideMark/>
          </w:tcPr>
          <w:p w:rsidR="00D373A2" w:rsidRPr="00D373A2" w:rsidRDefault="00D373A2" w:rsidP="00D373A2">
            <w:pPr>
              <w:jc w:val="center"/>
              <w:rPr>
                <w:rFonts w:asciiTheme="majorHAnsi" w:eastAsia="PMingLiU" w:hAnsiTheme="majorHAnsi" w:cstheme="majorHAnsi"/>
                <w:b/>
                <w:bCs/>
                <w:color w:val="000000"/>
                <w:sz w:val="20"/>
                <w:szCs w:val="20"/>
                <w:lang w:eastAsia="ja-JP"/>
              </w:rPr>
            </w:pPr>
            <w:r w:rsidRPr="00D373A2">
              <w:rPr>
                <w:rFonts w:asciiTheme="majorHAnsi" w:hAnsiTheme="majorHAnsi" w:cstheme="majorHAnsi"/>
                <w:b/>
                <w:bCs/>
                <w:color w:val="000000"/>
                <w:sz w:val="20"/>
                <w:szCs w:val="20"/>
                <w:lang w:eastAsia="ja-JP"/>
              </w:rPr>
              <w:t>Climate Change Only</w:t>
            </w:r>
          </w:p>
        </w:tc>
        <w:tc>
          <w:tcPr>
            <w:tcW w:w="1977" w:type="dxa"/>
            <w:gridSpan w:val="2"/>
            <w:tcBorders>
              <w:top w:val="single" w:sz="8" w:space="0" w:color="000000" w:themeColor="text1"/>
              <w:left w:val="single" w:sz="8" w:space="0" w:color="000000" w:themeColor="text1"/>
              <w:bottom w:val="single" w:sz="4" w:space="0" w:color="000000" w:themeColor="text1"/>
            </w:tcBorders>
            <w:shd w:val="clear" w:color="auto" w:fill="DAEEF3"/>
            <w:vAlign w:val="bottom"/>
            <w:hideMark/>
          </w:tcPr>
          <w:p w:rsidR="00D373A2" w:rsidRPr="00D373A2" w:rsidRDefault="00D373A2" w:rsidP="00D373A2">
            <w:pPr>
              <w:jc w:val="center"/>
              <w:rPr>
                <w:rFonts w:asciiTheme="majorHAnsi" w:eastAsia="PMingLiU" w:hAnsiTheme="majorHAnsi" w:cstheme="majorHAnsi"/>
                <w:b/>
                <w:bCs/>
                <w:color w:val="000000"/>
                <w:sz w:val="20"/>
                <w:szCs w:val="20"/>
                <w:lang w:eastAsia="ja-JP"/>
              </w:rPr>
            </w:pPr>
            <w:r w:rsidRPr="00D373A2">
              <w:rPr>
                <w:rFonts w:asciiTheme="majorHAnsi" w:hAnsiTheme="majorHAnsi" w:cstheme="majorHAnsi"/>
                <w:b/>
                <w:bCs/>
                <w:color w:val="000000"/>
                <w:sz w:val="20"/>
                <w:szCs w:val="20"/>
                <w:lang w:eastAsia="ja-JP"/>
              </w:rPr>
              <w:t>Climate Change + Switchgrass</w:t>
            </w:r>
          </w:p>
        </w:tc>
      </w:tr>
      <w:tr w:rsidR="000844CF" w:rsidRPr="00D373A2" w:rsidTr="000844CF">
        <w:trPr>
          <w:jc w:val="center"/>
        </w:trPr>
        <w:tc>
          <w:tcPr>
            <w:tcW w:w="2086" w:type="dxa"/>
            <w:tcBorders>
              <w:top w:val="single" w:sz="4" w:space="0" w:color="000000" w:themeColor="text1"/>
              <w:bottom w:val="single" w:sz="8" w:space="0" w:color="000000" w:themeColor="text1"/>
              <w:right w:val="single" w:sz="8" w:space="0" w:color="000000" w:themeColor="text1"/>
            </w:tcBorders>
            <w:hideMark/>
          </w:tcPr>
          <w:p w:rsidR="000844CF" w:rsidRDefault="000844CF" w:rsidP="000844CF">
            <w:pPr>
              <w:rPr>
                <w:rFonts w:ascii="Arial Unicode MS" w:eastAsia="Arial Unicode MS" w:hAnsi="Arial Unicode MS" w:cs="Arial Unicode MS"/>
                <w:b/>
                <w:bCs/>
                <w:color w:val="000000"/>
                <w:sz w:val="22"/>
                <w:szCs w:val="22"/>
                <w:shd w:val="clear" w:color="auto" w:fill="FFFFFF"/>
                <w:lang w:eastAsia="ja-JP"/>
              </w:rPr>
            </w:pPr>
            <w:r>
              <w:rPr>
                <w:rFonts w:ascii="Arial Unicode MS" w:eastAsia="Arial Unicode MS" w:hAnsi="Arial Unicode MS" w:cs="Arial Unicode MS" w:hint="eastAsia"/>
                <w:b/>
                <w:bCs/>
                <w:color w:val="000000"/>
                <w:sz w:val="22"/>
                <w:szCs w:val="22"/>
                <w:shd w:val="clear" w:color="auto" w:fill="FFFFFF"/>
                <w:lang w:eastAsia="ja-JP"/>
              </w:rPr>
              <w:t>GCM</w:t>
            </w:r>
          </w:p>
        </w:tc>
        <w:tc>
          <w:tcPr>
            <w:tcW w:w="903" w:type="dxa"/>
            <w:tcBorders>
              <w:top w:val="single" w:sz="4" w:space="0" w:color="000000" w:themeColor="text1"/>
              <w:left w:val="single" w:sz="8" w:space="0" w:color="000000" w:themeColor="text1"/>
              <w:bottom w:val="single" w:sz="8" w:space="0" w:color="000000" w:themeColor="text1"/>
              <w:right w:val="single" w:sz="8" w:space="0" w:color="000000" w:themeColor="text1"/>
            </w:tcBorders>
            <w:vAlign w:val="bottom"/>
            <w:hideMark/>
          </w:tcPr>
          <w:p w:rsidR="000844CF" w:rsidRPr="000844CF" w:rsidRDefault="000844CF" w:rsidP="000844CF">
            <w:pPr>
              <w:jc w:val="right"/>
              <w:rPr>
                <w:rFonts w:ascii="Cambria Math" w:eastAsia="PMingLiU" w:hAnsi="Cambria Math" w:cs="Calibri"/>
                <w:b/>
                <w:bCs/>
                <w:color w:val="000000"/>
                <w:lang w:eastAsia="ja-JP"/>
              </w:rPr>
            </w:pPr>
            <w:r w:rsidRPr="000844CF">
              <w:rPr>
                <w:rFonts w:ascii="Cambria Math" w:hAnsi="Cambria Math"/>
                <w:b/>
                <w:sz w:val="22"/>
                <w:szCs w:val="22"/>
              </w:rPr>
              <w:t>%ΔP</w:t>
            </w:r>
          </w:p>
        </w:tc>
        <w:tc>
          <w:tcPr>
            <w:tcW w:w="807" w:type="dxa"/>
            <w:tcBorders>
              <w:top w:val="single" w:sz="4" w:space="0" w:color="000000" w:themeColor="text1"/>
              <w:left w:val="single" w:sz="8" w:space="0" w:color="000000" w:themeColor="text1"/>
              <w:bottom w:val="single" w:sz="8" w:space="0" w:color="000000" w:themeColor="text1"/>
            </w:tcBorders>
            <w:hideMark/>
          </w:tcPr>
          <w:p w:rsidR="000844CF" w:rsidRPr="000844CF" w:rsidRDefault="000844CF" w:rsidP="000844CF">
            <w:pPr>
              <w:jc w:val="right"/>
              <w:rPr>
                <w:rFonts w:ascii="Cambria Math" w:eastAsia="PMingLiU" w:hAnsi="Cambria Math" w:cs="Times New Roman"/>
                <w:b/>
                <w:bCs/>
                <w:color w:val="000000"/>
                <w:sz w:val="22"/>
                <w:szCs w:val="22"/>
                <w:lang w:eastAsia="ja-JP"/>
              </w:rPr>
            </w:pPr>
            <w:r w:rsidRPr="000844CF">
              <w:rPr>
                <w:rFonts w:ascii="Cambria Math" w:hAnsi="Cambria Math"/>
                <w:b/>
                <w:sz w:val="22"/>
                <w:szCs w:val="22"/>
              </w:rPr>
              <w:t>ΔT</w:t>
            </w:r>
            <w:r w:rsidRPr="000844CF">
              <w:rPr>
                <w:rFonts w:ascii="Cambria Math" w:hAnsi="Cambria Math" w:cs="Cambria Math"/>
                <w:b/>
                <w:bCs/>
                <w:color w:val="000000"/>
                <w:sz w:val="22"/>
                <w:szCs w:val="22"/>
                <w:lang w:eastAsia="ja-JP"/>
              </w:rPr>
              <w:t xml:space="preserve"> (</w:t>
            </w:r>
            <w:r w:rsidRPr="000844CF">
              <w:rPr>
                <w:rFonts w:ascii="Cambria Math" w:hAnsi="Cambria Math" w:cs="Cambria Math"/>
                <w:b/>
                <w:bCs/>
                <w:color w:val="000000"/>
                <w:sz w:val="22"/>
                <w:szCs w:val="22"/>
                <w:vertAlign w:val="superscript"/>
                <w:lang w:eastAsia="ja-JP"/>
              </w:rPr>
              <w:t>O</w:t>
            </w:r>
            <w:r w:rsidRPr="000844CF">
              <w:rPr>
                <w:rFonts w:ascii="Cambria Math" w:hAnsi="Cambria Math" w:cs="Cambria Math"/>
                <w:b/>
                <w:bCs/>
                <w:color w:val="000000"/>
                <w:sz w:val="22"/>
                <w:szCs w:val="22"/>
                <w:lang w:eastAsia="ja-JP"/>
              </w:rPr>
              <w:t>C)</w:t>
            </w:r>
          </w:p>
        </w:tc>
        <w:tc>
          <w:tcPr>
            <w:tcW w:w="871" w:type="dxa"/>
            <w:tcBorders>
              <w:top w:val="single" w:sz="4" w:space="0" w:color="000000" w:themeColor="text1"/>
              <w:bottom w:val="single" w:sz="8" w:space="0" w:color="000000" w:themeColor="text1"/>
            </w:tcBorders>
            <w:vAlign w:val="bottom"/>
            <w:hideMark/>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color w:val="000000"/>
                <w:sz w:val="22"/>
                <w:szCs w:val="22"/>
              </w:rPr>
              <w:t>%Δr</w:t>
            </w:r>
            <w:r w:rsidRPr="004C36A5">
              <w:rPr>
                <w:rFonts w:ascii="Cambria Math" w:hAnsi="Cambria Math"/>
                <w:b/>
                <w:color w:val="000000"/>
                <w:sz w:val="22"/>
                <w:szCs w:val="22"/>
                <w:vertAlign w:val="subscript"/>
              </w:rPr>
              <w:t>s</w:t>
            </w:r>
          </w:p>
        </w:tc>
        <w:tc>
          <w:tcPr>
            <w:tcW w:w="871" w:type="dxa"/>
            <w:tcBorders>
              <w:top w:val="single" w:sz="4" w:space="0" w:color="000000" w:themeColor="text1"/>
              <w:bottom w:val="single" w:sz="8" w:space="0" w:color="000000" w:themeColor="text1"/>
              <w:right w:val="single" w:sz="8" w:space="0" w:color="000000" w:themeColor="text1"/>
            </w:tcBorders>
            <w:vAlign w:val="bottom"/>
            <w:hideMark/>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sz w:val="22"/>
                <w:szCs w:val="22"/>
              </w:rPr>
              <w:t>%ΔeT</w:t>
            </w:r>
          </w:p>
        </w:tc>
        <w:tc>
          <w:tcPr>
            <w:tcW w:w="1151" w:type="dxa"/>
            <w:tcBorders>
              <w:top w:val="nil"/>
              <w:left w:val="single" w:sz="8" w:space="0" w:color="000000" w:themeColor="text1"/>
              <w:bottom w:val="single" w:sz="8" w:space="0" w:color="000000" w:themeColor="text1"/>
            </w:tcBorders>
            <w:vAlign w:val="bottom"/>
            <w:hideMark/>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color w:val="000000"/>
                <w:sz w:val="22"/>
                <w:szCs w:val="22"/>
              </w:rPr>
              <w:t>%Δr</w:t>
            </w:r>
            <w:r w:rsidRPr="004C36A5">
              <w:rPr>
                <w:rFonts w:ascii="Cambria Math" w:hAnsi="Cambria Math"/>
                <w:b/>
                <w:color w:val="000000"/>
                <w:sz w:val="22"/>
                <w:szCs w:val="22"/>
                <w:vertAlign w:val="subscript"/>
              </w:rPr>
              <w:t>s</w:t>
            </w:r>
          </w:p>
        </w:tc>
        <w:tc>
          <w:tcPr>
            <w:tcW w:w="826" w:type="dxa"/>
            <w:tcBorders>
              <w:top w:val="nil"/>
              <w:bottom w:val="single" w:sz="8" w:space="0" w:color="000000" w:themeColor="text1"/>
            </w:tcBorders>
            <w:vAlign w:val="bottom"/>
            <w:hideMark/>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sz w:val="22"/>
                <w:szCs w:val="22"/>
              </w:rPr>
              <w:t>%ΔeT</w:t>
            </w:r>
          </w:p>
        </w:tc>
      </w:tr>
      <w:tr w:rsidR="00D373A2" w:rsidRPr="00D373A2" w:rsidTr="00B6696C">
        <w:trPr>
          <w:jc w:val="center"/>
        </w:trPr>
        <w:tc>
          <w:tcPr>
            <w:tcW w:w="2086" w:type="dxa"/>
            <w:tcBorders>
              <w:top w:val="single" w:sz="8" w:space="0" w:color="000000" w:themeColor="text1"/>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MIROC3.2 (MEDRES)</w:t>
            </w:r>
          </w:p>
        </w:tc>
        <w:tc>
          <w:tcPr>
            <w:tcW w:w="903" w:type="dxa"/>
            <w:tcBorders>
              <w:top w:val="single" w:sz="8" w:space="0" w:color="000000" w:themeColor="text1"/>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-26.77*</w:t>
            </w:r>
          </w:p>
        </w:tc>
        <w:tc>
          <w:tcPr>
            <w:tcW w:w="807" w:type="dxa"/>
            <w:tcBorders>
              <w:top w:val="single" w:sz="8" w:space="0" w:color="000000" w:themeColor="text1"/>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1.53</w:t>
            </w:r>
          </w:p>
        </w:tc>
        <w:tc>
          <w:tcPr>
            <w:tcW w:w="871" w:type="dxa"/>
            <w:tcBorders>
              <w:top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-62.67</w:t>
            </w:r>
          </w:p>
        </w:tc>
        <w:tc>
          <w:tcPr>
            <w:tcW w:w="871" w:type="dxa"/>
            <w:tcBorders>
              <w:top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-2.79</w:t>
            </w:r>
          </w:p>
        </w:tc>
        <w:tc>
          <w:tcPr>
            <w:tcW w:w="1151" w:type="dxa"/>
            <w:tcBorders>
              <w:top w:val="single" w:sz="8" w:space="0" w:color="000000" w:themeColor="text1"/>
              <w:left w:val="single" w:sz="8" w:space="0" w:color="000000" w:themeColor="text1"/>
            </w:tcBorders>
            <w:vAlign w:val="center"/>
          </w:tcPr>
          <w:p w:rsidR="00D373A2" w:rsidRPr="00D373A2" w:rsidRDefault="00D373A2" w:rsidP="00D373A2">
            <w:pPr>
              <w:spacing w:after="0"/>
              <w:jc w:val="right"/>
              <w:rPr>
                <w:rFonts w:ascii="Calibri" w:eastAsia="PMingLiU" w:hAnsi="Calibri" w:cs="Calibri"/>
                <w:color w:val="000000"/>
                <w:sz w:val="20"/>
                <w:szCs w:val="20"/>
                <w:lang w:eastAsia="ja-JP"/>
              </w:rPr>
            </w:pPr>
          </w:p>
          <w:p w:rsidR="00D373A2" w:rsidRPr="00D373A2" w:rsidRDefault="00D373A2" w:rsidP="00D373A2">
            <w:pPr>
              <w:spacing w:after="0"/>
              <w:jc w:val="right"/>
              <w:rPr>
                <w:rFonts w:ascii="Calibri" w:hAnsi="Calibri" w:cs="Calibri"/>
                <w:color w:val="000000"/>
                <w:sz w:val="20"/>
                <w:szCs w:val="20"/>
                <w:lang w:eastAsia="ja-JP"/>
              </w:rPr>
            </w:pPr>
            <w:r w:rsidRPr="00D373A2">
              <w:rPr>
                <w:rFonts w:ascii="Calibri" w:hAnsi="Calibri" w:cs="Calibri"/>
                <w:color w:val="000000"/>
                <w:sz w:val="20"/>
                <w:szCs w:val="20"/>
                <w:lang w:eastAsia="ja-JP"/>
              </w:rPr>
              <w:t>-54.63</w:t>
            </w:r>
          </w:p>
          <w:p w:rsidR="00D373A2" w:rsidRPr="00D373A2" w:rsidRDefault="00D373A2" w:rsidP="00D373A2">
            <w:pPr>
              <w:spacing w:after="0"/>
              <w:jc w:val="right"/>
              <w:rPr>
                <w:rFonts w:ascii="Calibri" w:eastAsia="PMingLiU" w:hAnsi="Calibri" w:cs="Calibri"/>
                <w:color w:val="000000"/>
                <w:sz w:val="20"/>
                <w:szCs w:val="20"/>
                <w:lang w:eastAsia="ja-JP"/>
              </w:rPr>
            </w:pPr>
          </w:p>
        </w:tc>
        <w:tc>
          <w:tcPr>
            <w:tcW w:w="826" w:type="dxa"/>
            <w:tcBorders>
              <w:top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41.06</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eastAsia="PMingLiU" w:cs="Times New Roman"/>
                <w:sz w:val="20"/>
                <w:szCs w:val="20"/>
                <w:lang w:eastAsia="ja-JP"/>
              </w:rPr>
            </w:pPr>
            <w:r w:rsidRPr="00D373A2">
              <w:rPr>
                <w:rFonts w:ascii="Arial Unicode MS" w:eastAsia="Arial Unicode MS" w:hAnsi="Arial Unicode MS" w:cs="Arial Unicode MS" w:hint="eastAsia"/>
                <w:color w:val="000000"/>
                <w:sz w:val="20"/>
                <w:szCs w:val="20"/>
                <w:lang w:eastAsia="ja-JP"/>
              </w:rPr>
              <w:t>IPSL_CM4</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-16.89*</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1.07</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-29.29</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1.6</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-60.55</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44.79</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GFDL_CM_2_0</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-7.08*</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1.58</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-38.81</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7.92</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-68.83</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49.9</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CGCM3.1 (T47)</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-5.15*</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1.97</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-26.31</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4.85</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-50.04</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55.82</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GISS_MODEL_E_R</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-1.58</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0.99</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-20.56</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2.82</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-63.34</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50.68</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MRI-CGCM2.3.2</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-1.48</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0.69</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-1.67</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1.02</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-54.8</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49.64</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UKMO-HadCM3</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-1.35</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1.85</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5.75</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5.97</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-32.3</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65.74</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INMCM3_0</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-0.36</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1.36</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-12.6</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6.74</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-51.3</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49.01</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sz w:val="20"/>
                <w:szCs w:val="20"/>
                <w:lang w:eastAsia="ja-JP"/>
              </w:rPr>
              <w:t>BCCR_BCM_2.0</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sz w:val="20"/>
                <w:szCs w:val="20"/>
                <w:lang w:eastAsia="ja-JP"/>
              </w:rPr>
              <w:t>2.94</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sz w:val="20"/>
                <w:szCs w:val="20"/>
                <w:lang w:eastAsia="ja-JP"/>
              </w:rPr>
              <w:t>1.68</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sz w:val="20"/>
                <w:szCs w:val="20"/>
                <w:lang w:eastAsia="ja-JP"/>
              </w:rPr>
              <w:t>2.93</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sz w:val="20"/>
                <w:szCs w:val="20"/>
                <w:lang w:eastAsia="ja-JP"/>
              </w:rPr>
              <w:t>2</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sz w:val="20"/>
                <w:szCs w:val="20"/>
                <w:lang w:eastAsia="ja-JP"/>
              </w:rPr>
              <w:t>-34.43</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sz w:val="20"/>
                <w:szCs w:val="20"/>
                <w:lang w:eastAsia="ja-JP"/>
              </w:rPr>
              <w:t>49.77</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CNRM_CM3</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9.26*</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1.09</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11.74</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9.65</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-38.83</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55.52</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MIUB_ECHOG</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10.26</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1.31</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23.78</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4.57</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-41.63</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52.78</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CSIRO_MK3_0</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16.52*</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1.06</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28.57</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10.5</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-32.81</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57.65</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PCM</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17.63*</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0.07</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58.96</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2.3</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-9.89</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48.2</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GFDL_CM2_1</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19.56*</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-0.37</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47.92</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13.62</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-13.33</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53.31</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ECHAM5/MPI-OM</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26.69*</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0.04</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110.27</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9.43</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49.42</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50.98</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Times New Roman"/>
                <w:color w:val="000000"/>
                <w:sz w:val="20"/>
                <w:szCs w:val="20"/>
                <w:shd w:val="clear" w:color="auto" w:fill="FFFFFF"/>
                <w:lang w:eastAsia="ja-JP"/>
              </w:rPr>
            </w:pPr>
            <w:r w:rsidRPr="00D373A2">
              <w:rPr>
                <w:rFonts w:ascii="Arial Unicode MS" w:eastAsia="Arial Unicode MS" w:hAnsi="Arial Unicode MS" w:cs="Arial Unicode MS" w:hint="eastAsia"/>
                <w:color w:val="000000"/>
                <w:sz w:val="20"/>
                <w:szCs w:val="20"/>
                <w:lang w:eastAsia="ja-JP"/>
              </w:rPr>
              <w:t>CCSM3</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52.42*</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1.28</w:t>
            </w:r>
          </w:p>
        </w:tc>
        <w:tc>
          <w:tcPr>
            <w:tcW w:w="871"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169.9</w:t>
            </w:r>
          </w:p>
        </w:tc>
        <w:tc>
          <w:tcPr>
            <w:tcW w:w="871" w:type="dxa"/>
            <w:tcBorders>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20.42</w:t>
            </w:r>
          </w:p>
        </w:tc>
        <w:tc>
          <w:tcPr>
            <w:tcW w:w="1151"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69.98</w:t>
            </w:r>
          </w:p>
        </w:tc>
        <w:tc>
          <w:tcPr>
            <w:tcW w:w="826" w:type="dxa"/>
            <w:vAlign w:val="center"/>
            <w:hideMark/>
          </w:tcPr>
          <w:p w:rsidR="00D373A2" w:rsidRPr="00D373A2" w:rsidRDefault="00D373A2" w:rsidP="00D373A2">
            <w:pPr>
              <w:spacing w:after="0"/>
              <w:jc w:val="right"/>
              <w:rPr>
                <w:rFonts w:ascii="Calibri" w:eastAsia="PMingLiU" w:hAnsi="Calibri" w:cs="Calibri"/>
                <w:color w:val="000000"/>
                <w:sz w:val="20"/>
                <w:szCs w:val="20"/>
                <w:lang w:eastAsia="ja-JP"/>
              </w:rPr>
            </w:pPr>
            <w:r w:rsidRPr="00D373A2">
              <w:rPr>
                <w:rFonts w:ascii="Calibri" w:hAnsi="Calibri" w:cs="Calibri"/>
                <w:color w:val="000000"/>
                <w:sz w:val="20"/>
                <w:szCs w:val="20"/>
                <w:lang w:eastAsia="ja-JP"/>
              </w:rPr>
              <w:t>57.64</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Arial Unicode MS"/>
                <w:b/>
                <w:bCs/>
                <w:color w:val="000000"/>
                <w:sz w:val="20"/>
                <w:szCs w:val="20"/>
                <w:lang w:eastAsia="ja-JP"/>
              </w:rPr>
            </w:pPr>
            <w:r w:rsidRPr="00D373A2">
              <w:rPr>
                <w:rFonts w:ascii="Arial Unicode MS" w:eastAsia="Arial Unicode MS" w:hAnsi="Arial Unicode MS" w:cs="Arial Unicode MS" w:hint="eastAsia"/>
                <w:b/>
                <w:bCs/>
                <w:color w:val="000000"/>
                <w:sz w:val="20"/>
                <w:szCs w:val="20"/>
                <w:lang w:eastAsia="ja-JP"/>
              </w:rPr>
              <w:t>Minimum</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-26.77</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-0.37</w:t>
            </w:r>
          </w:p>
        </w:tc>
        <w:tc>
          <w:tcPr>
            <w:tcW w:w="871"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-62.67</w:t>
            </w:r>
          </w:p>
        </w:tc>
        <w:tc>
          <w:tcPr>
            <w:tcW w:w="871" w:type="dxa"/>
            <w:tcBorders>
              <w:righ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-2.79</w:t>
            </w:r>
          </w:p>
        </w:tc>
        <w:tc>
          <w:tcPr>
            <w:tcW w:w="1151" w:type="dxa"/>
            <w:tcBorders>
              <w:lef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-68.83</w:t>
            </w:r>
          </w:p>
        </w:tc>
        <w:tc>
          <w:tcPr>
            <w:tcW w:w="826"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41.06</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Arial Unicode MS"/>
                <w:b/>
                <w:bCs/>
                <w:color w:val="000000"/>
                <w:sz w:val="20"/>
                <w:szCs w:val="20"/>
                <w:lang w:eastAsia="ja-JP"/>
              </w:rPr>
            </w:pPr>
            <w:r w:rsidRPr="00D373A2">
              <w:rPr>
                <w:rFonts w:ascii="Arial Unicode MS" w:eastAsia="Arial Unicode MS" w:hAnsi="Arial Unicode MS" w:cs="Arial Unicode MS" w:hint="eastAsia"/>
                <w:b/>
                <w:bCs/>
                <w:color w:val="000000"/>
                <w:sz w:val="20"/>
                <w:szCs w:val="20"/>
                <w:lang w:eastAsia="ja-JP"/>
              </w:rPr>
              <w:t>1</w:t>
            </w:r>
            <w:r w:rsidRPr="00D373A2">
              <w:rPr>
                <w:rFonts w:ascii="Arial Unicode MS" w:eastAsia="Arial Unicode MS" w:hAnsi="Arial Unicode MS" w:cs="Arial Unicode MS" w:hint="eastAsia"/>
                <w:b/>
                <w:bCs/>
                <w:color w:val="000000"/>
                <w:sz w:val="20"/>
                <w:szCs w:val="20"/>
                <w:vertAlign w:val="superscript"/>
                <w:lang w:eastAsia="ja-JP"/>
              </w:rPr>
              <w:t>st</w:t>
            </w:r>
            <w:r w:rsidRPr="00D373A2">
              <w:rPr>
                <w:rFonts w:ascii="Arial Unicode MS" w:eastAsia="Arial Unicode MS" w:hAnsi="Arial Unicode MS" w:cs="Arial Unicode MS" w:hint="eastAsia"/>
                <w:b/>
                <w:bCs/>
                <w:color w:val="000000"/>
                <w:sz w:val="20"/>
                <w:szCs w:val="20"/>
                <w:lang w:eastAsia="ja-JP"/>
              </w:rPr>
              <w:t xml:space="preserve"> Quartile</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-2.47</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0.92</w:t>
            </w:r>
          </w:p>
        </w:tc>
        <w:tc>
          <w:tcPr>
            <w:tcW w:w="871"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-22</w:t>
            </w:r>
          </w:p>
        </w:tc>
        <w:tc>
          <w:tcPr>
            <w:tcW w:w="871" w:type="dxa"/>
            <w:tcBorders>
              <w:righ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2.23</w:t>
            </w:r>
          </w:p>
        </w:tc>
        <w:tc>
          <w:tcPr>
            <w:tcW w:w="1151" w:type="dxa"/>
            <w:tcBorders>
              <w:lef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-54.67</w:t>
            </w:r>
          </w:p>
        </w:tc>
        <w:tc>
          <w:tcPr>
            <w:tcW w:w="826"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49.48</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Arial Unicode MS"/>
                <w:b/>
                <w:bCs/>
                <w:color w:val="000000"/>
                <w:sz w:val="20"/>
                <w:szCs w:val="20"/>
                <w:lang w:eastAsia="ja-JP"/>
              </w:rPr>
            </w:pPr>
            <w:r w:rsidRPr="00D373A2">
              <w:rPr>
                <w:rFonts w:ascii="Arial Unicode MS" w:eastAsia="Arial Unicode MS" w:hAnsi="Arial Unicode MS" w:cs="Arial Unicode MS" w:hint="eastAsia"/>
                <w:b/>
                <w:bCs/>
                <w:color w:val="000000"/>
                <w:sz w:val="20"/>
                <w:szCs w:val="20"/>
                <w:lang w:eastAsia="ja-JP"/>
              </w:rPr>
              <w:t>Median</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1.29</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1.19</w:t>
            </w:r>
          </w:p>
        </w:tc>
        <w:tc>
          <w:tcPr>
            <w:tcW w:w="871"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4.34</w:t>
            </w:r>
          </w:p>
        </w:tc>
        <w:tc>
          <w:tcPr>
            <w:tcW w:w="871" w:type="dxa"/>
            <w:tcBorders>
              <w:righ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5.41</w:t>
            </w:r>
          </w:p>
        </w:tc>
        <w:tc>
          <w:tcPr>
            <w:tcW w:w="1151" w:type="dxa"/>
            <w:tcBorders>
              <w:lef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-40.23</w:t>
            </w:r>
          </w:p>
        </w:tc>
        <w:tc>
          <w:tcPr>
            <w:tcW w:w="826"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50.83</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Arial Unicode MS"/>
                <w:b/>
                <w:bCs/>
                <w:color w:val="000000"/>
                <w:sz w:val="20"/>
                <w:szCs w:val="20"/>
                <w:lang w:eastAsia="ja-JP"/>
              </w:rPr>
            </w:pPr>
            <w:r w:rsidRPr="00D373A2">
              <w:rPr>
                <w:rFonts w:ascii="Arial Unicode MS" w:eastAsia="Arial Unicode MS" w:hAnsi="Arial Unicode MS" w:cs="Arial Unicode MS" w:hint="eastAsia"/>
                <w:b/>
                <w:bCs/>
                <w:color w:val="000000"/>
                <w:sz w:val="20"/>
                <w:szCs w:val="20"/>
                <w:lang w:eastAsia="ja-JP"/>
              </w:rPr>
              <w:t>3</w:t>
            </w:r>
            <w:r w:rsidRPr="00D373A2">
              <w:rPr>
                <w:rFonts w:ascii="Arial Unicode MS" w:eastAsia="Arial Unicode MS" w:hAnsi="Arial Unicode MS" w:cs="Arial Unicode MS" w:hint="eastAsia"/>
                <w:b/>
                <w:bCs/>
                <w:color w:val="000000"/>
                <w:sz w:val="20"/>
                <w:szCs w:val="20"/>
                <w:vertAlign w:val="superscript"/>
                <w:lang w:eastAsia="ja-JP"/>
              </w:rPr>
              <w:t>rd</w:t>
            </w:r>
            <w:r w:rsidRPr="00D373A2">
              <w:rPr>
                <w:rFonts w:ascii="Arial Unicode MS" w:eastAsia="Arial Unicode MS" w:hAnsi="Arial Unicode MS" w:cs="Arial Unicode MS" w:hint="eastAsia"/>
                <w:b/>
                <w:bCs/>
                <w:color w:val="000000"/>
                <w:sz w:val="20"/>
                <w:szCs w:val="20"/>
                <w:lang w:eastAsia="ja-JP"/>
              </w:rPr>
              <w:t xml:space="preserve"> Quartile</w:t>
            </w:r>
          </w:p>
        </w:tc>
        <w:tc>
          <w:tcPr>
            <w:tcW w:w="903" w:type="dxa"/>
            <w:tcBorders>
              <w:left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16.8</w:t>
            </w:r>
          </w:p>
        </w:tc>
        <w:tc>
          <w:tcPr>
            <w:tcW w:w="807" w:type="dxa"/>
            <w:tcBorders>
              <w:lef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1.54</w:t>
            </w:r>
          </w:p>
        </w:tc>
        <w:tc>
          <w:tcPr>
            <w:tcW w:w="871"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33.41</w:t>
            </w:r>
          </w:p>
        </w:tc>
        <w:tc>
          <w:tcPr>
            <w:tcW w:w="871" w:type="dxa"/>
            <w:tcBorders>
              <w:righ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9.49</w:t>
            </w:r>
          </w:p>
        </w:tc>
        <w:tc>
          <w:tcPr>
            <w:tcW w:w="1151" w:type="dxa"/>
            <w:tcBorders>
              <w:lef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-27.56</w:t>
            </w:r>
          </w:p>
        </w:tc>
        <w:tc>
          <w:tcPr>
            <w:tcW w:w="826"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55.6</w:t>
            </w:r>
          </w:p>
        </w:tc>
      </w:tr>
      <w:tr w:rsidR="00D373A2" w:rsidRPr="00D373A2" w:rsidTr="00B6696C">
        <w:trPr>
          <w:jc w:val="center"/>
        </w:trPr>
        <w:tc>
          <w:tcPr>
            <w:tcW w:w="2086" w:type="dxa"/>
            <w:tcBorders>
              <w:right w:val="single" w:sz="8" w:space="0" w:color="000000" w:themeColor="text1"/>
            </w:tcBorders>
            <w:vAlign w:val="center"/>
            <w:hideMark/>
          </w:tcPr>
          <w:p w:rsidR="00D373A2" w:rsidRPr="00D373A2" w:rsidRDefault="00D373A2" w:rsidP="00D373A2">
            <w:pPr>
              <w:spacing w:after="0"/>
              <w:rPr>
                <w:rFonts w:ascii="Arial Unicode MS" w:eastAsia="Arial Unicode MS" w:hAnsi="Arial Unicode MS" w:cs="Arial Unicode MS"/>
                <w:b/>
                <w:bCs/>
                <w:color w:val="000000"/>
                <w:sz w:val="20"/>
                <w:szCs w:val="20"/>
                <w:lang w:eastAsia="ja-JP"/>
              </w:rPr>
            </w:pPr>
            <w:r w:rsidRPr="00D373A2">
              <w:rPr>
                <w:rFonts w:ascii="Arial Unicode MS" w:eastAsia="Arial Unicode MS" w:hAnsi="Arial Unicode MS" w:cs="Arial Unicode MS" w:hint="eastAsia"/>
                <w:b/>
                <w:bCs/>
                <w:color w:val="000000"/>
                <w:sz w:val="20"/>
                <w:szCs w:val="20"/>
                <w:lang w:eastAsia="ja-JP"/>
              </w:rPr>
              <w:t>Maximum</w:t>
            </w:r>
          </w:p>
        </w:tc>
        <w:tc>
          <w:tcPr>
            <w:tcW w:w="903" w:type="dxa"/>
            <w:tcBorders>
              <w:left w:val="single" w:sz="8" w:space="0" w:color="000000" w:themeColor="text1"/>
              <w:bottom w:val="single" w:sz="8" w:space="0" w:color="000000" w:themeColor="text1"/>
              <w:right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52.42</w:t>
            </w:r>
          </w:p>
        </w:tc>
        <w:tc>
          <w:tcPr>
            <w:tcW w:w="807" w:type="dxa"/>
            <w:tcBorders>
              <w:left w:val="single" w:sz="8" w:space="0" w:color="000000" w:themeColor="text1"/>
              <w:bottom w:val="single" w:sz="8" w:space="0" w:color="000000" w:themeColor="text1"/>
            </w:tcBorders>
            <w:vAlign w:val="center"/>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1.97</w:t>
            </w:r>
          </w:p>
        </w:tc>
        <w:tc>
          <w:tcPr>
            <w:tcW w:w="871"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169.9</w:t>
            </w:r>
          </w:p>
        </w:tc>
        <w:tc>
          <w:tcPr>
            <w:tcW w:w="871" w:type="dxa"/>
            <w:tcBorders>
              <w:bottom w:val="single" w:sz="8" w:space="0" w:color="000000" w:themeColor="text1"/>
              <w:righ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20.42</w:t>
            </w:r>
          </w:p>
        </w:tc>
        <w:tc>
          <w:tcPr>
            <w:tcW w:w="1151" w:type="dxa"/>
            <w:tcBorders>
              <w:left w:val="single" w:sz="8" w:space="0" w:color="000000" w:themeColor="text1"/>
            </w:tcBorders>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69.98</w:t>
            </w:r>
          </w:p>
        </w:tc>
        <w:tc>
          <w:tcPr>
            <w:tcW w:w="826" w:type="dxa"/>
            <w:vAlign w:val="bottom"/>
            <w:hideMark/>
          </w:tcPr>
          <w:p w:rsidR="00D373A2" w:rsidRPr="00D373A2" w:rsidRDefault="00D373A2" w:rsidP="00D373A2">
            <w:pPr>
              <w:spacing w:after="0"/>
              <w:jc w:val="right"/>
              <w:rPr>
                <w:rFonts w:ascii="Calibri" w:eastAsia="PMingLiU" w:hAnsi="Calibri" w:cs="Calibri"/>
                <w:b/>
                <w:bCs/>
                <w:color w:val="000000"/>
                <w:sz w:val="20"/>
                <w:szCs w:val="20"/>
                <w:lang w:eastAsia="ja-JP"/>
              </w:rPr>
            </w:pPr>
            <w:r w:rsidRPr="00D373A2">
              <w:rPr>
                <w:rFonts w:ascii="Calibri" w:hAnsi="Calibri" w:cs="Calibri"/>
                <w:b/>
                <w:bCs/>
                <w:color w:val="000000"/>
                <w:sz w:val="20"/>
                <w:szCs w:val="20"/>
                <w:lang w:eastAsia="ja-JP"/>
              </w:rPr>
              <w:t>65.74</w:t>
            </w:r>
          </w:p>
        </w:tc>
      </w:tr>
    </w:tbl>
    <w:p w:rsidR="007550E3" w:rsidRDefault="00D373A2" w:rsidP="007550E3">
      <w:pPr>
        <w:spacing w:line="480" w:lineRule="auto"/>
      </w:pPr>
      <w:r>
        <w:t xml:space="preserve">* Denotes statistically significant change in precipitation (p&lt;0.05).  Only precipitation was tested for statistical significance).  </w:t>
      </w:r>
      <w:bookmarkStart w:id="240" w:name="_Toc364503720"/>
    </w:p>
    <w:p w:rsidR="00CF7BEE" w:rsidRPr="007550E3" w:rsidRDefault="00CF7BEE" w:rsidP="007550E3">
      <w:pPr>
        <w:pStyle w:val="Tabletitle"/>
        <w:jc w:val="center"/>
      </w:pPr>
      <w:bookmarkStart w:id="241" w:name="_Toc367550614"/>
      <w:r w:rsidRPr="007550E3">
        <w:rPr>
          <w:rFonts w:eastAsiaTheme="majorEastAsia"/>
        </w:rPr>
        <w:lastRenderedPageBreak/>
        <w:t>Table A.3: Summary of Hydrologic Parameters, by GCM, for the summer season</w:t>
      </w:r>
      <w:bookmarkEnd w:id="240"/>
      <w:bookmarkEnd w:id="241"/>
    </w:p>
    <w:tbl>
      <w:tblPr>
        <w:tblW w:w="7438" w:type="dxa"/>
        <w:jc w:val="center"/>
        <w:tblBorders>
          <w:top w:val="single" w:sz="4" w:space="0" w:color="auto"/>
          <w:left w:val="single" w:sz="4" w:space="0" w:color="auto"/>
          <w:bottom w:val="single" w:sz="4" w:space="0" w:color="auto"/>
          <w:right w:val="single" w:sz="4" w:space="0" w:color="auto"/>
        </w:tblBorders>
        <w:tblLook w:val="0020" w:firstRow="1" w:lastRow="0" w:firstColumn="0" w:lastColumn="0" w:noHBand="0" w:noVBand="0"/>
      </w:tblPr>
      <w:tblGrid>
        <w:gridCol w:w="2325"/>
        <w:gridCol w:w="837"/>
        <w:gridCol w:w="707"/>
        <w:gridCol w:w="963"/>
        <w:gridCol w:w="878"/>
        <w:gridCol w:w="850"/>
        <w:gridCol w:w="878"/>
      </w:tblGrid>
      <w:tr w:rsidR="000844CF" w:rsidRPr="006E73F6" w:rsidTr="002B3310">
        <w:trPr>
          <w:jc w:val="center"/>
        </w:trPr>
        <w:tc>
          <w:tcPr>
            <w:tcW w:w="2325" w:type="dxa"/>
            <w:tcBorders>
              <w:top w:val="single" w:sz="4" w:space="0" w:color="auto"/>
              <w:bottom w:val="single" w:sz="4" w:space="0" w:color="auto"/>
              <w:right w:val="single" w:sz="4" w:space="0" w:color="auto"/>
            </w:tcBorders>
          </w:tcPr>
          <w:p w:rsidR="000844CF" w:rsidRPr="00CF7BEE" w:rsidRDefault="000844CF" w:rsidP="004C36A5">
            <w:pPr>
              <w:rPr>
                <w:rFonts w:ascii="Arial Unicode MS" w:eastAsia="Arial Unicode MS" w:hAnsi="Arial Unicode MS"/>
                <w:b/>
                <w:bCs/>
                <w:i/>
                <w:iCs/>
                <w:color w:val="000000"/>
                <w:sz w:val="20"/>
                <w:szCs w:val="20"/>
                <w:shd w:val="clear" w:color="auto" w:fill="FFFFFF"/>
                <w:lang w:eastAsia="ja-JP"/>
              </w:rPr>
            </w:pPr>
          </w:p>
        </w:tc>
        <w:tc>
          <w:tcPr>
            <w:tcW w:w="837" w:type="dxa"/>
            <w:tcBorders>
              <w:top w:val="single" w:sz="4" w:space="0" w:color="auto"/>
              <w:left w:val="single" w:sz="4" w:space="0" w:color="auto"/>
              <w:bottom w:val="single" w:sz="4" w:space="0" w:color="auto"/>
              <w:right w:val="single" w:sz="4" w:space="0" w:color="auto"/>
            </w:tcBorders>
            <w:vAlign w:val="bottom"/>
          </w:tcPr>
          <w:p w:rsidR="000844CF" w:rsidRDefault="000844CF" w:rsidP="000844CF">
            <w:pPr>
              <w:jc w:val="right"/>
              <w:rPr>
                <w:rFonts w:eastAsia="PMingLiU" w:cs="Times New Roman"/>
                <w:b/>
                <w:bCs/>
                <w:color w:val="FFFFFF"/>
                <w:lang w:eastAsia="ja-JP"/>
              </w:rPr>
            </w:pPr>
            <w:r w:rsidRPr="000844CF">
              <w:rPr>
                <w:rFonts w:ascii="Cambria Math" w:hAnsi="Cambria Math"/>
                <w:b/>
                <w:sz w:val="22"/>
                <w:szCs w:val="22"/>
              </w:rPr>
              <w:t>P</w:t>
            </w:r>
          </w:p>
        </w:tc>
        <w:tc>
          <w:tcPr>
            <w:tcW w:w="707" w:type="dxa"/>
            <w:tcBorders>
              <w:top w:val="single" w:sz="4" w:space="0" w:color="auto"/>
              <w:left w:val="single" w:sz="4" w:space="0" w:color="auto"/>
              <w:bottom w:val="single" w:sz="4" w:space="0" w:color="auto"/>
              <w:right w:val="single" w:sz="4" w:space="0" w:color="auto"/>
            </w:tcBorders>
          </w:tcPr>
          <w:p w:rsidR="000844CF" w:rsidRDefault="000844CF" w:rsidP="000844CF">
            <w:pPr>
              <w:jc w:val="right"/>
              <w:rPr>
                <w:rFonts w:eastAsia="PMingLiU" w:cs="Times New Roman"/>
                <w:b/>
                <w:bCs/>
                <w:color w:val="000000"/>
                <w:lang w:eastAsia="ja-JP"/>
              </w:rPr>
            </w:pPr>
            <w:r w:rsidRPr="000844CF">
              <w:rPr>
                <w:rFonts w:ascii="Cambria Math" w:hAnsi="Cambria Math" w:cs="Cambria Math"/>
                <w:b/>
                <w:bCs/>
                <w:color w:val="000000"/>
                <w:sz w:val="22"/>
                <w:szCs w:val="22"/>
              </w:rPr>
              <w:fldChar w:fldCharType="begin"/>
            </w:r>
            <w:r w:rsidRPr="000844CF">
              <w:rPr>
                <w:rFonts w:ascii="Cambria Math" w:hAnsi="Cambria Math" w:cs="Cambria Math"/>
                <w:b/>
                <w:bCs/>
                <w:color w:val="000000"/>
                <w:sz w:val="22"/>
                <w:szCs w:val="22"/>
              </w:rPr>
              <w:instrText xml:space="preserve"> QUOTE </w:instrText>
            </w:r>
            <w:r w:rsidRPr="000844CF">
              <w:rPr>
                <w:noProof/>
                <w:sz w:val="22"/>
                <w:szCs w:val="22"/>
              </w:rPr>
              <w:drawing>
                <wp:inline distT="0" distB="0" distL="0" distR="0" wp14:anchorId="6D49A798" wp14:editId="3DAF6A2E">
                  <wp:extent cx="152400" cy="180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844CF">
              <w:rPr>
                <w:rFonts w:ascii="Cambria Math" w:hAnsi="Cambria Math" w:cs="Cambria Math"/>
                <w:b/>
                <w:bCs/>
                <w:color w:val="000000"/>
                <w:sz w:val="22"/>
                <w:szCs w:val="22"/>
              </w:rPr>
              <w:instrText xml:space="preserve"> </w:instrText>
            </w:r>
            <w:r w:rsidRPr="000844CF">
              <w:rPr>
                <w:rFonts w:ascii="Cambria Math" w:hAnsi="Cambria Math" w:cs="Cambria Math"/>
                <w:b/>
                <w:bCs/>
                <w:color w:val="000000"/>
                <w:sz w:val="22"/>
                <w:szCs w:val="22"/>
              </w:rPr>
              <w:fldChar w:fldCharType="separate"/>
            </w:r>
            <w:r w:rsidRPr="000844CF">
              <w:rPr>
                <w:noProof/>
                <w:sz w:val="22"/>
                <w:szCs w:val="22"/>
              </w:rPr>
              <w:drawing>
                <wp:inline distT="0" distB="0" distL="0" distR="0" wp14:anchorId="0D893936" wp14:editId="64647F91">
                  <wp:extent cx="152400" cy="1809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844CF">
              <w:rPr>
                <w:rFonts w:ascii="Cambria Math" w:hAnsi="Cambria Math" w:cs="Cambria Math"/>
                <w:b/>
                <w:bCs/>
                <w:color w:val="000000"/>
                <w:sz w:val="22"/>
                <w:szCs w:val="22"/>
              </w:rPr>
              <w:fldChar w:fldCharType="end"/>
            </w:r>
            <w:r>
              <w:rPr>
                <w:rFonts w:ascii="Cambria Math" w:hAnsi="Cambria Math" w:cs="Cambria Math"/>
                <w:color w:val="000000"/>
                <w:lang w:eastAsia="ja-JP"/>
              </w:rPr>
              <w:t xml:space="preserve"> </w:t>
            </w:r>
            <w:r w:rsidRPr="000844CF">
              <w:rPr>
                <w:rFonts w:ascii="Cambria Math" w:hAnsi="Cambria Math" w:cs="Cambria Math"/>
                <w:color w:val="000000"/>
                <w:sz w:val="22"/>
                <w:szCs w:val="22"/>
                <w:lang w:eastAsia="ja-JP"/>
              </w:rPr>
              <w:t>(</w:t>
            </w:r>
            <w:r w:rsidRPr="000844CF">
              <w:rPr>
                <w:rFonts w:ascii="Cambria Math" w:hAnsi="Cambria Math" w:cs="Cambria Math"/>
                <w:color w:val="000000"/>
                <w:sz w:val="22"/>
                <w:szCs w:val="22"/>
                <w:vertAlign w:val="superscript"/>
                <w:lang w:eastAsia="ja-JP"/>
              </w:rPr>
              <w:t>O</w:t>
            </w:r>
            <w:r w:rsidRPr="000844CF">
              <w:rPr>
                <w:rFonts w:ascii="Cambria Math" w:hAnsi="Cambria Math" w:cs="Cambria Math"/>
                <w:color w:val="000000"/>
                <w:sz w:val="22"/>
                <w:szCs w:val="22"/>
                <w:lang w:eastAsia="ja-JP"/>
              </w:rPr>
              <w:t>C)</w:t>
            </w:r>
          </w:p>
        </w:tc>
        <w:tc>
          <w:tcPr>
            <w:tcW w:w="963" w:type="dxa"/>
            <w:tcBorders>
              <w:top w:val="single" w:sz="4" w:space="0" w:color="auto"/>
              <w:left w:val="single" w:sz="4" w:space="0" w:color="auto"/>
              <w:bottom w:val="single" w:sz="4" w:space="0" w:color="auto"/>
              <w:right w:val="nil"/>
            </w:tcBorders>
            <w:vAlign w:val="bottom"/>
          </w:tcPr>
          <w:p w:rsidR="000844CF" w:rsidRDefault="000844CF" w:rsidP="000844CF">
            <w:pPr>
              <w:jc w:val="right"/>
              <w:rPr>
                <w:rFonts w:ascii="Calibri" w:eastAsia="PMingLiU" w:hAnsi="Calibri" w:cs="Calibri"/>
                <w:b/>
                <w:bCs/>
                <w:color w:val="000000"/>
                <w:lang w:eastAsia="ja-JP"/>
              </w:rPr>
            </w:pPr>
            <w:r w:rsidRPr="004C36A5">
              <w:rPr>
                <w:rFonts w:ascii="Cambria Math" w:hAnsi="Cambria Math"/>
                <w:b/>
                <w:color w:val="000000"/>
                <w:sz w:val="22"/>
                <w:szCs w:val="22"/>
              </w:rPr>
              <w:t>r</w:t>
            </w:r>
            <w:r w:rsidRPr="004C36A5">
              <w:rPr>
                <w:rFonts w:ascii="Cambria Math" w:hAnsi="Cambria Math"/>
                <w:b/>
                <w:color w:val="000000"/>
                <w:sz w:val="22"/>
                <w:szCs w:val="22"/>
                <w:vertAlign w:val="subscript"/>
              </w:rPr>
              <w:t>s</w:t>
            </w:r>
          </w:p>
        </w:tc>
        <w:tc>
          <w:tcPr>
            <w:tcW w:w="878" w:type="dxa"/>
            <w:tcBorders>
              <w:top w:val="single" w:sz="4" w:space="0" w:color="auto"/>
              <w:left w:val="nil"/>
              <w:bottom w:val="single" w:sz="4" w:space="0" w:color="auto"/>
              <w:right w:val="single" w:sz="4" w:space="0" w:color="auto"/>
            </w:tcBorders>
            <w:vAlign w:val="bottom"/>
          </w:tcPr>
          <w:p w:rsidR="000844CF" w:rsidRDefault="000844CF" w:rsidP="000844CF">
            <w:pPr>
              <w:jc w:val="right"/>
              <w:rPr>
                <w:rFonts w:ascii="Calibri" w:eastAsia="PMingLiU" w:hAnsi="Calibri" w:cs="Calibri"/>
                <w:b/>
                <w:bCs/>
                <w:color w:val="000000"/>
                <w:lang w:eastAsia="ja-JP"/>
              </w:rPr>
            </w:pPr>
            <w:r w:rsidRPr="004C36A5">
              <w:rPr>
                <w:rFonts w:ascii="Cambria Math" w:hAnsi="Cambria Math"/>
                <w:b/>
                <w:sz w:val="22"/>
                <w:szCs w:val="22"/>
              </w:rPr>
              <w:t>eT</w:t>
            </w:r>
          </w:p>
        </w:tc>
        <w:tc>
          <w:tcPr>
            <w:tcW w:w="850" w:type="dxa"/>
            <w:tcBorders>
              <w:top w:val="single" w:sz="4" w:space="0" w:color="auto"/>
              <w:left w:val="single" w:sz="4" w:space="0" w:color="auto"/>
              <w:bottom w:val="single" w:sz="4" w:space="0" w:color="auto"/>
            </w:tcBorders>
            <w:vAlign w:val="bottom"/>
          </w:tcPr>
          <w:p w:rsidR="000844CF" w:rsidRPr="00CF7BEE" w:rsidRDefault="000844CF" w:rsidP="004C36A5">
            <w:pPr>
              <w:jc w:val="right"/>
              <w:rPr>
                <w:rFonts w:ascii="Calibri" w:hAnsi="Calibri" w:cs="Calibri"/>
                <w:b/>
                <w:bCs/>
                <w:i/>
                <w:iCs/>
                <w:color w:val="000000"/>
                <w:sz w:val="20"/>
                <w:szCs w:val="20"/>
                <w:lang w:eastAsia="ja-JP"/>
              </w:rPr>
            </w:pPr>
          </w:p>
        </w:tc>
        <w:tc>
          <w:tcPr>
            <w:tcW w:w="878" w:type="dxa"/>
            <w:tcBorders>
              <w:top w:val="single" w:sz="4" w:space="0" w:color="auto"/>
              <w:bottom w:val="single" w:sz="4" w:space="0" w:color="auto"/>
            </w:tcBorders>
            <w:vAlign w:val="bottom"/>
          </w:tcPr>
          <w:p w:rsidR="000844CF" w:rsidRPr="00CF7BEE" w:rsidRDefault="000844CF" w:rsidP="004C36A5">
            <w:pPr>
              <w:jc w:val="right"/>
              <w:rPr>
                <w:rFonts w:ascii="Calibri" w:hAnsi="Calibri" w:cs="Calibri"/>
                <w:b/>
                <w:bCs/>
                <w:i/>
                <w:iCs/>
                <w:color w:val="000000"/>
                <w:sz w:val="20"/>
                <w:szCs w:val="20"/>
                <w:lang w:eastAsia="ja-JP"/>
              </w:rPr>
            </w:pPr>
          </w:p>
        </w:tc>
      </w:tr>
      <w:tr w:rsidR="004C36A5" w:rsidRPr="006E73F6" w:rsidTr="000844CF">
        <w:trPr>
          <w:trHeight w:val="728"/>
          <w:jc w:val="center"/>
        </w:trPr>
        <w:tc>
          <w:tcPr>
            <w:tcW w:w="2325" w:type="dxa"/>
            <w:tcBorders>
              <w:top w:val="single" w:sz="4" w:space="0" w:color="auto"/>
              <w:bottom w:val="single" w:sz="4" w:space="0" w:color="auto"/>
              <w:right w:val="single" w:sz="4" w:space="0" w:color="auto"/>
            </w:tcBorders>
          </w:tcPr>
          <w:p w:rsidR="004C36A5" w:rsidRPr="00CF7BEE" w:rsidRDefault="004C36A5" w:rsidP="004C36A5">
            <w:pPr>
              <w:rPr>
                <w:rFonts w:ascii="Arial Unicode MS" w:eastAsia="Arial Unicode MS" w:hAnsi="Arial Unicode MS" w:cs="Arial Unicode MS"/>
                <w:i/>
                <w:iCs/>
                <w:color w:val="000000"/>
                <w:sz w:val="20"/>
                <w:szCs w:val="20"/>
                <w:shd w:val="clear" w:color="auto" w:fill="FFFFFF"/>
                <w:lang w:eastAsia="ja-JP"/>
              </w:rPr>
            </w:pPr>
            <w:r w:rsidRPr="00CF7BEE">
              <w:rPr>
                <w:rFonts w:ascii="Arial Unicode MS" w:eastAsia="Arial Unicode MS" w:hAnsi="Arial Unicode MS" w:cs="Arial Unicode MS"/>
                <w:i/>
                <w:iCs/>
                <w:color w:val="000000"/>
                <w:sz w:val="20"/>
                <w:szCs w:val="20"/>
                <w:shd w:val="clear" w:color="auto" w:fill="FFFFFF"/>
                <w:lang w:eastAsia="ja-JP"/>
              </w:rPr>
              <w:t>Avg Obs Value for Parameter (mm H</w:t>
            </w:r>
            <w:r w:rsidRPr="00CF7BEE">
              <w:rPr>
                <w:rFonts w:ascii="Arial Unicode MS" w:eastAsia="Arial Unicode MS" w:hAnsi="Arial Unicode MS" w:cs="Arial Unicode MS"/>
                <w:i/>
                <w:iCs/>
                <w:color w:val="000000"/>
                <w:sz w:val="20"/>
                <w:szCs w:val="20"/>
                <w:shd w:val="clear" w:color="auto" w:fill="FFFFFF"/>
                <w:vertAlign w:val="subscript"/>
                <w:lang w:eastAsia="ja-JP"/>
              </w:rPr>
              <w:t>2</w:t>
            </w:r>
            <w:r w:rsidRPr="00CF7BEE">
              <w:rPr>
                <w:rFonts w:ascii="Arial Unicode MS" w:eastAsia="Arial Unicode MS" w:hAnsi="Arial Unicode MS" w:cs="Arial Unicode MS"/>
                <w:i/>
                <w:iCs/>
                <w:color w:val="000000"/>
                <w:sz w:val="20"/>
                <w:szCs w:val="20"/>
                <w:shd w:val="clear" w:color="auto" w:fill="FFFFFF"/>
                <w:lang w:eastAsia="ja-JP"/>
              </w:rPr>
              <w:t>0)</w:t>
            </w:r>
          </w:p>
        </w:tc>
        <w:tc>
          <w:tcPr>
            <w:tcW w:w="837" w:type="dxa"/>
            <w:tcBorders>
              <w:top w:val="single" w:sz="4" w:space="0" w:color="auto"/>
              <w:left w:val="single" w:sz="4" w:space="0" w:color="auto"/>
              <w:bottom w:val="single" w:sz="4" w:space="0" w:color="auto"/>
              <w:right w:val="single" w:sz="4" w:space="0" w:color="auto"/>
            </w:tcBorders>
            <w:vAlign w:val="bottom"/>
          </w:tcPr>
          <w:p w:rsidR="004C36A5" w:rsidRPr="00CF7BEE" w:rsidRDefault="004C36A5" w:rsidP="004C36A5">
            <w:pPr>
              <w:jc w:val="right"/>
              <w:rPr>
                <w:rFonts w:ascii="Calibri" w:hAnsi="Calibri" w:cs="Calibri"/>
                <w:b/>
                <w:bCs/>
                <w:i/>
                <w:iCs/>
                <w:color w:val="000000"/>
                <w:sz w:val="20"/>
                <w:szCs w:val="20"/>
                <w:lang w:eastAsia="ja-JP"/>
              </w:rPr>
            </w:pPr>
            <w:r>
              <w:rPr>
                <w:rFonts w:ascii="Calibri" w:hAnsi="Calibri" w:cs="Calibri"/>
                <w:b/>
                <w:bCs/>
                <w:i/>
                <w:iCs/>
                <w:color w:val="000000"/>
                <w:sz w:val="20"/>
                <w:szCs w:val="20"/>
                <w:lang w:eastAsia="ja-JP"/>
              </w:rPr>
              <w:t>308</w:t>
            </w:r>
          </w:p>
        </w:tc>
        <w:tc>
          <w:tcPr>
            <w:tcW w:w="707" w:type="dxa"/>
            <w:tcBorders>
              <w:top w:val="single" w:sz="4" w:space="0" w:color="auto"/>
              <w:left w:val="single" w:sz="4" w:space="0" w:color="auto"/>
              <w:bottom w:val="single" w:sz="4" w:space="0" w:color="auto"/>
              <w:right w:val="single" w:sz="4" w:space="0" w:color="auto"/>
            </w:tcBorders>
            <w:vAlign w:val="bottom"/>
          </w:tcPr>
          <w:p w:rsidR="004C36A5" w:rsidRPr="004C36A5" w:rsidRDefault="004C36A5" w:rsidP="004C36A5">
            <w:pPr>
              <w:jc w:val="right"/>
              <w:rPr>
                <w:rFonts w:ascii="Calibri" w:hAnsi="Calibri" w:cs="Calibri"/>
                <w:b/>
                <w:i/>
                <w:color w:val="000000"/>
                <w:sz w:val="20"/>
                <w:szCs w:val="20"/>
                <w:lang w:eastAsia="ja-JP"/>
              </w:rPr>
            </w:pPr>
            <w:r w:rsidRPr="004C36A5">
              <w:rPr>
                <w:rFonts w:ascii="Calibri" w:hAnsi="Calibri" w:cs="Calibri"/>
                <w:b/>
                <w:i/>
                <w:color w:val="000000"/>
                <w:sz w:val="20"/>
                <w:szCs w:val="20"/>
                <w:lang w:eastAsia="ja-JP"/>
              </w:rPr>
              <w:t>27.03</w:t>
            </w:r>
          </w:p>
        </w:tc>
        <w:tc>
          <w:tcPr>
            <w:tcW w:w="963" w:type="dxa"/>
            <w:tcBorders>
              <w:top w:val="single" w:sz="4" w:space="0" w:color="auto"/>
              <w:left w:val="single" w:sz="4" w:space="0" w:color="auto"/>
              <w:bottom w:val="single" w:sz="4" w:space="0" w:color="auto"/>
              <w:right w:val="nil"/>
            </w:tcBorders>
            <w:vAlign w:val="bottom"/>
          </w:tcPr>
          <w:p w:rsidR="004C36A5" w:rsidRPr="00CF7BEE" w:rsidRDefault="004C36A5" w:rsidP="004C36A5">
            <w:pPr>
              <w:jc w:val="right"/>
              <w:rPr>
                <w:rFonts w:ascii="Calibri" w:hAnsi="Calibri" w:cs="Calibri"/>
                <w:b/>
                <w:bCs/>
                <w:i/>
                <w:iCs/>
                <w:color w:val="000000"/>
                <w:sz w:val="20"/>
                <w:szCs w:val="20"/>
                <w:lang w:eastAsia="ja-JP"/>
              </w:rPr>
            </w:pPr>
            <w:r>
              <w:rPr>
                <w:rFonts w:ascii="Calibri" w:hAnsi="Calibri" w:cs="Calibri"/>
                <w:b/>
                <w:bCs/>
                <w:i/>
                <w:iCs/>
                <w:color w:val="000000"/>
                <w:sz w:val="20"/>
                <w:szCs w:val="20"/>
                <w:lang w:eastAsia="ja-JP"/>
              </w:rPr>
              <w:t>31</w:t>
            </w:r>
          </w:p>
        </w:tc>
        <w:tc>
          <w:tcPr>
            <w:tcW w:w="878" w:type="dxa"/>
            <w:tcBorders>
              <w:top w:val="single" w:sz="4" w:space="0" w:color="auto"/>
              <w:left w:val="nil"/>
              <w:bottom w:val="single" w:sz="4" w:space="0" w:color="auto"/>
              <w:right w:val="single" w:sz="4" w:space="0" w:color="auto"/>
            </w:tcBorders>
            <w:vAlign w:val="bottom"/>
          </w:tcPr>
          <w:p w:rsidR="004C36A5" w:rsidRPr="00CF7BEE" w:rsidRDefault="004C36A5" w:rsidP="004C36A5">
            <w:pPr>
              <w:jc w:val="right"/>
              <w:rPr>
                <w:rFonts w:ascii="Calibri" w:hAnsi="Calibri" w:cs="Calibri"/>
                <w:b/>
                <w:bCs/>
                <w:i/>
                <w:iCs/>
                <w:color w:val="000000"/>
                <w:sz w:val="20"/>
                <w:szCs w:val="20"/>
                <w:lang w:eastAsia="ja-JP"/>
              </w:rPr>
            </w:pPr>
            <w:r>
              <w:rPr>
                <w:rFonts w:ascii="Calibri" w:hAnsi="Calibri" w:cs="Calibri"/>
                <w:b/>
                <w:bCs/>
                <w:i/>
                <w:iCs/>
                <w:color w:val="000000"/>
                <w:sz w:val="20"/>
                <w:szCs w:val="20"/>
                <w:lang w:eastAsia="ja-JP"/>
              </w:rPr>
              <w:t>243</w:t>
            </w:r>
          </w:p>
        </w:tc>
        <w:tc>
          <w:tcPr>
            <w:tcW w:w="850" w:type="dxa"/>
            <w:tcBorders>
              <w:top w:val="single" w:sz="4" w:space="0" w:color="auto"/>
              <w:left w:val="single" w:sz="4" w:space="0" w:color="auto"/>
              <w:bottom w:val="single" w:sz="4" w:space="0" w:color="auto"/>
            </w:tcBorders>
            <w:vAlign w:val="bottom"/>
          </w:tcPr>
          <w:p w:rsidR="004C36A5" w:rsidRPr="00CF7BEE" w:rsidRDefault="004C36A5" w:rsidP="004C36A5">
            <w:pPr>
              <w:jc w:val="right"/>
              <w:rPr>
                <w:rFonts w:ascii="Calibri" w:hAnsi="Calibri" w:cs="Calibri"/>
                <w:b/>
                <w:bCs/>
                <w:i/>
                <w:iCs/>
                <w:color w:val="000000"/>
                <w:sz w:val="20"/>
                <w:szCs w:val="20"/>
                <w:lang w:eastAsia="ja-JP"/>
              </w:rPr>
            </w:pPr>
          </w:p>
        </w:tc>
        <w:tc>
          <w:tcPr>
            <w:tcW w:w="878" w:type="dxa"/>
            <w:tcBorders>
              <w:top w:val="single" w:sz="4" w:space="0" w:color="auto"/>
              <w:bottom w:val="single" w:sz="4" w:space="0" w:color="auto"/>
            </w:tcBorders>
            <w:vAlign w:val="bottom"/>
          </w:tcPr>
          <w:p w:rsidR="004C36A5" w:rsidRPr="00CF7BEE" w:rsidRDefault="004C36A5" w:rsidP="004C36A5">
            <w:pPr>
              <w:jc w:val="right"/>
              <w:rPr>
                <w:rFonts w:ascii="Calibri" w:hAnsi="Calibri" w:cs="Calibri"/>
                <w:b/>
                <w:bCs/>
                <w:i/>
                <w:iCs/>
                <w:color w:val="000000"/>
                <w:sz w:val="20"/>
                <w:szCs w:val="20"/>
                <w:lang w:eastAsia="ja-JP"/>
              </w:rPr>
            </w:pPr>
          </w:p>
        </w:tc>
      </w:tr>
      <w:tr w:rsidR="00CF7BEE" w:rsidRPr="006E73F6" w:rsidTr="000844CF">
        <w:trPr>
          <w:jc w:val="center"/>
        </w:trPr>
        <w:tc>
          <w:tcPr>
            <w:tcW w:w="2325" w:type="dxa"/>
            <w:tcBorders>
              <w:top w:val="single" w:sz="4" w:space="0" w:color="auto"/>
              <w:bottom w:val="single" w:sz="4" w:space="0" w:color="auto"/>
              <w:right w:val="single" w:sz="4" w:space="0" w:color="auto"/>
            </w:tcBorders>
          </w:tcPr>
          <w:p w:rsidR="00CF7BEE" w:rsidRPr="00CF7BEE" w:rsidRDefault="00CF7BEE" w:rsidP="004C36A5">
            <w:pPr>
              <w:rPr>
                <w:rFonts w:ascii="Arial Unicode MS" w:eastAsia="Arial Unicode MS" w:hAnsi="Arial Unicode MS"/>
                <w:i/>
                <w:iCs/>
                <w:color w:val="000000"/>
                <w:sz w:val="20"/>
                <w:szCs w:val="20"/>
                <w:shd w:val="clear" w:color="auto" w:fill="FFFFFF"/>
                <w:lang w:eastAsia="ja-JP"/>
              </w:rPr>
            </w:pPr>
          </w:p>
        </w:tc>
        <w:tc>
          <w:tcPr>
            <w:tcW w:w="837" w:type="dxa"/>
            <w:tcBorders>
              <w:top w:val="single" w:sz="4" w:space="0" w:color="auto"/>
              <w:left w:val="single" w:sz="4" w:space="0" w:color="auto"/>
              <w:bottom w:val="single" w:sz="4" w:space="0" w:color="auto"/>
              <w:right w:val="single" w:sz="4" w:space="0" w:color="auto"/>
            </w:tcBorders>
            <w:vAlign w:val="bottom"/>
          </w:tcPr>
          <w:p w:rsidR="00CF7BEE" w:rsidRPr="00CF7BEE" w:rsidRDefault="00CF7BEE" w:rsidP="004C36A5">
            <w:pPr>
              <w:jc w:val="right"/>
              <w:rPr>
                <w:rFonts w:ascii="Calibri" w:hAnsi="Calibri" w:cs="Calibri"/>
                <w:b/>
                <w:bCs/>
                <w:i/>
                <w:iCs/>
                <w:color w:val="000000"/>
                <w:sz w:val="20"/>
                <w:szCs w:val="20"/>
                <w:lang w:eastAsia="ja-JP"/>
              </w:rPr>
            </w:pPr>
          </w:p>
        </w:tc>
        <w:tc>
          <w:tcPr>
            <w:tcW w:w="707" w:type="dxa"/>
            <w:tcBorders>
              <w:top w:val="single" w:sz="4" w:space="0" w:color="auto"/>
              <w:left w:val="single" w:sz="4" w:space="0" w:color="auto"/>
              <w:bottom w:val="single" w:sz="4" w:space="0" w:color="auto"/>
              <w:right w:val="single" w:sz="4" w:space="0" w:color="000000" w:themeColor="text1"/>
            </w:tcBorders>
          </w:tcPr>
          <w:p w:rsidR="00CF7BEE" w:rsidRPr="00CF7BEE" w:rsidRDefault="00CF7BEE" w:rsidP="004C36A5">
            <w:pPr>
              <w:jc w:val="right"/>
              <w:rPr>
                <w:rFonts w:ascii="Calibri" w:hAnsi="Calibri" w:cs="Calibri"/>
                <w:color w:val="000000"/>
                <w:sz w:val="20"/>
                <w:szCs w:val="20"/>
                <w:lang w:eastAsia="ja-JP"/>
              </w:rPr>
            </w:pPr>
          </w:p>
        </w:tc>
        <w:tc>
          <w:tcPr>
            <w:tcW w:w="1841" w:type="dxa"/>
            <w:gridSpan w:val="2"/>
            <w:tcBorders>
              <w:top w:val="single" w:sz="4" w:space="0" w:color="auto"/>
              <w:left w:val="single" w:sz="4" w:space="0" w:color="000000" w:themeColor="text1"/>
              <w:bottom w:val="single" w:sz="4" w:space="0" w:color="auto"/>
              <w:right w:val="single" w:sz="4" w:space="0" w:color="auto"/>
            </w:tcBorders>
            <w:shd w:val="clear" w:color="auto" w:fill="DAEEF3"/>
            <w:vAlign w:val="bottom"/>
          </w:tcPr>
          <w:p w:rsidR="00CF7BEE" w:rsidRPr="004C36A5" w:rsidRDefault="00CF7BEE" w:rsidP="004C36A5">
            <w:pPr>
              <w:jc w:val="center"/>
              <w:rPr>
                <w:rFonts w:asciiTheme="majorHAnsi" w:hAnsiTheme="majorHAnsi" w:cstheme="majorHAnsi"/>
                <w:b/>
                <w:bCs/>
                <w:color w:val="000000"/>
                <w:sz w:val="20"/>
                <w:szCs w:val="20"/>
                <w:lang w:eastAsia="ja-JP"/>
              </w:rPr>
            </w:pPr>
            <w:r w:rsidRPr="004C36A5">
              <w:rPr>
                <w:rFonts w:asciiTheme="majorHAnsi" w:hAnsiTheme="majorHAnsi" w:cstheme="majorHAnsi"/>
                <w:b/>
                <w:bCs/>
                <w:color w:val="000000"/>
                <w:sz w:val="20"/>
                <w:szCs w:val="20"/>
                <w:lang w:eastAsia="ja-JP"/>
              </w:rPr>
              <w:t>Climate Change Only</w:t>
            </w:r>
          </w:p>
        </w:tc>
        <w:tc>
          <w:tcPr>
            <w:tcW w:w="1728" w:type="dxa"/>
            <w:gridSpan w:val="2"/>
            <w:tcBorders>
              <w:top w:val="single" w:sz="4" w:space="0" w:color="auto"/>
              <w:left w:val="single" w:sz="4" w:space="0" w:color="auto"/>
              <w:bottom w:val="single" w:sz="4" w:space="0" w:color="auto"/>
            </w:tcBorders>
            <w:shd w:val="clear" w:color="auto" w:fill="DAEEF3"/>
            <w:vAlign w:val="bottom"/>
          </w:tcPr>
          <w:p w:rsidR="00CF7BEE" w:rsidRPr="004C36A5" w:rsidRDefault="00CF7BEE" w:rsidP="004C36A5">
            <w:pPr>
              <w:jc w:val="center"/>
              <w:rPr>
                <w:rFonts w:asciiTheme="majorHAnsi" w:hAnsiTheme="majorHAnsi" w:cstheme="majorHAnsi"/>
                <w:b/>
                <w:bCs/>
                <w:color w:val="000000"/>
                <w:sz w:val="20"/>
                <w:szCs w:val="20"/>
                <w:lang w:eastAsia="ja-JP"/>
              </w:rPr>
            </w:pPr>
            <w:r w:rsidRPr="004C36A5">
              <w:rPr>
                <w:rFonts w:asciiTheme="majorHAnsi" w:hAnsiTheme="majorHAnsi" w:cstheme="majorHAnsi"/>
                <w:b/>
                <w:bCs/>
                <w:color w:val="000000"/>
                <w:sz w:val="20"/>
                <w:szCs w:val="20"/>
                <w:lang w:eastAsia="ja-JP"/>
              </w:rPr>
              <w:t>Climate Change + Switchgrass</w:t>
            </w:r>
          </w:p>
        </w:tc>
      </w:tr>
      <w:tr w:rsidR="000844CF" w:rsidRPr="00467F8C" w:rsidTr="002B3310">
        <w:trPr>
          <w:jc w:val="center"/>
        </w:trPr>
        <w:tc>
          <w:tcPr>
            <w:tcW w:w="2325" w:type="dxa"/>
            <w:tcBorders>
              <w:top w:val="single" w:sz="4" w:space="0" w:color="auto"/>
              <w:bottom w:val="single" w:sz="4" w:space="0" w:color="auto"/>
              <w:right w:val="single" w:sz="4" w:space="0" w:color="auto"/>
            </w:tcBorders>
          </w:tcPr>
          <w:p w:rsidR="000844CF" w:rsidRDefault="000844CF" w:rsidP="000844CF">
            <w:pPr>
              <w:rPr>
                <w:rFonts w:ascii="Arial Unicode MS" w:eastAsia="Arial Unicode MS" w:hAnsi="Arial Unicode MS" w:cs="Arial Unicode MS"/>
                <w:b/>
                <w:bCs/>
                <w:color w:val="000000"/>
                <w:sz w:val="22"/>
                <w:szCs w:val="22"/>
                <w:shd w:val="clear" w:color="auto" w:fill="FFFFFF"/>
                <w:lang w:eastAsia="ja-JP"/>
              </w:rPr>
            </w:pPr>
            <w:r>
              <w:rPr>
                <w:rFonts w:ascii="Arial Unicode MS" w:eastAsia="Arial Unicode MS" w:hAnsi="Arial Unicode MS" w:cs="Arial Unicode MS" w:hint="eastAsia"/>
                <w:b/>
                <w:bCs/>
                <w:color w:val="000000"/>
                <w:sz w:val="22"/>
                <w:szCs w:val="22"/>
                <w:shd w:val="clear" w:color="auto" w:fill="FFFFFF"/>
                <w:lang w:eastAsia="ja-JP"/>
              </w:rPr>
              <w:t>GCM</w:t>
            </w:r>
          </w:p>
        </w:tc>
        <w:tc>
          <w:tcPr>
            <w:tcW w:w="837" w:type="dxa"/>
            <w:tcBorders>
              <w:top w:val="single" w:sz="4" w:space="0" w:color="auto"/>
              <w:left w:val="single" w:sz="4" w:space="0" w:color="auto"/>
              <w:bottom w:val="single" w:sz="4" w:space="0" w:color="auto"/>
              <w:right w:val="single" w:sz="4" w:space="0" w:color="auto"/>
            </w:tcBorders>
            <w:vAlign w:val="bottom"/>
          </w:tcPr>
          <w:p w:rsidR="000844CF" w:rsidRPr="000844CF" w:rsidRDefault="000844CF" w:rsidP="000844CF">
            <w:pPr>
              <w:jc w:val="right"/>
              <w:rPr>
                <w:rFonts w:ascii="Cambria Math" w:eastAsia="PMingLiU" w:hAnsi="Cambria Math" w:cs="Calibri"/>
                <w:b/>
                <w:bCs/>
                <w:color w:val="000000"/>
                <w:lang w:eastAsia="ja-JP"/>
              </w:rPr>
            </w:pPr>
            <w:r w:rsidRPr="000844CF">
              <w:rPr>
                <w:rFonts w:ascii="Cambria Math" w:hAnsi="Cambria Math"/>
                <w:b/>
                <w:sz w:val="22"/>
                <w:szCs w:val="22"/>
              </w:rPr>
              <w:t>%ΔP</w:t>
            </w:r>
          </w:p>
        </w:tc>
        <w:tc>
          <w:tcPr>
            <w:tcW w:w="707" w:type="dxa"/>
            <w:tcBorders>
              <w:top w:val="single" w:sz="4" w:space="0" w:color="auto"/>
              <w:left w:val="single" w:sz="4" w:space="0" w:color="auto"/>
              <w:bottom w:val="single" w:sz="4" w:space="0" w:color="auto"/>
              <w:right w:val="single" w:sz="4" w:space="0" w:color="auto"/>
            </w:tcBorders>
          </w:tcPr>
          <w:p w:rsidR="000844CF" w:rsidRPr="000844CF" w:rsidRDefault="000844CF" w:rsidP="000844CF">
            <w:pPr>
              <w:jc w:val="right"/>
              <w:rPr>
                <w:rFonts w:ascii="Cambria Math" w:eastAsia="PMingLiU" w:hAnsi="Cambria Math" w:cs="Times New Roman"/>
                <w:b/>
                <w:bCs/>
                <w:color w:val="000000"/>
                <w:sz w:val="22"/>
                <w:szCs w:val="22"/>
                <w:lang w:eastAsia="ja-JP"/>
              </w:rPr>
            </w:pPr>
            <w:r w:rsidRPr="000844CF">
              <w:rPr>
                <w:rFonts w:ascii="Cambria Math" w:hAnsi="Cambria Math"/>
                <w:b/>
                <w:sz w:val="22"/>
                <w:szCs w:val="22"/>
              </w:rPr>
              <w:t>ΔT</w:t>
            </w:r>
            <w:r w:rsidRPr="000844CF">
              <w:rPr>
                <w:rFonts w:ascii="Cambria Math" w:hAnsi="Cambria Math" w:cs="Cambria Math"/>
                <w:b/>
                <w:bCs/>
                <w:color w:val="000000"/>
                <w:sz w:val="22"/>
                <w:szCs w:val="22"/>
                <w:lang w:eastAsia="ja-JP"/>
              </w:rPr>
              <w:t xml:space="preserve"> (</w:t>
            </w:r>
            <w:r w:rsidRPr="000844CF">
              <w:rPr>
                <w:rFonts w:ascii="Cambria Math" w:hAnsi="Cambria Math" w:cs="Cambria Math"/>
                <w:b/>
                <w:bCs/>
                <w:color w:val="000000"/>
                <w:sz w:val="22"/>
                <w:szCs w:val="22"/>
                <w:vertAlign w:val="superscript"/>
                <w:lang w:eastAsia="ja-JP"/>
              </w:rPr>
              <w:t>O</w:t>
            </w:r>
            <w:r w:rsidRPr="000844CF">
              <w:rPr>
                <w:rFonts w:ascii="Cambria Math" w:hAnsi="Cambria Math" w:cs="Cambria Math"/>
                <w:b/>
                <w:bCs/>
                <w:color w:val="000000"/>
                <w:sz w:val="22"/>
                <w:szCs w:val="22"/>
                <w:lang w:eastAsia="ja-JP"/>
              </w:rPr>
              <w:t>C)</w:t>
            </w:r>
          </w:p>
        </w:tc>
        <w:tc>
          <w:tcPr>
            <w:tcW w:w="963" w:type="dxa"/>
            <w:tcBorders>
              <w:top w:val="single" w:sz="4" w:space="0" w:color="auto"/>
              <w:left w:val="single" w:sz="4" w:space="0" w:color="auto"/>
              <w:bottom w:val="single" w:sz="4" w:space="0" w:color="auto"/>
              <w:right w:val="nil"/>
            </w:tcBorders>
            <w:vAlign w:val="bottom"/>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color w:val="000000"/>
                <w:sz w:val="22"/>
                <w:szCs w:val="22"/>
              </w:rPr>
              <w:t>%Δr</w:t>
            </w:r>
            <w:r w:rsidRPr="004C36A5">
              <w:rPr>
                <w:rFonts w:ascii="Cambria Math" w:hAnsi="Cambria Math"/>
                <w:b/>
                <w:color w:val="000000"/>
                <w:sz w:val="22"/>
                <w:szCs w:val="22"/>
                <w:vertAlign w:val="subscript"/>
              </w:rPr>
              <w:t>s</w:t>
            </w:r>
          </w:p>
        </w:tc>
        <w:tc>
          <w:tcPr>
            <w:tcW w:w="878" w:type="dxa"/>
            <w:tcBorders>
              <w:top w:val="single" w:sz="4" w:space="0" w:color="auto"/>
              <w:left w:val="nil"/>
              <w:bottom w:val="single" w:sz="4" w:space="0" w:color="auto"/>
              <w:right w:val="single" w:sz="4" w:space="0" w:color="auto"/>
            </w:tcBorders>
            <w:vAlign w:val="bottom"/>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sz w:val="22"/>
                <w:szCs w:val="22"/>
              </w:rPr>
              <w:t>%ΔeT</w:t>
            </w:r>
          </w:p>
        </w:tc>
        <w:tc>
          <w:tcPr>
            <w:tcW w:w="850" w:type="dxa"/>
            <w:tcBorders>
              <w:top w:val="single" w:sz="4" w:space="0" w:color="auto"/>
              <w:left w:val="single" w:sz="4" w:space="0" w:color="auto"/>
              <w:bottom w:val="single" w:sz="4" w:space="0" w:color="auto"/>
            </w:tcBorders>
            <w:vAlign w:val="bottom"/>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color w:val="000000"/>
                <w:sz w:val="22"/>
                <w:szCs w:val="22"/>
              </w:rPr>
              <w:t>%Δr</w:t>
            </w:r>
            <w:r w:rsidRPr="004C36A5">
              <w:rPr>
                <w:rFonts w:ascii="Cambria Math" w:hAnsi="Cambria Math"/>
                <w:b/>
                <w:color w:val="000000"/>
                <w:sz w:val="22"/>
                <w:szCs w:val="22"/>
                <w:vertAlign w:val="subscript"/>
              </w:rPr>
              <w:t>s</w:t>
            </w:r>
          </w:p>
        </w:tc>
        <w:tc>
          <w:tcPr>
            <w:tcW w:w="878" w:type="dxa"/>
            <w:tcBorders>
              <w:top w:val="single" w:sz="4" w:space="0" w:color="auto"/>
              <w:bottom w:val="single" w:sz="4" w:space="0" w:color="auto"/>
            </w:tcBorders>
            <w:vAlign w:val="bottom"/>
          </w:tcPr>
          <w:p w:rsidR="000844CF" w:rsidRPr="004C36A5" w:rsidRDefault="000844CF" w:rsidP="000844CF">
            <w:pPr>
              <w:jc w:val="right"/>
              <w:rPr>
                <w:rFonts w:ascii="Calibri" w:hAnsi="Calibri" w:cs="Calibri"/>
                <w:b/>
                <w:bCs/>
                <w:color w:val="000000"/>
                <w:sz w:val="20"/>
                <w:szCs w:val="20"/>
                <w:lang w:eastAsia="ja-JP"/>
              </w:rPr>
            </w:pPr>
            <w:r w:rsidRPr="004C36A5">
              <w:rPr>
                <w:rFonts w:ascii="Cambria Math" w:hAnsi="Cambria Math"/>
                <w:b/>
                <w:sz w:val="22"/>
                <w:szCs w:val="22"/>
              </w:rPr>
              <w:t>%ΔeT</w:t>
            </w:r>
          </w:p>
        </w:tc>
      </w:tr>
      <w:tr w:rsidR="00CF7BEE" w:rsidTr="002B3310">
        <w:trPr>
          <w:jc w:val="center"/>
        </w:trPr>
        <w:tc>
          <w:tcPr>
            <w:tcW w:w="2325" w:type="dxa"/>
            <w:tcBorders>
              <w:top w:val="single" w:sz="4" w:space="0" w:color="auto"/>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GFDL_CM_2_0</w:t>
            </w:r>
          </w:p>
        </w:tc>
        <w:tc>
          <w:tcPr>
            <w:tcW w:w="837" w:type="dxa"/>
            <w:tcBorders>
              <w:top w:val="single" w:sz="4" w:space="0" w:color="auto"/>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-45.1*</w:t>
            </w:r>
          </w:p>
        </w:tc>
        <w:tc>
          <w:tcPr>
            <w:tcW w:w="707" w:type="dxa"/>
            <w:tcBorders>
              <w:top w:val="single" w:sz="4" w:space="0" w:color="auto"/>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4.52</w:t>
            </w:r>
          </w:p>
        </w:tc>
        <w:tc>
          <w:tcPr>
            <w:tcW w:w="963" w:type="dxa"/>
            <w:tcBorders>
              <w:top w:val="single" w:sz="4" w:space="0" w:color="auto"/>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-86.83</w:t>
            </w:r>
          </w:p>
        </w:tc>
        <w:tc>
          <w:tcPr>
            <w:tcW w:w="878" w:type="dxa"/>
            <w:tcBorders>
              <w:top w:val="single" w:sz="4" w:space="0" w:color="auto"/>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-23.41</w:t>
            </w:r>
          </w:p>
        </w:tc>
        <w:tc>
          <w:tcPr>
            <w:tcW w:w="850" w:type="dxa"/>
            <w:tcBorders>
              <w:top w:val="single" w:sz="4" w:space="0" w:color="auto"/>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-94.92</w:t>
            </w:r>
          </w:p>
        </w:tc>
        <w:tc>
          <w:tcPr>
            <w:tcW w:w="878" w:type="dxa"/>
            <w:tcBorders>
              <w:top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-29.01</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sz w:val="20"/>
                <w:szCs w:val="20"/>
                <w:lang w:eastAsia="ja-JP"/>
              </w:rPr>
            </w:pPr>
            <w:r w:rsidRPr="00CF7BEE">
              <w:rPr>
                <w:rFonts w:ascii="Arial Unicode MS" w:eastAsia="Arial Unicode MS" w:hAnsi="Arial Unicode MS" w:cs="Arial Unicode MS"/>
                <w:color w:val="000000"/>
                <w:sz w:val="20"/>
                <w:szCs w:val="20"/>
                <w:lang w:eastAsia="ja-JP"/>
              </w:rPr>
              <w:t>MIROC3.2 (MEDRES)</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-25.34*</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3.12</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-65.3</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-8.4</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-90.65</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-6.28</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GFDL_CM2_1</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-21.9*</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2.47</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-42.73</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-2.37</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-76.12</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15.29</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CNRM_CM3</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-16.65*</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-55.82</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-3.79</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-79.09</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8.68</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GISS_MODEL_E_R</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-11.33*</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1.3</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-14.5</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-4.19</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-62.48</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9.69</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BCCR_BCM_2.0</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-9.6*</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1.1</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-24.02</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0.86</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-61.17</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15.39</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CGCM3.1 (T47)</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-6.59*</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2.26</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-44.37</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-3.83</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-55.38</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2.95</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MRI-CGCM2.3.2*</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-5.65*</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1.13</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-12.34</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-0.77</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-67.02</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20.2</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CSIRO_MK3_0</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-5.33*</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1.16</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-8.9</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0.77</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-59.57</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18.16</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UKMO-HadCM3</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3.3</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-13.83</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-2.21</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-70.46</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3.4</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INMCM3_0</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-1.4</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1.3</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-15.95</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1.35</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-66.65</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15.8</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MIUB_ECHOG</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-0.04</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1.4</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-2.65</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5.47</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-62.19</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25.61</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PCM</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1.54</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0.13</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5.89</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3.13</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-64.14</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32.96</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CCSM3*</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19.43*</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0.66</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61.15</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13.44</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-25.95</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46.3</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IPSL_CM4</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22.59*</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1.14</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59.26</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8.29</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-32.52</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34.44</w:t>
            </w:r>
          </w:p>
        </w:tc>
      </w:tr>
      <w:tr w:rsidR="00CF7BEE" w:rsidTr="002B3310">
        <w:trPr>
          <w:jc w:val="center"/>
        </w:trPr>
        <w:tc>
          <w:tcPr>
            <w:tcW w:w="2325" w:type="dxa"/>
            <w:tcBorders>
              <w:right w:val="single" w:sz="4" w:space="0" w:color="auto"/>
            </w:tcBorders>
            <w:vAlign w:val="center"/>
          </w:tcPr>
          <w:p w:rsidR="00CF7BEE" w:rsidRPr="00CF7BEE" w:rsidRDefault="00CF7BEE" w:rsidP="00D373A2">
            <w:pPr>
              <w:spacing w:after="0"/>
              <w:rPr>
                <w:rFonts w:ascii="Arial Unicode MS" w:eastAsia="Arial Unicode MS" w:hAnsi="Arial Unicode MS"/>
                <w:color w:val="000000"/>
                <w:sz w:val="20"/>
                <w:szCs w:val="20"/>
                <w:shd w:val="clear" w:color="auto" w:fill="FFFFFF"/>
                <w:lang w:eastAsia="ja-JP"/>
              </w:rPr>
            </w:pPr>
            <w:r w:rsidRPr="00CF7BEE">
              <w:rPr>
                <w:rFonts w:ascii="Arial Unicode MS" w:eastAsia="Arial Unicode MS" w:hAnsi="Arial Unicode MS" w:cs="Arial Unicode MS"/>
                <w:color w:val="000000"/>
                <w:sz w:val="20"/>
                <w:szCs w:val="20"/>
                <w:lang w:eastAsia="ja-JP"/>
              </w:rPr>
              <w:t>ECHAM5/MPI-OM*</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36.98*</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0.06</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133</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9.82</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13.46</w:t>
            </w:r>
          </w:p>
        </w:tc>
        <w:tc>
          <w:tcPr>
            <w:tcW w:w="878" w:type="dxa"/>
            <w:vAlign w:val="center"/>
          </w:tcPr>
          <w:p w:rsidR="00CF7BEE" w:rsidRPr="00CF7BEE" w:rsidRDefault="00CF7BEE" w:rsidP="00D373A2">
            <w:pPr>
              <w:spacing w:after="0"/>
              <w:jc w:val="right"/>
              <w:rPr>
                <w:rFonts w:ascii="Calibri" w:hAnsi="Calibri" w:cs="Calibri"/>
                <w:color w:val="000000"/>
                <w:sz w:val="20"/>
                <w:szCs w:val="20"/>
                <w:lang w:eastAsia="ja-JP"/>
              </w:rPr>
            </w:pPr>
            <w:r w:rsidRPr="00CF7BEE">
              <w:rPr>
                <w:rFonts w:ascii="Calibri" w:hAnsi="Calibri" w:cs="Calibri"/>
                <w:color w:val="000000"/>
                <w:sz w:val="20"/>
                <w:szCs w:val="20"/>
                <w:lang w:eastAsia="ja-JP"/>
              </w:rPr>
              <w:t>50.15</w:t>
            </w:r>
          </w:p>
        </w:tc>
      </w:tr>
      <w:tr w:rsidR="00CF7BEE" w:rsidRPr="00EC5233" w:rsidTr="002B3310">
        <w:trPr>
          <w:jc w:val="center"/>
        </w:trPr>
        <w:tc>
          <w:tcPr>
            <w:tcW w:w="2325" w:type="dxa"/>
            <w:tcBorders>
              <w:right w:val="single" w:sz="4" w:space="0" w:color="auto"/>
            </w:tcBorders>
            <w:vAlign w:val="center"/>
          </w:tcPr>
          <w:p w:rsidR="00CF7BEE" w:rsidRPr="00CF7BEE" w:rsidDel="00612E29" w:rsidRDefault="00CF7BEE" w:rsidP="00D373A2">
            <w:pPr>
              <w:spacing w:after="0"/>
              <w:rPr>
                <w:rFonts w:ascii="Arial Unicode MS" w:eastAsia="Arial Unicode MS" w:hAnsi="Arial Unicode MS"/>
                <w:b/>
                <w:bCs/>
                <w:color w:val="000000"/>
                <w:sz w:val="20"/>
                <w:szCs w:val="20"/>
                <w:shd w:val="clear" w:color="auto" w:fill="FFFFFF"/>
                <w:lang w:eastAsia="ja-JP"/>
              </w:rPr>
            </w:pPr>
            <w:r w:rsidRPr="00CF7BEE">
              <w:rPr>
                <w:rFonts w:ascii="Arial Unicode MS" w:eastAsia="Arial Unicode MS" w:hAnsi="Arial Unicode MS" w:cs="Arial Unicode MS"/>
                <w:b/>
                <w:bCs/>
                <w:color w:val="000000"/>
                <w:sz w:val="20"/>
                <w:szCs w:val="20"/>
                <w:lang w:eastAsia="ja-JP"/>
              </w:rPr>
              <w:t>Minimum</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-45.1</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0.06</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-86.83</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-23.41</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-94.92</w:t>
            </w:r>
          </w:p>
        </w:tc>
        <w:tc>
          <w:tcPr>
            <w:tcW w:w="878" w:type="dxa"/>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-29.01</w:t>
            </w:r>
          </w:p>
        </w:tc>
      </w:tr>
      <w:tr w:rsidR="00CF7BEE" w:rsidRPr="00EC5233" w:rsidTr="002B3310">
        <w:trPr>
          <w:jc w:val="center"/>
        </w:trPr>
        <w:tc>
          <w:tcPr>
            <w:tcW w:w="2325" w:type="dxa"/>
            <w:tcBorders>
              <w:right w:val="single" w:sz="4" w:space="0" w:color="auto"/>
            </w:tcBorders>
            <w:vAlign w:val="center"/>
          </w:tcPr>
          <w:p w:rsidR="00CF7BEE" w:rsidRPr="00CF7BEE" w:rsidDel="00612E29" w:rsidRDefault="00CF7BEE" w:rsidP="00D373A2">
            <w:pPr>
              <w:spacing w:after="0"/>
              <w:rPr>
                <w:rFonts w:ascii="Arial Unicode MS" w:eastAsia="Arial Unicode MS" w:hAnsi="Arial Unicode MS"/>
                <w:b/>
                <w:bCs/>
                <w:color w:val="000000"/>
                <w:sz w:val="20"/>
                <w:szCs w:val="20"/>
                <w:shd w:val="clear" w:color="auto" w:fill="FFFFFF"/>
                <w:lang w:eastAsia="ja-JP"/>
              </w:rPr>
            </w:pPr>
            <w:r w:rsidRPr="00CF7BEE">
              <w:rPr>
                <w:rFonts w:ascii="Arial Unicode MS" w:eastAsia="Arial Unicode MS" w:hAnsi="Arial Unicode MS" w:cs="Arial Unicode MS"/>
                <w:b/>
                <w:bCs/>
                <w:color w:val="000000"/>
                <w:sz w:val="20"/>
                <w:szCs w:val="20"/>
                <w:lang w:eastAsia="ja-JP"/>
              </w:rPr>
              <w:t>1st Quartile</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-12.66</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1.08</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-43.14</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-3.8</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-71.88</w:t>
            </w:r>
          </w:p>
        </w:tc>
        <w:tc>
          <w:tcPr>
            <w:tcW w:w="878" w:type="dxa"/>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7.36</w:t>
            </w:r>
          </w:p>
        </w:tc>
      </w:tr>
      <w:tr w:rsidR="00CF7BEE" w:rsidRPr="00EC5233" w:rsidTr="002B3310">
        <w:trPr>
          <w:jc w:val="center"/>
        </w:trPr>
        <w:tc>
          <w:tcPr>
            <w:tcW w:w="2325" w:type="dxa"/>
            <w:tcBorders>
              <w:right w:val="single" w:sz="4" w:space="0" w:color="auto"/>
            </w:tcBorders>
            <w:vAlign w:val="center"/>
          </w:tcPr>
          <w:p w:rsidR="00CF7BEE" w:rsidRPr="00CF7BEE" w:rsidDel="00612E29" w:rsidRDefault="00CF7BEE" w:rsidP="00D373A2">
            <w:pPr>
              <w:spacing w:after="0"/>
              <w:rPr>
                <w:rFonts w:ascii="Arial Unicode MS" w:eastAsia="Arial Unicode MS" w:hAnsi="Arial Unicode MS"/>
                <w:b/>
                <w:bCs/>
                <w:color w:val="000000"/>
                <w:sz w:val="20"/>
                <w:szCs w:val="20"/>
                <w:shd w:val="clear" w:color="auto" w:fill="FFFFFF"/>
                <w:lang w:eastAsia="ja-JP"/>
              </w:rPr>
            </w:pPr>
            <w:r w:rsidRPr="00CF7BEE">
              <w:rPr>
                <w:rFonts w:ascii="Arial Unicode MS" w:eastAsia="Arial Unicode MS" w:hAnsi="Arial Unicode MS" w:cs="Arial Unicode MS"/>
                <w:b/>
                <w:bCs/>
                <w:color w:val="000000"/>
                <w:sz w:val="20"/>
                <w:szCs w:val="20"/>
                <w:lang w:eastAsia="ja-JP"/>
              </w:rPr>
              <w:t>Median</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-5.49</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1.23</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-13.83</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0</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-62.19</w:t>
            </w:r>
          </w:p>
        </w:tc>
        <w:tc>
          <w:tcPr>
            <w:tcW w:w="878" w:type="dxa"/>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15.6</w:t>
            </w:r>
          </w:p>
        </w:tc>
      </w:tr>
      <w:tr w:rsidR="00CF7BEE" w:rsidRPr="00EC5233" w:rsidTr="002B3310">
        <w:trPr>
          <w:jc w:val="center"/>
        </w:trPr>
        <w:tc>
          <w:tcPr>
            <w:tcW w:w="2325" w:type="dxa"/>
            <w:tcBorders>
              <w:right w:val="single" w:sz="4" w:space="0" w:color="auto"/>
            </w:tcBorders>
            <w:vAlign w:val="center"/>
          </w:tcPr>
          <w:p w:rsidR="00CF7BEE" w:rsidRPr="00CF7BEE" w:rsidDel="00612E29" w:rsidRDefault="00CF7BEE" w:rsidP="00D373A2">
            <w:pPr>
              <w:spacing w:after="0"/>
              <w:rPr>
                <w:rFonts w:ascii="Arial Unicode MS" w:eastAsia="Arial Unicode MS" w:hAnsi="Arial Unicode MS"/>
                <w:b/>
                <w:bCs/>
                <w:color w:val="000000"/>
                <w:sz w:val="20"/>
                <w:szCs w:val="20"/>
                <w:shd w:val="clear" w:color="auto" w:fill="FFFFFF"/>
                <w:lang w:eastAsia="ja-JP"/>
              </w:rPr>
            </w:pPr>
            <w:r w:rsidRPr="00CF7BEE">
              <w:rPr>
                <w:rFonts w:ascii="Arial Unicode MS" w:eastAsia="Arial Unicode MS" w:hAnsi="Arial Unicode MS" w:cs="Arial Unicode MS"/>
                <w:b/>
                <w:bCs/>
                <w:color w:val="000000"/>
                <w:sz w:val="20"/>
                <w:szCs w:val="20"/>
                <w:lang w:eastAsia="ja-JP"/>
              </w:rPr>
              <w:t>3rd Quartile</w:t>
            </w:r>
          </w:p>
        </w:tc>
        <w:tc>
          <w:tcPr>
            <w:tcW w:w="83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0.36</w:t>
            </w:r>
          </w:p>
        </w:tc>
        <w:tc>
          <w:tcPr>
            <w:tcW w:w="707" w:type="dxa"/>
            <w:tcBorders>
              <w:top w:val="nil"/>
              <w:left w:val="single" w:sz="4" w:space="0" w:color="auto"/>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2.31</w:t>
            </w:r>
          </w:p>
        </w:tc>
        <w:tc>
          <w:tcPr>
            <w:tcW w:w="963" w:type="dxa"/>
            <w:tcBorders>
              <w:top w:val="nil"/>
              <w:left w:val="single" w:sz="4" w:space="0" w:color="auto"/>
              <w:bottom w:val="nil"/>
              <w:right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-0.52</w:t>
            </w:r>
          </w:p>
        </w:tc>
        <w:tc>
          <w:tcPr>
            <w:tcW w:w="878" w:type="dxa"/>
            <w:tcBorders>
              <w:top w:val="nil"/>
              <w:left w:val="nil"/>
              <w:bottom w:val="nil"/>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3.72</w:t>
            </w:r>
          </w:p>
        </w:tc>
        <w:tc>
          <w:tcPr>
            <w:tcW w:w="850" w:type="dxa"/>
            <w:tcBorders>
              <w:top w:val="nil"/>
              <w:left w:val="single" w:sz="4" w:space="0" w:color="auto"/>
              <w:bottom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-49.67</w:t>
            </w:r>
          </w:p>
        </w:tc>
        <w:tc>
          <w:tcPr>
            <w:tcW w:w="878" w:type="dxa"/>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27.45</w:t>
            </w:r>
          </w:p>
        </w:tc>
      </w:tr>
      <w:tr w:rsidR="00CF7BEE" w:rsidRPr="00EC5233" w:rsidTr="002B3310">
        <w:trPr>
          <w:jc w:val="center"/>
        </w:trPr>
        <w:tc>
          <w:tcPr>
            <w:tcW w:w="2325" w:type="dxa"/>
            <w:tcBorders>
              <w:right w:val="single" w:sz="4" w:space="0" w:color="auto"/>
            </w:tcBorders>
            <w:vAlign w:val="center"/>
          </w:tcPr>
          <w:p w:rsidR="00CF7BEE" w:rsidRPr="00CF7BEE" w:rsidDel="00612E29" w:rsidRDefault="00CF7BEE" w:rsidP="00D373A2">
            <w:pPr>
              <w:spacing w:after="0"/>
              <w:rPr>
                <w:rFonts w:ascii="Arial Unicode MS" w:eastAsia="Arial Unicode MS" w:hAnsi="Arial Unicode MS"/>
                <w:b/>
                <w:bCs/>
                <w:color w:val="000000"/>
                <w:sz w:val="20"/>
                <w:szCs w:val="20"/>
                <w:shd w:val="clear" w:color="auto" w:fill="FFFFFF"/>
                <w:lang w:eastAsia="ja-JP"/>
              </w:rPr>
            </w:pPr>
            <w:r w:rsidRPr="00CF7BEE">
              <w:rPr>
                <w:rFonts w:ascii="Arial Unicode MS" w:eastAsia="Arial Unicode MS" w:hAnsi="Arial Unicode MS" w:cs="Arial Unicode MS"/>
                <w:b/>
                <w:bCs/>
                <w:color w:val="000000"/>
                <w:sz w:val="20"/>
                <w:szCs w:val="20"/>
                <w:lang w:eastAsia="ja-JP"/>
              </w:rPr>
              <w:t>Maximum</w:t>
            </w:r>
          </w:p>
        </w:tc>
        <w:tc>
          <w:tcPr>
            <w:tcW w:w="837" w:type="dxa"/>
            <w:tcBorders>
              <w:top w:val="nil"/>
              <w:left w:val="single" w:sz="4" w:space="0" w:color="auto"/>
              <w:bottom w:val="single" w:sz="4" w:space="0" w:color="auto"/>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36.98</w:t>
            </w:r>
          </w:p>
        </w:tc>
        <w:tc>
          <w:tcPr>
            <w:tcW w:w="707" w:type="dxa"/>
            <w:tcBorders>
              <w:top w:val="nil"/>
              <w:left w:val="single" w:sz="4" w:space="0" w:color="auto"/>
              <w:bottom w:val="single" w:sz="4" w:space="0" w:color="auto"/>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4.52</w:t>
            </w:r>
          </w:p>
        </w:tc>
        <w:tc>
          <w:tcPr>
            <w:tcW w:w="963" w:type="dxa"/>
            <w:tcBorders>
              <w:top w:val="nil"/>
              <w:left w:val="single" w:sz="4" w:space="0" w:color="auto"/>
              <w:bottom w:val="single" w:sz="4" w:space="0" w:color="auto"/>
              <w:right w:val="nil"/>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133</w:t>
            </w:r>
          </w:p>
        </w:tc>
        <w:tc>
          <w:tcPr>
            <w:tcW w:w="878" w:type="dxa"/>
            <w:tcBorders>
              <w:top w:val="nil"/>
              <w:left w:val="nil"/>
              <w:bottom w:val="single" w:sz="4" w:space="0" w:color="auto"/>
              <w:right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13.44</w:t>
            </w:r>
          </w:p>
        </w:tc>
        <w:tc>
          <w:tcPr>
            <w:tcW w:w="850" w:type="dxa"/>
            <w:tcBorders>
              <w:top w:val="nil"/>
              <w:left w:val="single" w:sz="4" w:space="0" w:color="auto"/>
              <w:bottom w:val="single" w:sz="4" w:space="0" w:color="auto"/>
            </w:tcBorders>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13.46</w:t>
            </w:r>
          </w:p>
        </w:tc>
        <w:tc>
          <w:tcPr>
            <w:tcW w:w="878" w:type="dxa"/>
            <w:vAlign w:val="center"/>
          </w:tcPr>
          <w:p w:rsidR="00CF7BEE" w:rsidRPr="00CF7BEE" w:rsidRDefault="00CF7BEE" w:rsidP="00D373A2">
            <w:pPr>
              <w:spacing w:after="0"/>
              <w:jc w:val="right"/>
              <w:rPr>
                <w:rFonts w:ascii="Calibri" w:hAnsi="Calibri" w:cs="Calibri"/>
                <w:b/>
                <w:bCs/>
                <w:color w:val="000000"/>
                <w:sz w:val="20"/>
                <w:szCs w:val="20"/>
                <w:lang w:eastAsia="ja-JP"/>
              </w:rPr>
            </w:pPr>
            <w:r w:rsidRPr="00CF7BEE">
              <w:rPr>
                <w:rFonts w:ascii="Calibri" w:hAnsi="Calibri" w:cs="Calibri"/>
                <w:b/>
                <w:bCs/>
                <w:color w:val="000000"/>
                <w:sz w:val="20"/>
                <w:szCs w:val="20"/>
                <w:lang w:eastAsia="ja-JP"/>
              </w:rPr>
              <w:t>50.15</w:t>
            </w:r>
          </w:p>
        </w:tc>
      </w:tr>
    </w:tbl>
    <w:p w:rsidR="00CF7BEE" w:rsidRPr="00CF7BEE" w:rsidRDefault="00CF7BEE" w:rsidP="000D5404">
      <w:pPr>
        <w:spacing w:line="480" w:lineRule="auto"/>
        <w:rPr>
          <w:sz w:val="28"/>
          <w:szCs w:val="28"/>
        </w:rPr>
      </w:pPr>
      <w:r w:rsidRPr="00DD6BFA">
        <w:t>*</w:t>
      </w:r>
      <w:r>
        <w:t xml:space="preserve"> </w:t>
      </w:r>
      <w:r w:rsidRPr="00DD6BFA">
        <w:t>Denotes statistically significant change in precipitation (p&lt;0.05).  Only precipitation was tested for statistical significance.</w:t>
      </w:r>
    </w:p>
    <w:sectPr w:rsidR="00CF7BEE" w:rsidRPr="00CF7BEE" w:rsidSect="004F4669">
      <w:headerReference w:type="default" r:id="rId41"/>
      <w:footerReference w:type="default" r:id="rId42"/>
      <w:pgSz w:w="12240" w:h="15840"/>
      <w:pgMar w:top="1440" w:right="1440" w:bottom="1440" w:left="230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14D" w:rsidRDefault="00C5014D" w:rsidP="00BA2F37">
      <w:pPr>
        <w:spacing w:after="0"/>
      </w:pPr>
      <w:r>
        <w:separator/>
      </w:r>
    </w:p>
    <w:p w:rsidR="00C5014D" w:rsidRDefault="00C5014D"/>
  </w:endnote>
  <w:endnote w:type="continuationSeparator" w:id="0">
    <w:p w:rsidR="00C5014D" w:rsidRDefault="00C5014D" w:rsidP="00BA2F37">
      <w:pPr>
        <w:spacing w:after="0"/>
      </w:pPr>
      <w:r>
        <w:continuationSeparator/>
      </w:r>
    </w:p>
    <w:p w:rsidR="00C5014D" w:rsidRDefault="00C501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w:altName w:val="Lucid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dvPSA88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DF" w:rsidRDefault="00885CDF">
    <w:pPr>
      <w:pStyle w:val="Footer"/>
      <w:jc w:val="center"/>
    </w:pPr>
  </w:p>
  <w:p w:rsidR="00885CDF" w:rsidRDefault="00885C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757662"/>
      <w:docPartObj>
        <w:docPartGallery w:val="Page Numbers (Bottom of Page)"/>
        <w:docPartUnique/>
      </w:docPartObj>
    </w:sdtPr>
    <w:sdtEndPr>
      <w:rPr>
        <w:noProof/>
      </w:rPr>
    </w:sdtEndPr>
    <w:sdtContent>
      <w:p w:rsidR="00885CDF" w:rsidRDefault="00885CDF">
        <w:pPr>
          <w:pStyle w:val="Footer"/>
          <w:jc w:val="center"/>
        </w:pPr>
        <w:r>
          <w:fldChar w:fldCharType="begin"/>
        </w:r>
        <w:r>
          <w:instrText xml:space="preserve"> PAGE   \* MERGEFORMAT </w:instrText>
        </w:r>
        <w:r>
          <w:fldChar w:fldCharType="separate"/>
        </w:r>
        <w:r w:rsidR="00860D87">
          <w:rPr>
            <w:noProof/>
          </w:rPr>
          <w:t>xiii</w:t>
        </w:r>
        <w:r>
          <w:rPr>
            <w:noProof/>
          </w:rPr>
          <w:fldChar w:fldCharType="end"/>
        </w:r>
      </w:p>
    </w:sdtContent>
  </w:sdt>
  <w:p w:rsidR="00885CDF" w:rsidRDefault="00885C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4266167"/>
      <w:docPartObj>
        <w:docPartGallery w:val="Page Numbers (Bottom of Page)"/>
        <w:docPartUnique/>
      </w:docPartObj>
    </w:sdtPr>
    <w:sdtEndPr>
      <w:rPr>
        <w:noProof/>
      </w:rPr>
    </w:sdtEndPr>
    <w:sdtContent>
      <w:p w:rsidR="00885CDF" w:rsidRDefault="00885CDF">
        <w:pPr>
          <w:pStyle w:val="Footer"/>
          <w:jc w:val="center"/>
        </w:pPr>
        <w:r>
          <w:fldChar w:fldCharType="begin"/>
        </w:r>
        <w:r>
          <w:instrText xml:space="preserve"> PAGE   \* MERGEFORMAT </w:instrText>
        </w:r>
        <w:r>
          <w:fldChar w:fldCharType="separate"/>
        </w:r>
        <w:r w:rsidR="00860D87">
          <w:rPr>
            <w:noProof/>
          </w:rPr>
          <w:t>125</w:t>
        </w:r>
        <w:r>
          <w:rPr>
            <w:noProof/>
          </w:rPr>
          <w:fldChar w:fldCharType="end"/>
        </w:r>
      </w:p>
    </w:sdtContent>
  </w:sdt>
  <w:p w:rsidR="00885CDF" w:rsidRDefault="00885CDF">
    <w:pPr>
      <w:pStyle w:val="Footer"/>
    </w:pPr>
  </w:p>
  <w:p w:rsidR="00885CDF" w:rsidRDefault="00885CD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14D" w:rsidRDefault="00C5014D" w:rsidP="00BA2F37">
      <w:pPr>
        <w:spacing w:after="0"/>
      </w:pPr>
      <w:r>
        <w:separator/>
      </w:r>
    </w:p>
    <w:p w:rsidR="00C5014D" w:rsidRDefault="00C5014D"/>
  </w:footnote>
  <w:footnote w:type="continuationSeparator" w:id="0">
    <w:p w:rsidR="00C5014D" w:rsidRDefault="00C5014D" w:rsidP="00BA2F37">
      <w:pPr>
        <w:spacing w:after="0"/>
      </w:pPr>
      <w:r>
        <w:continuationSeparator/>
      </w:r>
    </w:p>
    <w:p w:rsidR="00C5014D" w:rsidRDefault="00C5014D"/>
  </w:footnote>
  <w:footnote w:id="1">
    <w:p w:rsidR="00885CDF" w:rsidRPr="00F478D4" w:rsidRDefault="00885CDF" w:rsidP="00CD20B4">
      <w:pPr>
        <w:pStyle w:val="FootnoteText"/>
      </w:pPr>
      <w:r>
        <w:rPr>
          <w:rStyle w:val="FootnoteReference"/>
        </w:rPr>
        <w:t>*</w:t>
      </w:r>
      <w:r>
        <w:t xml:space="preserve"> </w:t>
      </w:r>
      <w:proofErr w:type="gramStart"/>
      <w:r>
        <w:t>Corresponding author.</w:t>
      </w:r>
      <w:proofErr w:type="gramEnd"/>
      <w:r>
        <w:t xml:space="preserve">  E-mail: Justin.C.Goldstein-1@ou.edu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CDF" w:rsidRDefault="00885C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A9ECE42"/>
    <w:lvl w:ilvl="0">
      <w:start w:val="1"/>
      <w:numFmt w:val="decimal"/>
      <w:lvlText w:val="%1."/>
      <w:lvlJc w:val="left"/>
      <w:pPr>
        <w:tabs>
          <w:tab w:val="num" w:pos="1800"/>
        </w:tabs>
        <w:ind w:left="1800" w:hanging="360"/>
      </w:pPr>
    </w:lvl>
  </w:abstractNum>
  <w:abstractNum w:abstractNumId="1">
    <w:nsid w:val="FFFFFF7D"/>
    <w:multiLevelType w:val="singleLevel"/>
    <w:tmpl w:val="F2E83634"/>
    <w:lvl w:ilvl="0">
      <w:start w:val="1"/>
      <w:numFmt w:val="decimal"/>
      <w:lvlText w:val="%1."/>
      <w:lvlJc w:val="left"/>
      <w:pPr>
        <w:tabs>
          <w:tab w:val="num" w:pos="1440"/>
        </w:tabs>
        <w:ind w:left="1440" w:hanging="360"/>
      </w:pPr>
    </w:lvl>
  </w:abstractNum>
  <w:abstractNum w:abstractNumId="2">
    <w:nsid w:val="FFFFFF7E"/>
    <w:multiLevelType w:val="singleLevel"/>
    <w:tmpl w:val="A0CAE752"/>
    <w:lvl w:ilvl="0">
      <w:start w:val="1"/>
      <w:numFmt w:val="decimal"/>
      <w:lvlText w:val="%1."/>
      <w:lvlJc w:val="left"/>
      <w:pPr>
        <w:tabs>
          <w:tab w:val="num" w:pos="1080"/>
        </w:tabs>
        <w:ind w:left="1080" w:hanging="360"/>
      </w:pPr>
    </w:lvl>
  </w:abstractNum>
  <w:abstractNum w:abstractNumId="3">
    <w:nsid w:val="FFFFFF7F"/>
    <w:multiLevelType w:val="singleLevel"/>
    <w:tmpl w:val="B65A30C6"/>
    <w:lvl w:ilvl="0">
      <w:start w:val="1"/>
      <w:numFmt w:val="decimal"/>
      <w:lvlText w:val="%1."/>
      <w:lvlJc w:val="left"/>
      <w:pPr>
        <w:tabs>
          <w:tab w:val="num" w:pos="720"/>
        </w:tabs>
        <w:ind w:left="720" w:hanging="360"/>
      </w:pPr>
    </w:lvl>
  </w:abstractNum>
  <w:abstractNum w:abstractNumId="4">
    <w:nsid w:val="FFFFFF80"/>
    <w:multiLevelType w:val="singleLevel"/>
    <w:tmpl w:val="3BD4B3D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7B0559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C52C81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7D424A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350BDE0"/>
    <w:lvl w:ilvl="0">
      <w:start w:val="1"/>
      <w:numFmt w:val="decimal"/>
      <w:lvlText w:val="%1."/>
      <w:lvlJc w:val="left"/>
      <w:pPr>
        <w:tabs>
          <w:tab w:val="num" w:pos="360"/>
        </w:tabs>
        <w:ind w:left="360" w:hanging="360"/>
      </w:pPr>
    </w:lvl>
  </w:abstractNum>
  <w:abstractNum w:abstractNumId="9">
    <w:nsid w:val="FFFFFF89"/>
    <w:multiLevelType w:val="singleLevel"/>
    <w:tmpl w:val="CFCC7594"/>
    <w:lvl w:ilvl="0">
      <w:start w:val="1"/>
      <w:numFmt w:val="bullet"/>
      <w:lvlText w:val=""/>
      <w:lvlJc w:val="left"/>
      <w:pPr>
        <w:tabs>
          <w:tab w:val="num" w:pos="360"/>
        </w:tabs>
        <w:ind w:left="360" w:hanging="360"/>
      </w:pPr>
      <w:rPr>
        <w:rFonts w:ascii="Symbol" w:hAnsi="Symbol" w:hint="default"/>
      </w:rPr>
    </w:lvl>
  </w:abstractNum>
  <w:abstractNum w:abstractNumId="10">
    <w:nsid w:val="2D0608FB"/>
    <w:multiLevelType w:val="hybridMultilevel"/>
    <w:tmpl w:val="E5F0BF10"/>
    <w:lvl w:ilvl="0" w:tplc="23BC6930">
      <w:start w:val="22"/>
      <w:numFmt w:val="bullet"/>
      <w:lvlText w:val=""/>
      <w:lvlJc w:val="left"/>
      <w:pPr>
        <w:ind w:left="720" w:hanging="360"/>
      </w:pPr>
      <w:rPr>
        <w:rFonts w:ascii="Symbol" w:eastAsia="PMingLiU"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nsid w:val="3F5F70D8"/>
    <w:multiLevelType w:val="hybridMultilevel"/>
    <w:tmpl w:val="029C5776"/>
    <w:lvl w:ilvl="0" w:tplc="842E70E8">
      <w:start w:val="5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A13C7E"/>
    <w:multiLevelType w:val="hybridMultilevel"/>
    <w:tmpl w:val="C6B0E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8F6E0C"/>
    <w:multiLevelType w:val="hybridMultilevel"/>
    <w:tmpl w:val="1A302216"/>
    <w:lvl w:ilvl="0" w:tplc="7458D948">
      <w:start w:val="8"/>
      <w:numFmt w:val="bullet"/>
      <w:lvlText w:val=""/>
      <w:lvlJc w:val="left"/>
      <w:pPr>
        <w:ind w:left="720" w:hanging="360"/>
      </w:pPr>
      <w:rPr>
        <w:rFonts w:ascii="Symbol" w:eastAsia="PMingLiU"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5168EF"/>
    <w:multiLevelType w:val="hybridMultilevel"/>
    <w:tmpl w:val="DBE6A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C10319"/>
    <w:multiLevelType w:val="hybridMultilevel"/>
    <w:tmpl w:val="2EDAD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9E439C"/>
    <w:multiLevelType w:val="hybridMultilevel"/>
    <w:tmpl w:val="139834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52E48AE"/>
    <w:multiLevelType w:val="hybridMultilevel"/>
    <w:tmpl w:val="AAB0BD6E"/>
    <w:lvl w:ilvl="0" w:tplc="A6DCD78C">
      <w:start w:val="22"/>
      <w:numFmt w:val="bullet"/>
      <w:lvlText w:val=""/>
      <w:lvlJc w:val="left"/>
      <w:pPr>
        <w:ind w:left="720" w:hanging="360"/>
      </w:pPr>
      <w:rPr>
        <w:rFonts w:ascii="Symbol" w:eastAsia="PMingLiU"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5"/>
  </w:num>
  <w:num w:numId="2">
    <w:abstractNumId w:val="16"/>
  </w:num>
  <w:num w:numId="3">
    <w:abstractNumId w:val="12"/>
  </w:num>
  <w:num w:numId="4">
    <w:abstractNumId w:val="14"/>
  </w:num>
  <w:num w:numId="5">
    <w:abstractNumId w:val="10"/>
  </w:num>
  <w:num w:numId="6">
    <w:abstractNumId w:val="17"/>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2"/>
  </w:compat>
  <w:rsids>
    <w:rsidRoot w:val="00410044"/>
    <w:rsid w:val="00005CA5"/>
    <w:rsid w:val="00005D41"/>
    <w:rsid w:val="00013381"/>
    <w:rsid w:val="000255E3"/>
    <w:rsid w:val="00033E05"/>
    <w:rsid w:val="00035FA6"/>
    <w:rsid w:val="00044BB3"/>
    <w:rsid w:val="00063CFF"/>
    <w:rsid w:val="00073796"/>
    <w:rsid w:val="00075511"/>
    <w:rsid w:val="0007661D"/>
    <w:rsid w:val="000807FB"/>
    <w:rsid w:val="000844CF"/>
    <w:rsid w:val="00091328"/>
    <w:rsid w:val="00095FBA"/>
    <w:rsid w:val="000A2D2E"/>
    <w:rsid w:val="000A6E34"/>
    <w:rsid w:val="000B4436"/>
    <w:rsid w:val="000C2434"/>
    <w:rsid w:val="000C7091"/>
    <w:rsid w:val="000C7F8D"/>
    <w:rsid w:val="000D40AB"/>
    <w:rsid w:val="000D5404"/>
    <w:rsid w:val="000E328A"/>
    <w:rsid w:val="000E47B3"/>
    <w:rsid w:val="000E7E9B"/>
    <w:rsid w:val="000F21B4"/>
    <w:rsid w:val="000F2743"/>
    <w:rsid w:val="000F2A53"/>
    <w:rsid w:val="00113012"/>
    <w:rsid w:val="0011676D"/>
    <w:rsid w:val="00117993"/>
    <w:rsid w:val="00121761"/>
    <w:rsid w:val="00130E42"/>
    <w:rsid w:val="00140AF1"/>
    <w:rsid w:val="00142C70"/>
    <w:rsid w:val="00146657"/>
    <w:rsid w:val="00164E64"/>
    <w:rsid w:val="001769DB"/>
    <w:rsid w:val="00180837"/>
    <w:rsid w:val="00182C99"/>
    <w:rsid w:val="00192CF8"/>
    <w:rsid w:val="00194503"/>
    <w:rsid w:val="001A07C0"/>
    <w:rsid w:val="001A10A0"/>
    <w:rsid w:val="001A34B0"/>
    <w:rsid w:val="001B1CC9"/>
    <w:rsid w:val="001C7579"/>
    <w:rsid w:val="001C7E21"/>
    <w:rsid w:val="001D7BF7"/>
    <w:rsid w:val="001E00F1"/>
    <w:rsid w:val="001E3E2A"/>
    <w:rsid w:val="001F608A"/>
    <w:rsid w:val="001F75E8"/>
    <w:rsid w:val="00201A4A"/>
    <w:rsid w:val="00202046"/>
    <w:rsid w:val="0020302C"/>
    <w:rsid w:val="00203251"/>
    <w:rsid w:val="00224CAB"/>
    <w:rsid w:val="0022793B"/>
    <w:rsid w:val="002377A5"/>
    <w:rsid w:val="002434D6"/>
    <w:rsid w:val="0024709C"/>
    <w:rsid w:val="00250900"/>
    <w:rsid w:val="00252F2D"/>
    <w:rsid w:val="002534E8"/>
    <w:rsid w:val="00257449"/>
    <w:rsid w:val="002706D0"/>
    <w:rsid w:val="00280BDA"/>
    <w:rsid w:val="002865CE"/>
    <w:rsid w:val="00286C75"/>
    <w:rsid w:val="00290A7E"/>
    <w:rsid w:val="00291DC4"/>
    <w:rsid w:val="00296BD6"/>
    <w:rsid w:val="002B3310"/>
    <w:rsid w:val="002B3FC0"/>
    <w:rsid w:val="002C4EC4"/>
    <w:rsid w:val="002D0D96"/>
    <w:rsid w:val="002D3A6F"/>
    <w:rsid w:val="002D6D53"/>
    <w:rsid w:val="002E236E"/>
    <w:rsid w:val="00303AB4"/>
    <w:rsid w:val="00305D87"/>
    <w:rsid w:val="00311250"/>
    <w:rsid w:val="003140C6"/>
    <w:rsid w:val="00321C1E"/>
    <w:rsid w:val="00326076"/>
    <w:rsid w:val="00326473"/>
    <w:rsid w:val="00332592"/>
    <w:rsid w:val="00333CDB"/>
    <w:rsid w:val="0034511D"/>
    <w:rsid w:val="00345F8B"/>
    <w:rsid w:val="003502F9"/>
    <w:rsid w:val="00354A8B"/>
    <w:rsid w:val="0035575F"/>
    <w:rsid w:val="00360426"/>
    <w:rsid w:val="00362DB2"/>
    <w:rsid w:val="003658F6"/>
    <w:rsid w:val="003709EB"/>
    <w:rsid w:val="003752C8"/>
    <w:rsid w:val="0037704B"/>
    <w:rsid w:val="00377E5E"/>
    <w:rsid w:val="003916A8"/>
    <w:rsid w:val="003A4E61"/>
    <w:rsid w:val="003B3BFC"/>
    <w:rsid w:val="003C652D"/>
    <w:rsid w:val="003D1FCC"/>
    <w:rsid w:val="003E57C2"/>
    <w:rsid w:val="003F26DC"/>
    <w:rsid w:val="003F736A"/>
    <w:rsid w:val="00410044"/>
    <w:rsid w:val="004149D0"/>
    <w:rsid w:val="00423D79"/>
    <w:rsid w:val="004513AB"/>
    <w:rsid w:val="00456EEA"/>
    <w:rsid w:val="0045726D"/>
    <w:rsid w:val="00461031"/>
    <w:rsid w:val="004629E7"/>
    <w:rsid w:val="004706BF"/>
    <w:rsid w:val="004750FF"/>
    <w:rsid w:val="00490F16"/>
    <w:rsid w:val="00491D29"/>
    <w:rsid w:val="004957E0"/>
    <w:rsid w:val="004A0987"/>
    <w:rsid w:val="004A26CC"/>
    <w:rsid w:val="004C2D48"/>
    <w:rsid w:val="004C3198"/>
    <w:rsid w:val="004C36A5"/>
    <w:rsid w:val="004D157D"/>
    <w:rsid w:val="004E4EE4"/>
    <w:rsid w:val="004F07EF"/>
    <w:rsid w:val="004F0F19"/>
    <w:rsid w:val="004F3E6F"/>
    <w:rsid w:val="004F3F66"/>
    <w:rsid w:val="004F44E9"/>
    <w:rsid w:val="004F4669"/>
    <w:rsid w:val="004F5D61"/>
    <w:rsid w:val="0050039E"/>
    <w:rsid w:val="0050326C"/>
    <w:rsid w:val="00515F95"/>
    <w:rsid w:val="0052056B"/>
    <w:rsid w:val="00527B7E"/>
    <w:rsid w:val="005314B2"/>
    <w:rsid w:val="0053279C"/>
    <w:rsid w:val="00532F31"/>
    <w:rsid w:val="00544832"/>
    <w:rsid w:val="00553399"/>
    <w:rsid w:val="005625CB"/>
    <w:rsid w:val="005835D5"/>
    <w:rsid w:val="005B1FF8"/>
    <w:rsid w:val="005B7693"/>
    <w:rsid w:val="005B7752"/>
    <w:rsid w:val="005C0A3A"/>
    <w:rsid w:val="005C56F3"/>
    <w:rsid w:val="005C654E"/>
    <w:rsid w:val="005D19D8"/>
    <w:rsid w:val="005D2319"/>
    <w:rsid w:val="005F1F6D"/>
    <w:rsid w:val="00605CBB"/>
    <w:rsid w:val="00605F06"/>
    <w:rsid w:val="00617F8E"/>
    <w:rsid w:val="006217B6"/>
    <w:rsid w:val="00622B2B"/>
    <w:rsid w:val="00624DC9"/>
    <w:rsid w:val="006315D7"/>
    <w:rsid w:val="00632C31"/>
    <w:rsid w:val="00632D37"/>
    <w:rsid w:val="00634BBB"/>
    <w:rsid w:val="00637A87"/>
    <w:rsid w:val="00640CBE"/>
    <w:rsid w:val="00642564"/>
    <w:rsid w:val="00643AF6"/>
    <w:rsid w:val="00650556"/>
    <w:rsid w:val="0066271A"/>
    <w:rsid w:val="006A0B69"/>
    <w:rsid w:val="006B1E1A"/>
    <w:rsid w:val="006B3A3B"/>
    <w:rsid w:val="006B644D"/>
    <w:rsid w:val="006B6FF9"/>
    <w:rsid w:val="006C14D7"/>
    <w:rsid w:val="006C2E6D"/>
    <w:rsid w:val="006C5727"/>
    <w:rsid w:val="006D02B1"/>
    <w:rsid w:val="006D2070"/>
    <w:rsid w:val="006E1CB1"/>
    <w:rsid w:val="006E55AA"/>
    <w:rsid w:val="006F29EA"/>
    <w:rsid w:val="006F2F52"/>
    <w:rsid w:val="006F45B7"/>
    <w:rsid w:val="007003C3"/>
    <w:rsid w:val="00701100"/>
    <w:rsid w:val="007030A2"/>
    <w:rsid w:val="0070741F"/>
    <w:rsid w:val="00713CBF"/>
    <w:rsid w:val="00716451"/>
    <w:rsid w:val="0073343E"/>
    <w:rsid w:val="00740641"/>
    <w:rsid w:val="00747ABD"/>
    <w:rsid w:val="007550E3"/>
    <w:rsid w:val="00756395"/>
    <w:rsid w:val="0077160A"/>
    <w:rsid w:val="00772BF2"/>
    <w:rsid w:val="00780A12"/>
    <w:rsid w:val="007838D5"/>
    <w:rsid w:val="007868F4"/>
    <w:rsid w:val="00793352"/>
    <w:rsid w:val="00796484"/>
    <w:rsid w:val="007C1450"/>
    <w:rsid w:val="007C251B"/>
    <w:rsid w:val="007C477E"/>
    <w:rsid w:val="007D2732"/>
    <w:rsid w:val="007E0ABC"/>
    <w:rsid w:val="007E2263"/>
    <w:rsid w:val="007F1163"/>
    <w:rsid w:val="007F51F8"/>
    <w:rsid w:val="007F5273"/>
    <w:rsid w:val="00804CE4"/>
    <w:rsid w:val="00820A82"/>
    <w:rsid w:val="008217C4"/>
    <w:rsid w:val="00821E44"/>
    <w:rsid w:val="00823916"/>
    <w:rsid w:val="00825684"/>
    <w:rsid w:val="00833BA2"/>
    <w:rsid w:val="00835792"/>
    <w:rsid w:val="00843AE7"/>
    <w:rsid w:val="00847DD8"/>
    <w:rsid w:val="00851E8E"/>
    <w:rsid w:val="008543D6"/>
    <w:rsid w:val="008566DB"/>
    <w:rsid w:val="00857C4B"/>
    <w:rsid w:val="00860D87"/>
    <w:rsid w:val="00863FFF"/>
    <w:rsid w:val="00874073"/>
    <w:rsid w:val="0087706B"/>
    <w:rsid w:val="00877475"/>
    <w:rsid w:val="0088150C"/>
    <w:rsid w:val="00881EF5"/>
    <w:rsid w:val="008820C6"/>
    <w:rsid w:val="00883EF3"/>
    <w:rsid w:val="00885CDF"/>
    <w:rsid w:val="00890D09"/>
    <w:rsid w:val="00891428"/>
    <w:rsid w:val="00897EBE"/>
    <w:rsid w:val="008A200A"/>
    <w:rsid w:val="008A480F"/>
    <w:rsid w:val="008A7834"/>
    <w:rsid w:val="008B1573"/>
    <w:rsid w:val="008B7623"/>
    <w:rsid w:val="008B7F23"/>
    <w:rsid w:val="008C1A33"/>
    <w:rsid w:val="008C774D"/>
    <w:rsid w:val="008C7C5C"/>
    <w:rsid w:val="008D5569"/>
    <w:rsid w:val="008E0089"/>
    <w:rsid w:val="008E18B1"/>
    <w:rsid w:val="008E2626"/>
    <w:rsid w:val="008E58AB"/>
    <w:rsid w:val="008F33D6"/>
    <w:rsid w:val="008F37C3"/>
    <w:rsid w:val="00900C56"/>
    <w:rsid w:val="009029C9"/>
    <w:rsid w:val="00916E53"/>
    <w:rsid w:val="00926C52"/>
    <w:rsid w:val="00931E70"/>
    <w:rsid w:val="00940D00"/>
    <w:rsid w:val="00943323"/>
    <w:rsid w:val="009458E1"/>
    <w:rsid w:val="0095029A"/>
    <w:rsid w:val="009543BC"/>
    <w:rsid w:val="009607F5"/>
    <w:rsid w:val="009719B9"/>
    <w:rsid w:val="00984926"/>
    <w:rsid w:val="009969ED"/>
    <w:rsid w:val="009A4A22"/>
    <w:rsid w:val="009B5D37"/>
    <w:rsid w:val="009B7E2F"/>
    <w:rsid w:val="009C3309"/>
    <w:rsid w:val="009D2E60"/>
    <w:rsid w:val="009E2222"/>
    <w:rsid w:val="009F1B37"/>
    <w:rsid w:val="009F3B0C"/>
    <w:rsid w:val="009F4FFA"/>
    <w:rsid w:val="00A003A7"/>
    <w:rsid w:val="00A1319D"/>
    <w:rsid w:val="00A17A7E"/>
    <w:rsid w:val="00A23F8A"/>
    <w:rsid w:val="00A246CE"/>
    <w:rsid w:val="00A25DD0"/>
    <w:rsid w:val="00A26ABF"/>
    <w:rsid w:val="00A36EE5"/>
    <w:rsid w:val="00A375FE"/>
    <w:rsid w:val="00A42FE7"/>
    <w:rsid w:val="00A4338D"/>
    <w:rsid w:val="00A460F5"/>
    <w:rsid w:val="00A50007"/>
    <w:rsid w:val="00A539DD"/>
    <w:rsid w:val="00A601FE"/>
    <w:rsid w:val="00A60D03"/>
    <w:rsid w:val="00A65665"/>
    <w:rsid w:val="00A6646C"/>
    <w:rsid w:val="00A72614"/>
    <w:rsid w:val="00A75DD1"/>
    <w:rsid w:val="00A77EC8"/>
    <w:rsid w:val="00A9518C"/>
    <w:rsid w:val="00AA07F6"/>
    <w:rsid w:val="00AA3F19"/>
    <w:rsid w:val="00AA47AE"/>
    <w:rsid w:val="00AA6777"/>
    <w:rsid w:val="00AA75E2"/>
    <w:rsid w:val="00AB26D9"/>
    <w:rsid w:val="00AB66EF"/>
    <w:rsid w:val="00AD16C7"/>
    <w:rsid w:val="00AD57A3"/>
    <w:rsid w:val="00AD636F"/>
    <w:rsid w:val="00B03CFD"/>
    <w:rsid w:val="00B069E1"/>
    <w:rsid w:val="00B201C1"/>
    <w:rsid w:val="00B30697"/>
    <w:rsid w:val="00B34071"/>
    <w:rsid w:val="00B36883"/>
    <w:rsid w:val="00B375CE"/>
    <w:rsid w:val="00B45199"/>
    <w:rsid w:val="00B60712"/>
    <w:rsid w:val="00B60A5F"/>
    <w:rsid w:val="00B64B2A"/>
    <w:rsid w:val="00B668C2"/>
    <w:rsid w:val="00B6696C"/>
    <w:rsid w:val="00B67D8D"/>
    <w:rsid w:val="00B731F3"/>
    <w:rsid w:val="00B74556"/>
    <w:rsid w:val="00B766F7"/>
    <w:rsid w:val="00B8698C"/>
    <w:rsid w:val="00B92398"/>
    <w:rsid w:val="00B93848"/>
    <w:rsid w:val="00B949EB"/>
    <w:rsid w:val="00BA2F37"/>
    <w:rsid w:val="00BB441E"/>
    <w:rsid w:val="00BC18ED"/>
    <w:rsid w:val="00BC1971"/>
    <w:rsid w:val="00BC2E23"/>
    <w:rsid w:val="00BC3F98"/>
    <w:rsid w:val="00BC70F6"/>
    <w:rsid w:val="00BD1822"/>
    <w:rsid w:val="00BD1CF3"/>
    <w:rsid w:val="00BD1E4C"/>
    <w:rsid w:val="00BE288B"/>
    <w:rsid w:val="00BE2DDB"/>
    <w:rsid w:val="00BF3F17"/>
    <w:rsid w:val="00C142D3"/>
    <w:rsid w:val="00C17BDB"/>
    <w:rsid w:val="00C225B7"/>
    <w:rsid w:val="00C32A4E"/>
    <w:rsid w:val="00C3435A"/>
    <w:rsid w:val="00C36B2E"/>
    <w:rsid w:val="00C40497"/>
    <w:rsid w:val="00C45335"/>
    <w:rsid w:val="00C5014D"/>
    <w:rsid w:val="00C55EFE"/>
    <w:rsid w:val="00C6131B"/>
    <w:rsid w:val="00C61CE8"/>
    <w:rsid w:val="00C8015B"/>
    <w:rsid w:val="00C90984"/>
    <w:rsid w:val="00CA4077"/>
    <w:rsid w:val="00CA6F02"/>
    <w:rsid w:val="00CB0F2A"/>
    <w:rsid w:val="00CC1355"/>
    <w:rsid w:val="00CC1B9F"/>
    <w:rsid w:val="00CC2CA8"/>
    <w:rsid w:val="00CD16F0"/>
    <w:rsid w:val="00CD20B4"/>
    <w:rsid w:val="00CD4E21"/>
    <w:rsid w:val="00CE046B"/>
    <w:rsid w:val="00CE36A8"/>
    <w:rsid w:val="00CF14DE"/>
    <w:rsid w:val="00CF5E14"/>
    <w:rsid w:val="00CF6E50"/>
    <w:rsid w:val="00CF7BEE"/>
    <w:rsid w:val="00D0038A"/>
    <w:rsid w:val="00D02F62"/>
    <w:rsid w:val="00D04407"/>
    <w:rsid w:val="00D06B4A"/>
    <w:rsid w:val="00D10B7B"/>
    <w:rsid w:val="00D25155"/>
    <w:rsid w:val="00D27CB0"/>
    <w:rsid w:val="00D27D21"/>
    <w:rsid w:val="00D35B95"/>
    <w:rsid w:val="00D373A2"/>
    <w:rsid w:val="00D407C5"/>
    <w:rsid w:val="00D433F0"/>
    <w:rsid w:val="00D5062B"/>
    <w:rsid w:val="00D509D3"/>
    <w:rsid w:val="00D56530"/>
    <w:rsid w:val="00D75DC5"/>
    <w:rsid w:val="00D8243C"/>
    <w:rsid w:val="00D82574"/>
    <w:rsid w:val="00D935C8"/>
    <w:rsid w:val="00D95BDC"/>
    <w:rsid w:val="00D965E4"/>
    <w:rsid w:val="00DA04CB"/>
    <w:rsid w:val="00DA1A32"/>
    <w:rsid w:val="00DA5F77"/>
    <w:rsid w:val="00DB453C"/>
    <w:rsid w:val="00DC4570"/>
    <w:rsid w:val="00DC5571"/>
    <w:rsid w:val="00DC76C1"/>
    <w:rsid w:val="00DD1C52"/>
    <w:rsid w:val="00DE03F6"/>
    <w:rsid w:val="00DE1D6C"/>
    <w:rsid w:val="00DE551C"/>
    <w:rsid w:val="00DF0F3C"/>
    <w:rsid w:val="00E00A7C"/>
    <w:rsid w:val="00E018A8"/>
    <w:rsid w:val="00E01EA9"/>
    <w:rsid w:val="00E036F6"/>
    <w:rsid w:val="00E04A12"/>
    <w:rsid w:val="00E11D7B"/>
    <w:rsid w:val="00E16125"/>
    <w:rsid w:val="00E31705"/>
    <w:rsid w:val="00E42E1F"/>
    <w:rsid w:val="00E4379E"/>
    <w:rsid w:val="00E443C8"/>
    <w:rsid w:val="00E5480E"/>
    <w:rsid w:val="00E56EAA"/>
    <w:rsid w:val="00E60A0F"/>
    <w:rsid w:val="00E614FB"/>
    <w:rsid w:val="00E638FC"/>
    <w:rsid w:val="00E63F9B"/>
    <w:rsid w:val="00E66E80"/>
    <w:rsid w:val="00E67207"/>
    <w:rsid w:val="00E7097D"/>
    <w:rsid w:val="00E81C75"/>
    <w:rsid w:val="00E824BB"/>
    <w:rsid w:val="00E83CDD"/>
    <w:rsid w:val="00E86816"/>
    <w:rsid w:val="00E8783C"/>
    <w:rsid w:val="00EB68C7"/>
    <w:rsid w:val="00EC2431"/>
    <w:rsid w:val="00EC3F42"/>
    <w:rsid w:val="00ED4BF2"/>
    <w:rsid w:val="00ED6976"/>
    <w:rsid w:val="00EE3AC6"/>
    <w:rsid w:val="00EE6080"/>
    <w:rsid w:val="00EF3D2D"/>
    <w:rsid w:val="00EF5F07"/>
    <w:rsid w:val="00EF7007"/>
    <w:rsid w:val="00F012E3"/>
    <w:rsid w:val="00F025D1"/>
    <w:rsid w:val="00F03AC6"/>
    <w:rsid w:val="00F041E6"/>
    <w:rsid w:val="00F11258"/>
    <w:rsid w:val="00F1671D"/>
    <w:rsid w:val="00F33486"/>
    <w:rsid w:val="00F3400E"/>
    <w:rsid w:val="00F34EA4"/>
    <w:rsid w:val="00F42BAC"/>
    <w:rsid w:val="00F4402C"/>
    <w:rsid w:val="00F4597E"/>
    <w:rsid w:val="00F53943"/>
    <w:rsid w:val="00F5524B"/>
    <w:rsid w:val="00F552ED"/>
    <w:rsid w:val="00F71E14"/>
    <w:rsid w:val="00F7450C"/>
    <w:rsid w:val="00F746AB"/>
    <w:rsid w:val="00F856D8"/>
    <w:rsid w:val="00F86E62"/>
    <w:rsid w:val="00F91E9B"/>
    <w:rsid w:val="00FA65FD"/>
    <w:rsid w:val="00FB0899"/>
    <w:rsid w:val="00FC3D5F"/>
    <w:rsid w:val="00FC4E2B"/>
    <w:rsid w:val="00FC53B8"/>
    <w:rsid w:val="00FC75E7"/>
    <w:rsid w:val="00FD730B"/>
    <w:rsid w:val="00FD7B8A"/>
    <w:rsid w:val="00FF03B2"/>
    <w:rsid w:val="00FF4519"/>
    <w:rsid w:val="00FF6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DD0"/>
  </w:style>
  <w:style w:type="paragraph" w:styleId="Heading1">
    <w:name w:val="heading 1"/>
    <w:basedOn w:val="Normal"/>
    <w:link w:val="Heading1Char"/>
    <w:uiPriority w:val="9"/>
    <w:qFormat/>
    <w:rsid w:val="00CD20B4"/>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CD20B4"/>
    <w:pPr>
      <w:spacing w:before="100" w:beforeAutospacing="1" w:after="100" w:afterAutospacing="1"/>
      <w:outlineLvl w:val="1"/>
    </w:pPr>
    <w:rPr>
      <w:rFonts w:eastAsia="Times New Roman" w:cs="Times New Roman"/>
      <w:b/>
      <w:bCs/>
      <w:szCs w:val="36"/>
    </w:rPr>
  </w:style>
  <w:style w:type="paragraph" w:styleId="Heading3">
    <w:name w:val="heading 3"/>
    <w:basedOn w:val="Normal"/>
    <w:next w:val="Normal"/>
    <w:link w:val="Heading3Char"/>
    <w:unhideWhenUsed/>
    <w:qFormat/>
    <w:rsid w:val="00CD20B4"/>
    <w:pPr>
      <w:keepNext/>
      <w:keepLines/>
      <w:spacing w:before="200" w:after="0" w:line="276" w:lineRule="auto"/>
      <w:outlineLvl w:val="2"/>
    </w:pPr>
    <w:rPr>
      <w:rFonts w:eastAsiaTheme="majorEastAsia" w:cstheme="majorBidi"/>
      <w:b/>
      <w:bCs/>
      <w:szCs w:val="22"/>
    </w:rPr>
  </w:style>
  <w:style w:type="paragraph" w:styleId="Heading4">
    <w:name w:val="heading 4"/>
    <w:basedOn w:val="Normal"/>
    <w:next w:val="Normal"/>
    <w:link w:val="Heading4Char"/>
    <w:rsid w:val="00CD20B4"/>
    <w:pPr>
      <w:widowControl w:val="0"/>
      <w:spacing w:before="360" w:after="0" w:line="480" w:lineRule="auto"/>
      <w:outlineLvl w:val="3"/>
    </w:pPr>
    <w:rPr>
      <w:rFonts w:eastAsia="Times New Roman" w:cs="Times New Roman"/>
      <w:bCs/>
      <w:szCs w:val="28"/>
      <w:lang w:val="en-GB" w:eastAsia="en-GB"/>
    </w:rPr>
  </w:style>
  <w:style w:type="paragraph" w:styleId="Heading5">
    <w:name w:val="heading 5"/>
    <w:basedOn w:val="Normal"/>
    <w:next w:val="Normal"/>
    <w:link w:val="Heading5Char"/>
    <w:uiPriority w:val="9"/>
    <w:unhideWhenUsed/>
    <w:qFormat/>
    <w:rsid w:val="00A25DD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0B4"/>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CD20B4"/>
    <w:rPr>
      <w:rFonts w:eastAsia="Times New Roman" w:cs="Times New Roman"/>
      <w:b/>
      <w:bCs/>
      <w:szCs w:val="36"/>
    </w:rPr>
  </w:style>
  <w:style w:type="character" w:customStyle="1" w:styleId="Heading3Char">
    <w:name w:val="Heading 3 Char"/>
    <w:basedOn w:val="DefaultParagraphFont"/>
    <w:link w:val="Heading3"/>
    <w:rsid w:val="00CD20B4"/>
    <w:rPr>
      <w:rFonts w:eastAsiaTheme="majorEastAsia" w:cstheme="majorBidi"/>
      <w:b/>
      <w:bCs/>
      <w:szCs w:val="22"/>
    </w:rPr>
  </w:style>
  <w:style w:type="character" w:customStyle="1" w:styleId="Heading4Char">
    <w:name w:val="Heading 4 Char"/>
    <w:basedOn w:val="DefaultParagraphFont"/>
    <w:link w:val="Heading4"/>
    <w:rsid w:val="00CD20B4"/>
    <w:rPr>
      <w:rFonts w:eastAsia="Times New Roman" w:cs="Times New Roman"/>
      <w:bCs/>
      <w:szCs w:val="28"/>
      <w:lang w:val="en-GB" w:eastAsia="en-GB"/>
    </w:rPr>
  </w:style>
  <w:style w:type="paragraph" w:styleId="ListParagraph">
    <w:name w:val="List Paragraph"/>
    <w:basedOn w:val="Normal"/>
    <w:uiPriority w:val="99"/>
    <w:qFormat/>
    <w:rsid w:val="00410044"/>
    <w:pPr>
      <w:ind w:left="720"/>
      <w:contextualSpacing/>
    </w:pPr>
  </w:style>
  <w:style w:type="character" w:styleId="Hyperlink">
    <w:name w:val="Hyperlink"/>
    <w:basedOn w:val="DefaultParagraphFont"/>
    <w:uiPriority w:val="99"/>
    <w:unhideWhenUsed/>
    <w:rsid w:val="00410044"/>
    <w:rPr>
      <w:color w:val="0000FF" w:themeColor="hyperlink"/>
      <w:u w:val="single"/>
    </w:rPr>
  </w:style>
  <w:style w:type="character" w:styleId="FollowedHyperlink">
    <w:name w:val="FollowedHyperlink"/>
    <w:basedOn w:val="DefaultParagraphFont"/>
    <w:uiPriority w:val="99"/>
    <w:semiHidden/>
    <w:unhideWhenUsed/>
    <w:rsid w:val="00410044"/>
    <w:rPr>
      <w:color w:val="800080" w:themeColor="followedHyperlink"/>
      <w:u w:val="single"/>
    </w:rPr>
  </w:style>
  <w:style w:type="paragraph" w:styleId="Header">
    <w:name w:val="header"/>
    <w:basedOn w:val="Normal"/>
    <w:link w:val="HeaderChar"/>
    <w:uiPriority w:val="99"/>
    <w:unhideWhenUsed/>
    <w:rsid w:val="00BA2F37"/>
    <w:pPr>
      <w:tabs>
        <w:tab w:val="center" w:pos="4680"/>
        <w:tab w:val="right" w:pos="9360"/>
      </w:tabs>
      <w:spacing w:after="0"/>
    </w:pPr>
  </w:style>
  <w:style w:type="character" w:customStyle="1" w:styleId="HeaderChar">
    <w:name w:val="Header Char"/>
    <w:basedOn w:val="DefaultParagraphFont"/>
    <w:link w:val="Header"/>
    <w:uiPriority w:val="99"/>
    <w:rsid w:val="00BA2F37"/>
  </w:style>
  <w:style w:type="paragraph" w:styleId="Footer">
    <w:name w:val="footer"/>
    <w:basedOn w:val="Normal"/>
    <w:link w:val="FooterChar"/>
    <w:uiPriority w:val="99"/>
    <w:unhideWhenUsed/>
    <w:rsid w:val="00BA2F37"/>
    <w:pPr>
      <w:tabs>
        <w:tab w:val="center" w:pos="4680"/>
        <w:tab w:val="right" w:pos="9360"/>
      </w:tabs>
      <w:spacing w:after="0"/>
    </w:pPr>
  </w:style>
  <w:style w:type="character" w:customStyle="1" w:styleId="FooterChar">
    <w:name w:val="Footer Char"/>
    <w:basedOn w:val="DefaultParagraphFont"/>
    <w:link w:val="Footer"/>
    <w:uiPriority w:val="99"/>
    <w:rsid w:val="00BA2F37"/>
  </w:style>
  <w:style w:type="paragraph" w:styleId="NoSpacing">
    <w:name w:val="No Spacing"/>
    <w:basedOn w:val="Normal"/>
    <w:link w:val="NoSpacingChar"/>
    <w:uiPriority w:val="1"/>
    <w:qFormat/>
    <w:rsid w:val="00BA2F37"/>
    <w:pPr>
      <w:spacing w:after="0"/>
    </w:pPr>
    <w:rPr>
      <w:rFonts w:asciiTheme="minorHAnsi" w:eastAsia="Times New Roman" w:hAnsiTheme="minorHAnsi" w:cs="Times New Roman"/>
      <w:szCs w:val="32"/>
      <w:lang w:bidi="en-US"/>
    </w:rPr>
  </w:style>
  <w:style w:type="character" w:customStyle="1" w:styleId="NoSpacingChar">
    <w:name w:val="No Spacing Char"/>
    <w:basedOn w:val="DefaultParagraphFont"/>
    <w:link w:val="NoSpacing"/>
    <w:uiPriority w:val="1"/>
    <w:rsid w:val="00BA2F37"/>
    <w:rPr>
      <w:rFonts w:asciiTheme="minorHAnsi" w:eastAsia="Times New Roman" w:hAnsiTheme="minorHAnsi" w:cs="Times New Roman"/>
      <w:szCs w:val="32"/>
      <w:lang w:bidi="en-US"/>
    </w:rPr>
  </w:style>
  <w:style w:type="paragraph" w:styleId="BalloonText">
    <w:name w:val="Balloon Text"/>
    <w:basedOn w:val="Normal"/>
    <w:link w:val="BalloonTextChar"/>
    <w:uiPriority w:val="99"/>
    <w:semiHidden/>
    <w:unhideWhenUsed/>
    <w:rsid w:val="00BA2F3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F37"/>
    <w:rPr>
      <w:rFonts w:ascii="Tahoma" w:hAnsi="Tahoma" w:cs="Tahoma"/>
      <w:sz w:val="16"/>
      <w:szCs w:val="16"/>
    </w:rPr>
  </w:style>
  <w:style w:type="character" w:styleId="PlaceholderText">
    <w:name w:val="Placeholder Text"/>
    <w:basedOn w:val="DefaultParagraphFont"/>
    <w:uiPriority w:val="99"/>
    <w:semiHidden/>
    <w:rsid w:val="00345F8B"/>
    <w:rPr>
      <w:color w:val="808080"/>
    </w:rPr>
  </w:style>
  <w:style w:type="paragraph" w:styleId="HTMLPreformatted">
    <w:name w:val="HTML Preformatted"/>
    <w:basedOn w:val="Normal"/>
    <w:link w:val="HTMLPreformattedChar"/>
    <w:uiPriority w:val="99"/>
    <w:unhideWhenUsed/>
    <w:rsid w:val="00CD2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D20B4"/>
    <w:rPr>
      <w:rFonts w:ascii="Courier New" w:eastAsia="Times New Roman" w:hAnsi="Courier New" w:cs="Courier New"/>
      <w:sz w:val="20"/>
      <w:szCs w:val="20"/>
    </w:rPr>
  </w:style>
  <w:style w:type="paragraph" w:styleId="FootnoteText">
    <w:name w:val="footnote text"/>
    <w:basedOn w:val="Normal"/>
    <w:link w:val="FootnoteTextChar"/>
    <w:uiPriority w:val="99"/>
    <w:unhideWhenUsed/>
    <w:rsid w:val="00CD20B4"/>
    <w:pPr>
      <w:spacing w:after="0"/>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CD20B4"/>
    <w:rPr>
      <w:rFonts w:asciiTheme="minorHAnsi" w:eastAsiaTheme="minorEastAsia" w:hAnsiTheme="minorHAnsi" w:cstheme="minorBidi"/>
      <w:sz w:val="20"/>
      <w:szCs w:val="20"/>
    </w:rPr>
  </w:style>
  <w:style w:type="character" w:styleId="FootnoteReference">
    <w:name w:val="footnote reference"/>
    <w:basedOn w:val="DefaultParagraphFont"/>
    <w:uiPriority w:val="99"/>
    <w:unhideWhenUsed/>
    <w:rsid w:val="00CD20B4"/>
    <w:rPr>
      <w:vertAlign w:val="superscript"/>
    </w:rPr>
  </w:style>
  <w:style w:type="character" w:styleId="Strong">
    <w:name w:val="Strong"/>
    <w:basedOn w:val="DefaultParagraphFont"/>
    <w:uiPriority w:val="22"/>
    <w:qFormat/>
    <w:rsid w:val="00CD20B4"/>
    <w:rPr>
      <w:b/>
      <w:bCs/>
    </w:rPr>
  </w:style>
  <w:style w:type="character" w:customStyle="1" w:styleId="search">
    <w:name w:val="search"/>
    <w:basedOn w:val="DefaultParagraphFont"/>
    <w:rsid w:val="00CD20B4"/>
  </w:style>
  <w:style w:type="character" w:styleId="Emphasis">
    <w:name w:val="Emphasis"/>
    <w:basedOn w:val="DefaultParagraphFont"/>
    <w:uiPriority w:val="20"/>
    <w:qFormat/>
    <w:rsid w:val="00CD20B4"/>
    <w:rPr>
      <w:i/>
      <w:iCs/>
    </w:rPr>
  </w:style>
  <w:style w:type="character" w:customStyle="1" w:styleId="EndnoteTextChar">
    <w:name w:val="Endnote Text Char"/>
    <w:basedOn w:val="DefaultParagraphFont"/>
    <w:link w:val="EndnoteText"/>
    <w:uiPriority w:val="99"/>
    <w:rsid w:val="00CD20B4"/>
    <w:rPr>
      <w:rFonts w:eastAsiaTheme="minorEastAsia"/>
      <w:sz w:val="20"/>
      <w:szCs w:val="20"/>
    </w:rPr>
  </w:style>
  <w:style w:type="paragraph" w:styleId="EndnoteText">
    <w:name w:val="endnote text"/>
    <w:basedOn w:val="Normal"/>
    <w:link w:val="EndnoteTextChar"/>
    <w:uiPriority w:val="99"/>
    <w:unhideWhenUsed/>
    <w:rsid w:val="00CD20B4"/>
    <w:pPr>
      <w:spacing w:after="0"/>
    </w:pPr>
    <w:rPr>
      <w:rFonts w:eastAsiaTheme="minorEastAsia"/>
      <w:sz w:val="20"/>
      <w:szCs w:val="20"/>
    </w:rPr>
  </w:style>
  <w:style w:type="character" w:customStyle="1" w:styleId="EndnoteTextChar1">
    <w:name w:val="Endnote Text Char1"/>
    <w:basedOn w:val="DefaultParagraphFont"/>
    <w:uiPriority w:val="99"/>
    <w:semiHidden/>
    <w:rsid w:val="00CD20B4"/>
    <w:rPr>
      <w:sz w:val="20"/>
      <w:szCs w:val="20"/>
    </w:rPr>
  </w:style>
  <w:style w:type="paragraph" w:styleId="CommentText">
    <w:name w:val="annotation text"/>
    <w:basedOn w:val="Normal"/>
    <w:link w:val="CommentTextChar"/>
    <w:uiPriority w:val="99"/>
    <w:unhideWhenUsed/>
    <w:rsid w:val="00CD20B4"/>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CD20B4"/>
    <w:rPr>
      <w:rFonts w:asciiTheme="minorHAnsi" w:eastAsiaTheme="minorEastAsia" w:hAnsiTheme="minorHAnsi" w:cstheme="minorBidi"/>
      <w:sz w:val="20"/>
      <w:szCs w:val="20"/>
    </w:rPr>
  </w:style>
  <w:style w:type="character" w:customStyle="1" w:styleId="CommentSubjectChar">
    <w:name w:val="Comment Subject Char"/>
    <w:basedOn w:val="CommentTextChar"/>
    <w:link w:val="CommentSubject"/>
    <w:uiPriority w:val="99"/>
    <w:semiHidden/>
    <w:rsid w:val="00CD20B4"/>
    <w:rPr>
      <w:rFonts w:asciiTheme="minorHAnsi" w:eastAsiaTheme="minorEastAsia" w:hAnsiTheme="minorHAnsi" w:cstheme="minorBidi"/>
      <w:b/>
      <w:bCs/>
      <w:sz w:val="20"/>
      <w:szCs w:val="20"/>
    </w:rPr>
  </w:style>
  <w:style w:type="paragraph" w:styleId="CommentSubject">
    <w:name w:val="annotation subject"/>
    <w:basedOn w:val="CommentText"/>
    <w:next w:val="CommentText"/>
    <w:link w:val="CommentSubjectChar"/>
    <w:uiPriority w:val="99"/>
    <w:semiHidden/>
    <w:unhideWhenUsed/>
    <w:rsid w:val="00CD20B4"/>
    <w:rPr>
      <w:b/>
      <w:bCs/>
    </w:rPr>
  </w:style>
  <w:style w:type="table" w:styleId="TableGrid">
    <w:name w:val="Table Grid"/>
    <w:basedOn w:val="TableNormal"/>
    <w:uiPriority w:val="99"/>
    <w:rsid w:val="00CD20B4"/>
    <w:pPr>
      <w:spacing w:after="0"/>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CD20B4"/>
    <w:pPr>
      <w:spacing w:after="0"/>
    </w:pPr>
    <w:rPr>
      <w:rFonts w:ascii="Consolas" w:hAnsi="Consolas" w:cs="Consolas"/>
      <w:sz w:val="21"/>
      <w:szCs w:val="21"/>
    </w:rPr>
  </w:style>
  <w:style w:type="character" w:customStyle="1" w:styleId="PlainTextChar">
    <w:name w:val="Plain Text Char"/>
    <w:basedOn w:val="DefaultParagraphFont"/>
    <w:link w:val="PlainText"/>
    <w:uiPriority w:val="99"/>
    <w:rsid w:val="00CD20B4"/>
    <w:rPr>
      <w:rFonts w:ascii="Consolas" w:hAnsi="Consolas" w:cs="Consolas"/>
      <w:sz w:val="21"/>
      <w:szCs w:val="21"/>
    </w:rPr>
  </w:style>
  <w:style w:type="paragraph" w:customStyle="1" w:styleId="DecimalAligned">
    <w:name w:val="Decimal Aligned"/>
    <w:basedOn w:val="Normal"/>
    <w:uiPriority w:val="99"/>
    <w:qFormat/>
    <w:rsid w:val="00CD20B4"/>
    <w:pPr>
      <w:tabs>
        <w:tab w:val="decimal" w:pos="360"/>
      </w:tabs>
      <w:spacing w:line="276" w:lineRule="auto"/>
    </w:pPr>
    <w:rPr>
      <w:rFonts w:asciiTheme="minorHAnsi" w:hAnsiTheme="minorHAnsi" w:cstheme="minorBidi"/>
      <w:sz w:val="22"/>
      <w:szCs w:val="22"/>
      <w:lang w:eastAsia="ja-JP"/>
    </w:rPr>
  </w:style>
  <w:style w:type="character" w:styleId="SubtleEmphasis">
    <w:name w:val="Subtle Emphasis"/>
    <w:basedOn w:val="DefaultParagraphFont"/>
    <w:uiPriority w:val="99"/>
    <w:qFormat/>
    <w:rsid w:val="00CD20B4"/>
    <w:rPr>
      <w:i/>
      <w:iCs/>
      <w:color w:val="7F7F7F" w:themeColor="text1" w:themeTint="80"/>
    </w:rPr>
  </w:style>
  <w:style w:type="table" w:styleId="LightShading-Accent1">
    <w:name w:val="Light Shading Accent 1"/>
    <w:basedOn w:val="TableNormal"/>
    <w:uiPriority w:val="99"/>
    <w:rsid w:val="00CD20B4"/>
    <w:pPr>
      <w:spacing w:after="0"/>
    </w:pPr>
    <w:rPr>
      <w:rFonts w:asciiTheme="minorHAnsi" w:eastAsiaTheme="minorEastAsia" w:hAnsiTheme="minorHAnsi" w:cstheme="minorBidi"/>
      <w:color w:val="365F91" w:themeColor="accent1" w:themeShade="BF"/>
      <w:sz w:val="22"/>
      <w:szCs w:val="22"/>
      <w:lang w:eastAsia="ja-JP"/>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2-Accent5">
    <w:name w:val="Medium Shading 2 Accent 5"/>
    <w:basedOn w:val="TableNormal"/>
    <w:uiPriority w:val="99"/>
    <w:rsid w:val="00CD20B4"/>
    <w:pPr>
      <w:spacing w:after="0"/>
    </w:pPr>
    <w:rPr>
      <w:rFonts w:asciiTheme="minorHAnsi" w:eastAsiaTheme="minorEastAsia" w:hAnsiTheme="minorHAnsi" w:cstheme="minorBidi"/>
      <w:sz w:val="22"/>
      <w:szCs w:val="22"/>
      <w:lang w:eastAsia="ja-JP"/>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Heading">
    <w:name w:val="TOC Heading"/>
    <w:basedOn w:val="Heading1"/>
    <w:next w:val="Normal"/>
    <w:uiPriority w:val="39"/>
    <w:unhideWhenUsed/>
    <w:qFormat/>
    <w:rsid w:val="00CD20B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E31705"/>
    <w:pPr>
      <w:spacing w:after="100" w:line="480" w:lineRule="auto"/>
      <w:ind w:left="220"/>
    </w:pPr>
    <w:rPr>
      <w:rFonts w:asciiTheme="minorHAnsi" w:eastAsiaTheme="minorEastAsia" w:hAnsiTheme="minorHAnsi" w:cstheme="minorBidi"/>
      <w:noProof/>
      <w:szCs w:val="22"/>
      <w:lang w:eastAsia="ja-JP"/>
    </w:rPr>
  </w:style>
  <w:style w:type="paragraph" w:styleId="TOC1">
    <w:name w:val="toc 1"/>
    <w:basedOn w:val="Normal"/>
    <w:next w:val="Normal"/>
    <w:autoRedefine/>
    <w:uiPriority w:val="39"/>
    <w:unhideWhenUsed/>
    <w:qFormat/>
    <w:rsid w:val="000A6E34"/>
    <w:pPr>
      <w:spacing w:after="100" w:line="480" w:lineRule="auto"/>
    </w:pPr>
    <w:rPr>
      <w:rFonts w:asciiTheme="minorHAnsi" w:eastAsiaTheme="minorEastAsia" w:hAnsiTheme="minorHAnsi" w:cstheme="minorBidi"/>
      <w:szCs w:val="22"/>
      <w:lang w:eastAsia="ja-JP"/>
    </w:rPr>
  </w:style>
  <w:style w:type="paragraph" w:styleId="TOC3">
    <w:name w:val="toc 3"/>
    <w:basedOn w:val="Normal"/>
    <w:next w:val="Normal"/>
    <w:autoRedefine/>
    <w:uiPriority w:val="39"/>
    <w:unhideWhenUsed/>
    <w:qFormat/>
    <w:rsid w:val="000A6E34"/>
    <w:pPr>
      <w:spacing w:after="100" w:line="480" w:lineRule="auto"/>
      <w:ind w:left="440"/>
    </w:pPr>
    <w:rPr>
      <w:rFonts w:asciiTheme="minorHAnsi" w:eastAsiaTheme="minorEastAsia" w:hAnsiTheme="minorHAnsi" w:cstheme="minorBidi"/>
      <w:szCs w:val="22"/>
      <w:lang w:eastAsia="ja-JP"/>
    </w:rPr>
  </w:style>
  <w:style w:type="character" w:customStyle="1" w:styleId="st">
    <w:name w:val="st"/>
    <w:basedOn w:val="DefaultParagraphFont"/>
    <w:rsid w:val="00CD20B4"/>
  </w:style>
  <w:style w:type="table" w:styleId="LightList">
    <w:name w:val="Light List"/>
    <w:basedOn w:val="TableNormal"/>
    <w:uiPriority w:val="61"/>
    <w:rsid w:val="00CD20B4"/>
    <w:pPr>
      <w:spacing w:after="0"/>
    </w:pPr>
    <w:rPr>
      <w:rFonts w:asciiTheme="minorHAnsi" w:eastAsiaTheme="minorEastAsia" w:hAnsiTheme="minorHAnsi" w:cstheme="minorBidi"/>
      <w:sz w:val="22"/>
      <w:szCs w:val="22"/>
      <w:lang w:eastAsia="ja-JP"/>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Calendar1">
    <w:name w:val="Calendar 1"/>
    <w:basedOn w:val="TableNormal"/>
    <w:uiPriority w:val="99"/>
    <w:qFormat/>
    <w:rsid w:val="00CD20B4"/>
    <w:pPr>
      <w:spacing w:after="0"/>
    </w:pPr>
    <w:rPr>
      <w:rFonts w:asciiTheme="minorHAnsi" w:eastAsiaTheme="minorEastAsia" w:hAnsiTheme="minorHAnsi" w:cstheme="minorBidi"/>
      <w:sz w:val="22"/>
      <w:szCs w:val="22"/>
      <w:lang w:eastAsia="ja-JP"/>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MediumList2-Accent1">
    <w:name w:val="Medium List 2 Accent 1"/>
    <w:basedOn w:val="TableNormal"/>
    <w:uiPriority w:val="66"/>
    <w:rsid w:val="00CD20B4"/>
    <w:pPr>
      <w:spacing w:after="0"/>
    </w:pPr>
    <w:rPr>
      <w:rFonts w:asciiTheme="majorHAnsi" w:eastAsiaTheme="majorEastAsia" w:hAnsiTheme="majorHAnsi" w:cstheme="majorBidi"/>
      <w:color w:val="000000" w:themeColor="text1"/>
      <w:sz w:val="22"/>
      <w:szCs w:val="22"/>
      <w:lang w:eastAsia="ja-JP"/>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rmalWeb">
    <w:name w:val="Normal (Web)"/>
    <w:basedOn w:val="Normal"/>
    <w:uiPriority w:val="99"/>
    <w:semiHidden/>
    <w:unhideWhenUsed/>
    <w:rsid w:val="00CD20B4"/>
    <w:pPr>
      <w:spacing w:before="100" w:beforeAutospacing="1" w:after="100" w:afterAutospacing="1"/>
    </w:pPr>
    <w:rPr>
      <w:rFonts w:eastAsiaTheme="minorEastAsia" w:cs="Times New Roman"/>
    </w:rPr>
  </w:style>
  <w:style w:type="character" w:customStyle="1" w:styleId="il">
    <w:name w:val="il"/>
    <w:basedOn w:val="DefaultParagraphFont"/>
    <w:rsid w:val="00CD20B4"/>
  </w:style>
  <w:style w:type="character" w:styleId="LineNumber">
    <w:name w:val="line number"/>
    <w:basedOn w:val="DefaultParagraphFont"/>
    <w:uiPriority w:val="99"/>
    <w:semiHidden/>
    <w:unhideWhenUsed/>
    <w:rsid w:val="00CD20B4"/>
  </w:style>
  <w:style w:type="paragraph" w:customStyle="1" w:styleId="Tabletitle">
    <w:name w:val="Table title"/>
    <w:basedOn w:val="Normal"/>
    <w:next w:val="Normal"/>
    <w:qFormat/>
    <w:rsid w:val="000C7091"/>
    <w:pPr>
      <w:spacing w:before="240" w:after="0" w:line="360" w:lineRule="auto"/>
    </w:pPr>
    <w:rPr>
      <w:rFonts w:eastAsia="Times New Roman" w:cs="Times New Roman"/>
      <w:lang w:val="en-GB" w:eastAsia="en-GB"/>
    </w:rPr>
  </w:style>
  <w:style w:type="paragraph" w:customStyle="1" w:styleId="Figurecaption">
    <w:name w:val="Figure caption"/>
    <w:basedOn w:val="Normal"/>
    <w:next w:val="Normal"/>
    <w:qFormat/>
    <w:rsid w:val="00490F16"/>
    <w:pPr>
      <w:keepNext/>
      <w:spacing w:before="240" w:after="0" w:line="480" w:lineRule="auto"/>
    </w:pPr>
    <w:rPr>
      <w:rFonts w:eastAsia="Times New Roman" w:cs="Times New Roman"/>
      <w:lang w:val="en-GB" w:eastAsia="en-GB"/>
    </w:rPr>
  </w:style>
  <w:style w:type="paragraph" w:customStyle="1" w:styleId="Newparagraph">
    <w:name w:val="New paragraph"/>
    <w:basedOn w:val="Normal"/>
    <w:qFormat/>
    <w:rsid w:val="00CD20B4"/>
    <w:pPr>
      <w:spacing w:after="0" w:line="480" w:lineRule="auto"/>
      <w:ind w:firstLine="720"/>
    </w:pPr>
    <w:rPr>
      <w:rFonts w:eastAsia="Times New Roman" w:cs="Times New Roman"/>
      <w:lang w:val="en-GB" w:eastAsia="en-GB"/>
    </w:rPr>
  </w:style>
  <w:style w:type="table" w:styleId="LightList-Accent3">
    <w:name w:val="Light List Accent 3"/>
    <w:basedOn w:val="TableNormal"/>
    <w:uiPriority w:val="61"/>
    <w:rsid w:val="00CD20B4"/>
    <w:pPr>
      <w:spacing w:after="0"/>
    </w:pPr>
    <w:rPr>
      <w:rFonts w:asciiTheme="minorHAnsi" w:eastAsiaTheme="minorEastAsia" w:hAnsiTheme="minorHAnsi" w:cstheme="minorBidi"/>
      <w:sz w:val="22"/>
      <w:szCs w:val="22"/>
      <w:lang w:eastAsia="ja-JP"/>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Articletitle">
    <w:name w:val="Article title"/>
    <w:basedOn w:val="Normal"/>
    <w:next w:val="Normal"/>
    <w:qFormat/>
    <w:rsid w:val="00CD20B4"/>
    <w:pPr>
      <w:spacing w:after="120" w:line="360" w:lineRule="auto"/>
    </w:pPr>
    <w:rPr>
      <w:rFonts w:eastAsia="Times New Roman" w:cs="Times New Roman"/>
      <w:b/>
      <w:sz w:val="28"/>
      <w:lang w:val="en-GB" w:eastAsia="en-GB"/>
    </w:rPr>
  </w:style>
  <w:style w:type="paragraph" w:customStyle="1" w:styleId="Authornames">
    <w:name w:val="Author names"/>
    <w:basedOn w:val="Normal"/>
    <w:next w:val="Normal"/>
    <w:qFormat/>
    <w:rsid w:val="00CD20B4"/>
    <w:pPr>
      <w:spacing w:before="240" w:after="0" w:line="360" w:lineRule="auto"/>
    </w:pPr>
    <w:rPr>
      <w:rFonts w:eastAsia="Times New Roman" w:cs="Times New Roman"/>
      <w:sz w:val="28"/>
      <w:lang w:val="en-GB" w:eastAsia="en-GB"/>
    </w:rPr>
  </w:style>
  <w:style w:type="paragraph" w:customStyle="1" w:styleId="Affiliation">
    <w:name w:val="Affiliation"/>
    <w:basedOn w:val="Normal"/>
    <w:qFormat/>
    <w:rsid w:val="00CD20B4"/>
    <w:pPr>
      <w:spacing w:before="240" w:after="0" w:line="360" w:lineRule="auto"/>
    </w:pPr>
    <w:rPr>
      <w:rFonts w:eastAsia="Times New Roman" w:cs="Times New Roman"/>
      <w:i/>
      <w:lang w:val="en-GB" w:eastAsia="en-GB"/>
    </w:rPr>
  </w:style>
  <w:style w:type="table" w:styleId="LightShading">
    <w:name w:val="Light Shading"/>
    <w:basedOn w:val="TableNormal"/>
    <w:uiPriority w:val="60"/>
    <w:rsid w:val="00CD20B4"/>
    <w:pPr>
      <w:spacing w:after="0"/>
    </w:pPr>
    <w:rPr>
      <w:rFonts w:asciiTheme="minorHAnsi" w:hAnsiTheme="minorHAnsi" w:cstheme="minorBid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ourcedisplay">
    <w:name w:val="sourcedisplay"/>
    <w:basedOn w:val="DefaultParagraphFont"/>
    <w:uiPriority w:val="99"/>
    <w:rsid w:val="00CD20B4"/>
  </w:style>
  <w:style w:type="character" w:customStyle="1" w:styleId="apple-converted-space">
    <w:name w:val="apple-converted-space"/>
    <w:basedOn w:val="DefaultParagraphFont"/>
    <w:rsid w:val="00CD20B4"/>
  </w:style>
  <w:style w:type="paragraph" w:styleId="Caption">
    <w:name w:val="caption"/>
    <w:basedOn w:val="Normal"/>
    <w:next w:val="Normal"/>
    <w:uiPriority w:val="35"/>
    <w:unhideWhenUsed/>
    <w:qFormat/>
    <w:rsid w:val="00CD20B4"/>
    <w:pPr>
      <w:spacing w:line="480" w:lineRule="auto"/>
    </w:pPr>
    <w:rPr>
      <w:rFonts w:eastAsia="PMingLiU" w:cs="Times New Roman"/>
      <w:bCs/>
      <w:szCs w:val="18"/>
    </w:rPr>
  </w:style>
  <w:style w:type="paragraph" w:styleId="TableofFigures">
    <w:name w:val="table of figures"/>
    <w:basedOn w:val="Tabletitle"/>
    <w:next w:val="Tabletitle"/>
    <w:uiPriority w:val="99"/>
    <w:unhideWhenUsed/>
    <w:rsid w:val="00C61CE8"/>
    <w:rPr>
      <w:rFonts w:eastAsia="PMingLiU"/>
      <w:szCs w:val="20"/>
    </w:rPr>
  </w:style>
  <w:style w:type="character" w:styleId="BookTitle">
    <w:name w:val="Book Title"/>
    <w:basedOn w:val="DefaultParagraphFont"/>
    <w:uiPriority w:val="33"/>
    <w:qFormat/>
    <w:rsid w:val="00CD20B4"/>
    <w:rPr>
      <w:b/>
      <w:bCs/>
      <w:smallCaps/>
      <w:spacing w:val="5"/>
    </w:rPr>
  </w:style>
  <w:style w:type="paragraph" w:customStyle="1" w:styleId="References">
    <w:name w:val="References"/>
    <w:basedOn w:val="Normal"/>
    <w:qFormat/>
    <w:rsid w:val="004F44E9"/>
    <w:pPr>
      <w:spacing w:before="120" w:after="0" w:line="360" w:lineRule="auto"/>
      <w:ind w:left="720" w:hanging="720"/>
      <w:contextualSpacing/>
    </w:pPr>
    <w:rPr>
      <w:rFonts w:eastAsia="Times New Roman" w:cs="Times New Roman"/>
      <w:lang w:val="en-GB" w:eastAsia="en-GB"/>
    </w:rPr>
  </w:style>
  <w:style w:type="character" w:styleId="CommentReference">
    <w:name w:val="annotation reference"/>
    <w:basedOn w:val="DefaultParagraphFont"/>
    <w:uiPriority w:val="99"/>
    <w:semiHidden/>
    <w:unhideWhenUsed/>
    <w:rsid w:val="001E3E2A"/>
    <w:rPr>
      <w:sz w:val="16"/>
      <w:szCs w:val="16"/>
    </w:rPr>
  </w:style>
  <w:style w:type="paragraph" w:customStyle="1" w:styleId="Default">
    <w:name w:val="Default"/>
    <w:rsid w:val="001E3E2A"/>
    <w:pPr>
      <w:autoSpaceDE w:val="0"/>
      <w:autoSpaceDN w:val="0"/>
      <w:adjustRightInd w:val="0"/>
      <w:spacing w:after="0"/>
    </w:pPr>
    <w:rPr>
      <w:rFonts w:ascii="Lucida" w:hAnsi="Lucida" w:cs="Lucida"/>
      <w:color w:val="000000"/>
    </w:rPr>
  </w:style>
  <w:style w:type="character" w:styleId="HTMLCite">
    <w:name w:val="HTML Cite"/>
    <w:basedOn w:val="DefaultParagraphFont"/>
    <w:uiPriority w:val="99"/>
    <w:semiHidden/>
    <w:unhideWhenUsed/>
    <w:rsid w:val="001E3E2A"/>
    <w:rPr>
      <w:i/>
      <w:iCs/>
    </w:rPr>
  </w:style>
  <w:style w:type="character" w:customStyle="1" w:styleId="Heading5Char">
    <w:name w:val="Heading 5 Char"/>
    <w:basedOn w:val="DefaultParagraphFont"/>
    <w:link w:val="Heading5"/>
    <w:uiPriority w:val="9"/>
    <w:rsid w:val="00A25DD0"/>
    <w:rPr>
      <w:rFonts w:asciiTheme="majorHAnsi" w:eastAsiaTheme="majorEastAsia" w:hAnsiTheme="majorHAnsi" w:cstheme="majorBidi"/>
      <w:color w:val="243F60" w:themeColor="accent1" w:themeShade="7F"/>
    </w:rPr>
  </w:style>
  <w:style w:type="paragraph" w:styleId="TOAHeading">
    <w:name w:val="toa heading"/>
    <w:basedOn w:val="Normal"/>
    <w:next w:val="Normal"/>
    <w:uiPriority w:val="99"/>
    <w:semiHidden/>
    <w:unhideWhenUsed/>
    <w:rsid w:val="00CF6E50"/>
    <w:pPr>
      <w:spacing w:before="120"/>
    </w:pPr>
    <w:rPr>
      <w:rFonts w:asciiTheme="majorHAnsi" w:eastAsiaTheme="majorEastAsia" w:hAnsiTheme="majorHAnsi" w:cstheme="majorBidi"/>
      <w:b/>
      <w:bCs/>
    </w:rPr>
  </w:style>
  <w:style w:type="paragraph" w:styleId="TOC4">
    <w:name w:val="toc 4"/>
    <w:basedOn w:val="Normal"/>
    <w:next w:val="Normal"/>
    <w:autoRedefine/>
    <w:uiPriority w:val="39"/>
    <w:unhideWhenUsed/>
    <w:rsid w:val="00E31705"/>
    <w:pPr>
      <w:spacing w:after="100"/>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6251">
      <w:bodyDiv w:val="1"/>
      <w:marLeft w:val="0"/>
      <w:marRight w:val="0"/>
      <w:marTop w:val="0"/>
      <w:marBottom w:val="0"/>
      <w:divBdr>
        <w:top w:val="none" w:sz="0" w:space="0" w:color="auto"/>
        <w:left w:val="none" w:sz="0" w:space="0" w:color="auto"/>
        <w:bottom w:val="none" w:sz="0" w:space="0" w:color="auto"/>
        <w:right w:val="none" w:sz="0" w:space="0" w:color="auto"/>
      </w:divBdr>
    </w:div>
    <w:div w:id="90440458">
      <w:bodyDiv w:val="1"/>
      <w:marLeft w:val="0"/>
      <w:marRight w:val="0"/>
      <w:marTop w:val="0"/>
      <w:marBottom w:val="0"/>
      <w:divBdr>
        <w:top w:val="none" w:sz="0" w:space="0" w:color="auto"/>
        <w:left w:val="none" w:sz="0" w:space="0" w:color="auto"/>
        <w:bottom w:val="none" w:sz="0" w:space="0" w:color="auto"/>
        <w:right w:val="none" w:sz="0" w:space="0" w:color="auto"/>
      </w:divBdr>
    </w:div>
    <w:div w:id="91172614">
      <w:bodyDiv w:val="1"/>
      <w:marLeft w:val="0"/>
      <w:marRight w:val="0"/>
      <w:marTop w:val="0"/>
      <w:marBottom w:val="0"/>
      <w:divBdr>
        <w:top w:val="none" w:sz="0" w:space="0" w:color="auto"/>
        <w:left w:val="none" w:sz="0" w:space="0" w:color="auto"/>
        <w:bottom w:val="none" w:sz="0" w:space="0" w:color="auto"/>
        <w:right w:val="none" w:sz="0" w:space="0" w:color="auto"/>
      </w:divBdr>
    </w:div>
    <w:div w:id="92098173">
      <w:bodyDiv w:val="1"/>
      <w:marLeft w:val="0"/>
      <w:marRight w:val="0"/>
      <w:marTop w:val="0"/>
      <w:marBottom w:val="0"/>
      <w:divBdr>
        <w:top w:val="none" w:sz="0" w:space="0" w:color="auto"/>
        <w:left w:val="none" w:sz="0" w:space="0" w:color="auto"/>
        <w:bottom w:val="none" w:sz="0" w:space="0" w:color="auto"/>
        <w:right w:val="none" w:sz="0" w:space="0" w:color="auto"/>
      </w:divBdr>
    </w:div>
    <w:div w:id="235015401">
      <w:bodyDiv w:val="1"/>
      <w:marLeft w:val="0"/>
      <w:marRight w:val="0"/>
      <w:marTop w:val="0"/>
      <w:marBottom w:val="0"/>
      <w:divBdr>
        <w:top w:val="none" w:sz="0" w:space="0" w:color="auto"/>
        <w:left w:val="none" w:sz="0" w:space="0" w:color="auto"/>
        <w:bottom w:val="none" w:sz="0" w:space="0" w:color="auto"/>
        <w:right w:val="none" w:sz="0" w:space="0" w:color="auto"/>
      </w:divBdr>
    </w:div>
    <w:div w:id="309286685">
      <w:bodyDiv w:val="1"/>
      <w:marLeft w:val="0"/>
      <w:marRight w:val="0"/>
      <w:marTop w:val="0"/>
      <w:marBottom w:val="0"/>
      <w:divBdr>
        <w:top w:val="none" w:sz="0" w:space="0" w:color="auto"/>
        <w:left w:val="none" w:sz="0" w:space="0" w:color="auto"/>
        <w:bottom w:val="none" w:sz="0" w:space="0" w:color="auto"/>
        <w:right w:val="none" w:sz="0" w:space="0" w:color="auto"/>
      </w:divBdr>
    </w:div>
    <w:div w:id="396904438">
      <w:bodyDiv w:val="1"/>
      <w:marLeft w:val="0"/>
      <w:marRight w:val="0"/>
      <w:marTop w:val="0"/>
      <w:marBottom w:val="0"/>
      <w:divBdr>
        <w:top w:val="none" w:sz="0" w:space="0" w:color="auto"/>
        <w:left w:val="none" w:sz="0" w:space="0" w:color="auto"/>
        <w:bottom w:val="none" w:sz="0" w:space="0" w:color="auto"/>
        <w:right w:val="none" w:sz="0" w:space="0" w:color="auto"/>
      </w:divBdr>
    </w:div>
    <w:div w:id="477112685">
      <w:bodyDiv w:val="1"/>
      <w:marLeft w:val="0"/>
      <w:marRight w:val="0"/>
      <w:marTop w:val="0"/>
      <w:marBottom w:val="0"/>
      <w:divBdr>
        <w:top w:val="none" w:sz="0" w:space="0" w:color="auto"/>
        <w:left w:val="none" w:sz="0" w:space="0" w:color="auto"/>
        <w:bottom w:val="none" w:sz="0" w:space="0" w:color="auto"/>
        <w:right w:val="none" w:sz="0" w:space="0" w:color="auto"/>
      </w:divBdr>
    </w:div>
    <w:div w:id="491290290">
      <w:bodyDiv w:val="1"/>
      <w:marLeft w:val="0"/>
      <w:marRight w:val="0"/>
      <w:marTop w:val="0"/>
      <w:marBottom w:val="0"/>
      <w:divBdr>
        <w:top w:val="none" w:sz="0" w:space="0" w:color="auto"/>
        <w:left w:val="none" w:sz="0" w:space="0" w:color="auto"/>
        <w:bottom w:val="none" w:sz="0" w:space="0" w:color="auto"/>
        <w:right w:val="none" w:sz="0" w:space="0" w:color="auto"/>
      </w:divBdr>
    </w:div>
    <w:div w:id="544096924">
      <w:bodyDiv w:val="1"/>
      <w:marLeft w:val="0"/>
      <w:marRight w:val="0"/>
      <w:marTop w:val="0"/>
      <w:marBottom w:val="0"/>
      <w:divBdr>
        <w:top w:val="none" w:sz="0" w:space="0" w:color="auto"/>
        <w:left w:val="none" w:sz="0" w:space="0" w:color="auto"/>
        <w:bottom w:val="none" w:sz="0" w:space="0" w:color="auto"/>
        <w:right w:val="none" w:sz="0" w:space="0" w:color="auto"/>
      </w:divBdr>
    </w:div>
    <w:div w:id="551120372">
      <w:bodyDiv w:val="1"/>
      <w:marLeft w:val="0"/>
      <w:marRight w:val="0"/>
      <w:marTop w:val="0"/>
      <w:marBottom w:val="0"/>
      <w:divBdr>
        <w:top w:val="none" w:sz="0" w:space="0" w:color="auto"/>
        <w:left w:val="none" w:sz="0" w:space="0" w:color="auto"/>
        <w:bottom w:val="none" w:sz="0" w:space="0" w:color="auto"/>
        <w:right w:val="none" w:sz="0" w:space="0" w:color="auto"/>
      </w:divBdr>
    </w:div>
    <w:div w:id="553348759">
      <w:bodyDiv w:val="1"/>
      <w:marLeft w:val="0"/>
      <w:marRight w:val="0"/>
      <w:marTop w:val="0"/>
      <w:marBottom w:val="0"/>
      <w:divBdr>
        <w:top w:val="none" w:sz="0" w:space="0" w:color="auto"/>
        <w:left w:val="none" w:sz="0" w:space="0" w:color="auto"/>
        <w:bottom w:val="none" w:sz="0" w:space="0" w:color="auto"/>
        <w:right w:val="none" w:sz="0" w:space="0" w:color="auto"/>
      </w:divBdr>
    </w:div>
    <w:div w:id="582757401">
      <w:bodyDiv w:val="1"/>
      <w:marLeft w:val="0"/>
      <w:marRight w:val="0"/>
      <w:marTop w:val="0"/>
      <w:marBottom w:val="0"/>
      <w:divBdr>
        <w:top w:val="none" w:sz="0" w:space="0" w:color="auto"/>
        <w:left w:val="none" w:sz="0" w:space="0" w:color="auto"/>
        <w:bottom w:val="none" w:sz="0" w:space="0" w:color="auto"/>
        <w:right w:val="none" w:sz="0" w:space="0" w:color="auto"/>
      </w:divBdr>
    </w:div>
    <w:div w:id="901331820">
      <w:bodyDiv w:val="1"/>
      <w:marLeft w:val="0"/>
      <w:marRight w:val="0"/>
      <w:marTop w:val="0"/>
      <w:marBottom w:val="0"/>
      <w:divBdr>
        <w:top w:val="none" w:sz="0" w:space="0" w:color="auto"/>
        <w:left w:val="none" w:sz="0" w:space="0" w:color="auto"/>
        <w:bottom w:val="none" w:sz="0" w:space="0" w:color="auto"/>
        <w:right w:val="none" w:sz="0" w:space="0" w:color="auto"/>
      </w:divBdr>
    </w:div>
    <w:div w:id="1037779525">
      <w:bodyDiv w:val="1"/>
      <w:marLeft w:val="0"/>
      <w:marRight w:val="0"/>
      <w:marTop w:val="0"/>
      <w:marBottom w:val="0"/>
      <w:divBdr>
        <w:top w:val="none" w:sz="0" w:space="0" w:color="auto"/>
        <w:left w:val="none" w:sz="0" w:space="0" w:color="auto"/>
        <w:bottom w:val="none" w:sz="0" w:space="0" w:color="auto"/>
        <w:right w:val="none" w:sz="0" w:space="0" w:color="auto"/>
      </w:divBdr>
    </w:div>
    <w:div w:id="1204750064">
      <w:bodyDiv w:val="1"/>
      <w:marLeft w:val="0"/>
      <w:marRight w:val="0"/>
      <w:marTop w:val="0"/>
      <w:marBottom w:val="0"/>
      <w:divBdr>
        <w:top w:val="none" w:sz="0" w:space="0" w:color="auto"/>
        <w:left w:val="none" w:sz="0" w:space="0" w:color="auto"/>
        <w:bottom w:val="none" w:sz="0" w:space="0" w:color="auto"/>
        <w:right w:val="none" w:sz="0" w:space="0" w:color="auto"/>
      </w:divBdr>
    </w:div>
    <w:div w:id="1215240550">
      <w:bodyDiv w:val="1"/>
      <w:marLeft w:val="0"/>
      <w:marRight w:val="0"/>
      <w:marTop w:val="0"/>
      <w:marBottom w:val="0"/>
      <w:divBdr>
        <w:top w:val="none" w:sz="0" w:space="0" w:color="auto"/>
        <w:left w:val="none" w:sz="0" w:space="0" w:color="auto"/>
        <w:bottom w:val="none" w:sz="0" w:space="0" w:color="auto"/>
        <w:right w:val="none" w:sz="0" w:space="0" w:color="auto"/>
      </w:divBdr>
    </w:div>
    <w:div w:id="1324356997">
      <w:bodyDiv w:val="1"/>
      <w:marLeft w:val="0"/>
      <w:marRight w:val="0"/>
      <w:marTop w:val="0"/>
      <w:marBottom w:val="0"/>
      <w:divBdr>
        <w:top w:val="none" w:sz="0" w:space="0" w:color="auto"/>
        <w:left w:val="none" w:sz="0" w:space="0" w:color="auto"/>
        <w:bottom w:val="none" w:sz="0" w:space="0" w:color="auto"/>
        <w:right w:val="none" w:sz="0" w:space="0" w:color="auto"/>
      </w:divBdr>
    </w:div>
    <w:div w:id="1352996427">
      <w:bodyDiv w:val="1"/>
      <w:marLeft w:val="0"/>
      <w:marRight w:val="0"/>
      <w:marTop w:val="0"/>
      <w:marBottom w:val="0"/>
      <w:divBdr>
        <w:top w:val="none" w:sz="0" w:space="0" w:color="auto"/>
        <w:left w:val="none" w:sz="0" w:space="0" w:color="auto"/>
        <w:bottom w:val="none" w:sz="0" w:space="0" w:color="auto"/>
        <w:right w:val="none" w:sz="0" w:space="0" w:color="auto"/>
      </w:divBdr>
    </w:div>
    <w:div w:id="1385254851">
      <w:bodyDiv w:val="1"/>
      <w:marLeft w:val="0"/>
      <w:marRight w:val="0"/>
      <w:marTop w:val="0"/>
      <w:marBottom w:val="0"/>
      <w:divBdr>
        <w:top w:val="none" w:sz="0" w:space="0" w:color="auto"/>
        <w:left w:val="none" w:sz="0" w:space="0" w:color="auto"/>
        <w:bottom w:val="none" w:sz="0" w:space="0" w:color="auto"/>
        <w:right w:val="none" w:sz="0" w:space="0" w:color="auto"/>
      </w:divBdr>
    </w:div>
    <w:div w:id="1446191680">
      <w:bodyDiv w:val="1"/>
      <w:marLeft w:val="0"/>
      <w:marRight w:val="0"/>
      <w:marTop w:val="0"/>
      <w:marBottom w:val="0"/>
      <w:divBdr>
        <w:top w:val="none" w:sz="0" w:space="0" w:color="auto"/>
        <w:left w:val="none" w:sz="0" w:space="0" w:color="auto"/>
        <w:bottom w:val="none" w:sz="0" w:space="0" w:color="auto"/>
        <w:right w:val="none" w:sz="0" w:space="0" w:color="auto"/>
      </w:divBdr>
    </w:div>
    <w:div w:id="1481382480">
      <w:bodyDiv w:val="1"/>
      <w:marLeft w:val="0"/>
      <w:marRight w:val="0"/>
      <w:marTop w:val="0"/>
      <w:marBottom w:val="0"/>
      <w:divBdr>
        <w:top w:val="none" w:sz="0" w:space="0" w:color="auto"/>
        <w:left w:val="none" w:sz="0" w:space="0" w:color="auto"/>
        <w:bottom w:val="none" w:sz="0" w:space="0" w:color="auto"/>
        <w:right w:val="none" w:sz="0" w:space="0" w:color="auto"/>
      </w:divBdr>
    </w:div>
    <w:div w:id="1590844323">
      <w:bodyDiv w:val="1"/>
      <w:marLeft w:val="0"/>
      <w:marRight w:val="0"/>
      <w:marTop w:val="0"/>
      <w:marBottom w:val="0"/>
      <w:divBdr>
        <w:top w:val="none" w:sz="0" w:space="0" w:color="auto"/>
        <w:left w:val="none" w:sz="0" w:space="0" w:color="auto"/>
        <w:bottom w:val="none" w:sz="0" w:space="0" w:color="auto"/>
        <w:right w:val="none" w:sz="0" w:space="0" w:color="auto"/>
      </w:divBdr>
    </w:div>
    <w:div w:id="1655328952">
      <w:bodyDiv w:val="1"/>
      <w:marLeft w:val="0"/>
      <w:marRight w:val="0"/>
      <w:marTop w:val="0"/>
      <w:marBottom w:val="0"/>
      <w:divBdr>
        <w:top w:val="none" w:sz="0" w:space="0" w:color="auto"/>
        <w:left w:val="none" w:sz="0" w:space="0" w:color="auto"/>
        <w:bottom w:val="none" w:sz="0" w:space="0" w:color="auto"/>
        <w:right w:val="none" w:sz="0" w:space="0" w:color="auto"/>
      </w:divBdr>
    </w:div>
    <w:div w:id="1695616825">
      <w:bodyDiv w:val="1"/>
      <w:marLeft w:val="0"/>
      <w:marRight w:val="0"/>
      <w:marTop w:val="0"/>
      <w:marBottom w:val="0"/>
      <w:divBdr>
        <w:top w:val="none" w:sz="0" w:space="0" w:color="auto"/>
        <w:left w:val="none" w:sz="0" w:space="0" w:color="auto"/>
        <w:bottom w:val="none" w:sz="0" w:space="0" w:color="auto"/>
        <w:right w:val="none" w:sz="0" w:space="0" w:color="auto"/>
      </w:divBdr>
    </w:div>
    <w:div w:id="1761218969">
      <w:bodyDiv w:val="1"/>
      <w:marLeft w:val="0"/>
      <w:marRight w:val="0"/>
      <w:marTop w:val="0"/>
      <w:marBottom w:val="0"/>
      <w:divBdr>
        <w:top w:val="none" w:sz="0" w:space="0" w:color="auto"/>
        <w:left w:val="none" w:sz="0" w:space="0" w:color="auto"/>
        <w:bottom w:val="none" w:sz="0" w:space="0" w:color="auto"/>
        <w:right w:val="none" w:sz="0" w:space="0" w:color="auto"/>
      </w:divBdr>
    </w:div>
    <w:div w:id="1837498502">
      <w:bodyDiv w:val="1"/>
      <w:marLeft w:val="0"/>
      <w:marRight w:val="0"/>
      <w:marTop w:val="0"/>
      <w:marBottom w:val="0"/>
      <w:divBdr>
        <w:top w:val="none" w:sz="0" w:space="0" w:color="auto"/>
        <w:left w:val="none" w:sz="0" w:space="0" w:color="auto"/>
        <w:bottom w:val="none" w:sz="0" w:space="0" w:color="auto"/>
        <w:right w:val="none" w:sz="0" w:space="0" w:color="auto"/>
      </w:divBdr>
    </w:div>
    <w:div w:id="1948074817">
      <w:bodyDiv w:val="1"/>
      <w:marLeft w:val="0"/>
      <w:marRight w:val="0"/>
      <w:marTop w:val="0"/>
      <w:marBottom w:val="0"/>
      <w:divBdr>
        <w:top w:val="none" w:sz="0" w:space="0" w:color="auto"/>
        <w:left w:val="none" w:sz="0" w:space="0" w:color="auto"/>
        <w:bottom w:val="none" w:sz="0" w:space="0" w:color="auto"/>
        <w:right w:val="none" w:sz="0" w:space="0" w:color="auto"/>
      </w:divBdr>
    </w:div>
    <w:div w:id="197089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jpg"/><Relationship Id="rId34" Type="http://schemas.openxmlformats.org/officeDocument/2006/relationships/image" Target="media/image24.tiff"/><Relationship Id="rId42"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tiff"/><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image" Target="media/image19.jp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footer" Target="footer2.xml"/><Relationship Id="rId19" Type="http://schemas.openxmlformats.org/officeDocument/2006/relationships/image" Target="media/image9.jpeg"/><Relationship Id="rId31" Type="http://schemas.openxmlformats.org/officeDocument/2006/relationships/image" Target="media/image21.tiff"/><Relationship Id="rId44"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image" Target="media/image20.tiff"/><Relationship Id="rId35" Type="http://schemas.openxmlformats.org/officeDocument/2006/relationships/image" Target="media/image25.png"/><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FD885F9F97444AA8B23E253B03CC215"/>
        <w:category>
          <w:name w:val="General"/>
          <w:gallery w:val="placeholder"/>
        </w:category>
        <w:types>
          <w:type w:val="bbPlcHdr"/>
        </w:types>
        <w:behaviors>
          <w:behavior w:val="content"/>
        </w:behaviors>
        <w:guid w:val="{A3208D02-EAD4-439E-A27B-14480D019221}"/>
      </w:docPartPr>
      <w:docPartBody>
        <w:p w:rsidR="00076224" w:rsidRDefault="00076224" w:rsidP="00076224">
          <w:pPr>
            <w:pStyle w:val="FFD885F9F97444AA8B23E253B03CC215"/>
          </w:pPr>
          <w:r w:rsidRPr="00AC7F25">
            <w:rPr>
              <w:rStyle w:val="PlaceholderText"/>
            </w:rPr>
            <w:t>Choose an item.</w:t>
          </w:r>
        </w:p>
      </w:docPartBody>
    </w:docPart>
    <w:docPart>
      <w:docPartPr>
        <w:name w:val="DefaultPlaceholder_22675704"/>
        <w:category>
          <w:name w:val="General"/>
          <w:gallery w:val="placeholder"/>
        </w:category>
        <w:types>
          <w:type w:val="bbPlcHdr"/>
        </w:types>
        <w:behaviors>
          <w:behavior w:val="content"/>
        </w:behaviors>
        <w:guid w:val="{ADF8B485-860D-4BC5-B15C-7E5F9C12D1FB}"/>
      </w:docPartPr>
      <w:docPartBody>
        <w:p w:rsidR="00F67A05" w:rsidRDefault="00076224">
          <w:r w:rsidRPr="00C61AB6">
            <w:rPr>
              <w:rStyle w:val="PlaceholderText"/>
            </w:rPr>
            <w:t>Choose an item.</w:t>
          </w:r>
        </w:p>
      </w:docPartBody>
    </w:docPart>
    <w:docPart>
      <w:docPartPr>
        <w:name w:val="384EB1281DD84DB6A4A7221152EDBB7C"/>
        <w:category>
          <w:name w:val="General"/>
          <w:gallery w:val="placeholder"/>
        </w:category>
        <w:types>
          <w:type w:val="bbPlcHdr"/>
        </w:types>
        <w:behaviors>
          <w:behavior w:val="content"/>
        </w:behaviors>
        <w:guid w:val="{5145A507-D00D-47D8-9911-B2CB22481417}"/>
      </w:docPartPr>
      <w:docPartBody>
        <w:p w:rsidR="00F67A05" w:rsidRDefault="00076224" w:rsidP="00076224">
          <w:pPr>
            <w:pStyle w:val="384EB1281DD84DB6A4A7221152EDBB7C"/>
          </w:pPr>
          <w:r w:rsidRPr="00345F8B">
            <w:rPr>
              <w:rStyle w:val="PlaceholderText"/>
              <w:color w:val="auto"/>
            </w:rPr>
            <w:t>Choose an item.</w:t>
          </w:r>
        </w:p>
      </w:docPartBody>
    </w:docPart>
    <w:docPart>
      <w:docPartPr>
        <w:name w:val="DefaultPlaceholder_22675703"/>
        <w:category>
          <w:name w:val="General"/>
          <w:gallery w:val="placeholder"/>
        </w:category>
        <w:types>
          <w:type w:val="bbPlcHdr"/>
        </w:types>
        <w:behaviors>
          <w:behavior w:val="content"/>
        </w:behaviors>
        <w:guid w:val="{0FE8C589-8559-4DD5-A9FA-18BBBC6C3616}"/>
      </w:docPartPr>
      <w:docPartBody>
        <w:p w:rsidR="00F67A05" w:rsidRDefault="00076224">
          <w:r w:rsidRPr="00C61AB6">
            <w:rPr>
              <w:rStyle w:val="PlaceholderText"/>
            </w:rPr>
            <w:t>Click here to enter text.</w:t>
          </w:r>
        </w:p>
      </w:docPartBody>
    </w:docPart>
    <w:docPart>
      <w:docPartPr>
        <w:name w:val="5012952D2F334927B97B3ABCDDF5CA5D"/>
        <w:category>
          <w:name w:val="General"/>
          <w:gallery w:val="placeholder"/>
        </w:category>
        <w:types>
          <w:type w:val="bbPlcHdr"/>
        </w:types>
        <w:behaviors>
          <w:behavior w:val="content"/>
        </w:behaviors>
        <w:guid w:val="{5C69EEE3-DAB3-4192-87EE-DEE15F17213A}"/>
      </w:docPartPr>
      <w:docPartBody>
        <w:p w:rsidR="00F67A05" w:rsidRDefault="00076224" w:rsidP="00076224">
          <w:pPr>
            <w:pStyle w:val="5012952D2F334927B97B3ABCDDF5CA5D"/>
          </w:pPr>
          <w:r w:rsidRPr="00C61AB6">
            <w:rPr>
              <w:rStyle w:val="PlaceholderText"/>
            </w:rPr>
            <w:t>Choose an item.</w:t>
          </w:r>
        </w:p>
      </w:docPartBody>
    </w:docPart>
    <w:docPart>
      <w:docPartPr>
        <w:name w:val="5FAB1FB5E15348DABA0AA160ACC9FF74"/>
        <w:category>
          <w:name w:val="General"/>
          <w:gallery w:val="placeholder"/>
        </w:category>
        <w:types>
          <w:type w:val="bbPlcHdr"/>
        </w:types>
        <w:behaviors>
          <w:behavior w:val="content"/>
        </w:behaviors>
        <w:guid w:val="{D92D5B23-2D00-4BF9-99CF-98AB29C0EDE3}"/>
      </w:docPartPr>
      <w:docPartBody>
        <w:p w:rsidR="00F67A05" w:rsidRDefault="00076224" w:rsidP="00076224">
          <w:pPr>
            <w:pStyle w:val="5FAB1FB5E15348DABA0AA160ACC9FF74"/>
          </w:pPr>
          <w:r w:rsidRPr="00C61AB6">
            <w:rPr>
              <w:rStyle w:val="PlaceholderText"/>
            </w:rPr>
            <w:t>Click here to enter text.</w:t>
          </w:r>
        </w:p>
      </w:docPartBody>
    </w:docPart>
    <w:docPart>
      <w:docPartPr>
        <w:name w:val="2613775B354B424AB754EC5C5EDF9F93"/>
        <w:category>
          <w:name w:val="General"/>
          <w:gallery w:val="placeholder"/>
        </w:category>
        <w:types>
          <w:type w:val="bbPlcHdr"/>
        </w:types>
        <w:behaviors>
          <w:behavior w:val="content"/>
        </w:behaviors>
        <w:guid w:val="{5D2C3052-E8E4-4316-8DDF-3C2CF66717F9}"/>
      </w:docPartPr>
      <w:docPartBody>
        <w:p w:rsidR="00F67A05" w:rsidRDefault="00076224" w:rsidP="00076224">
          <w:pPr>
            <w:pStyle w:val="2613775B354B424AB754EC5C5EDF9F93"/>
          </w:pPr>
          <w:r w:rsidRPr="00C61AB6">
            <w:rPr>
              <w:rStyle w:val="PlaceholderText"/>
            </w:rPr>
            <w:t>Choose an item.</w:t>
          </w:r>
        </w:p>
      </w:docPartBody>
    </w:docPart>
    <w:docPart>
      <w:docPartPr>
        <w:name w:val="7A19CBBEBA334B5EB6066CBA073C5C45"/>
        <w:category>
          <w:name w:val="General"/>
          <w:gallery w:val="placeholder"/>
        </w:category>
        <w:types>
          <w:type w:val="bbPlcHdr"/>
        </w:types>
        <w:behaviors>
          <w:behavior w:val="content"/>
        </w:behaviors>
        <w:guid w:val="{366F8858-5468-4D35-BDFC-F7D3B8A5B185}"/>
      </w:docPartPr>
      <w:docPartBody>
        <w:p w:rsidR="00F67A05" w:rsidRDefault="00076224" w:rsidP="00076224">
          <w:pPr>
            <w:pStyle w:val="7A19CBBEBA334B5EB6066CBA073C5C45"/>
          </w:pPr>
          <w:r w:rsidRPr="00C61AB6">
            <w:rPr>
              <w:rStyle w:val="PlaceholderText"/>
            </w:rPr>
            <w:t>Click here to enter text.</w:t>
          </w:r>
        </w:p>
      </w:docPartBody>
    </w:docPart>
    <w:docPart>
      <w:docPartPr>
        <w:name w:val="40DEB334B1214EAB8BECEA2C35410828"/>
        <w:category>
          <w:name w:val="General"/>
          <w:gallery w:val="placeholder"/>
        </w:category>
        <w:types>
          <w:type w:val="bbPlcHdr"/>
        </w:types>
        <w:behaviors>
          <w:behavior w:val="content"/>
        </w:behaviors>
        <w:guid w:val="{3BE99A02-35DF-4168-B0AB-6FAA0EEF424D}"/>
      </w:docPartPr>
      <w:docPartBody>
        <w:p w:rsidR="00F67A05" w:rsidRDefault="00076224" w:rsidP="00076224">
          <w:pPr>
            <w:pStyle w:val="40DEB334B1214EAB8BECEA2C35410828"/>
          </w:pPr>
          <w:r w:rsidRPr="00C61AB6">
            <w:rPr>
              <w:rStyle w:val="PlaceholderText"/>
            </w:rPr>
            <w:t>Choose an item.</w:t>
          </w:r>
        </w:p>
      </w:docPartBody>
    </w:docPart>
    <w:docPart>
      <w:docPartPr>
        <w:name w:val="F4E1D8E92F2F42A49593A2DCA94FDE4B"/>
        <w:category>
          <w:name w:val="General"/>
          <w:gallery w:val="placeholder"/>
        </w:category>
        <w:types>
          <w:type w:val="bbPlcHdr"/>
        </w:types>
        <w:behaviors>
          <w:behavior w:val="content"/>
        </w:behaviors>
        <w:guid w:val="{D8C56505-C85C-4A51-A734-8D7C15A00B48}"/>
      </w:docPartPr>
      <w:docPartBody>
        <w:p w:rsidR="00F67A05" w:rsidRDefault="00076224" w:rsidP="00076224">
          <w:pPr>
            <w:pStyle w:val="F4E1D8E92F2F42A49593A2DCA94FDE4B"/>
          </w:pPr>
          <w:r w:rsidRPr="00C61AB6">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w:altName w:val="Lucid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dvPSA88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2"/>
  </w:compat>
  <w:rsids>
    <w:rsidRoot w:val="00076224"/>
    <w:rsid w:val="0001535C"/>
    <w:rsid w:val="00076224"/>
    <w:rsid w:val="0008564B"/>
    <w:rsid w:val="00134452"/>
    <w:rsid w:val="0014783D"/>
    <w:rsid w:val="001D57DA"/>
    <w:rsid w:val="002A7140"/>
    <w:rsid w:val="002F25F8"/>
    <w:rsid w:val="00532752"/>
    <w:rsid w:val="005F58AE"/>
    <w:rsid w:val="006048AA"/>
    <w:rsid w:val="006153A0"/>
    <w:rsid w:val="00780D3B"/>
    <w:rsid w:val="008964F7"/>
    <w:rsid w:val="008B4AE9"/>
    <w:rsid w:val="008C68DC"/>
    <w:rsid w:val="008F1B6E"/>
    <w:rsid w:val="00965C9A"/>
    <w:rsid w:val="00B03144"/>
    <w:rsid w:val="00B11D39"/>
    <w:rsid w:val="00BF0320"/>
    <w:rsid w:val="00CE034D"/>
    <w:rsid w:val="00D41054"/>
    <w:rsid w:val="00D527A7"/>
    <w:rsid w:val="00DE48BA"/>
    <w:rsid w:val="00DE7984"/>
    <w:rsid w:val="00E6070F"/>
    <w:rsid w:val="00E71BD2"/>
    <w:rsid w:val="00ED1C53"/>
    <w:rsid w:val="00F22C53"/>
    <w:rsid w:val="00F67A05"/>
    <w:rsid w:val="00FA6BB8"/>
    <w:rsid w:val="00FA6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A05"/>
    <w:rPr>
      <w:color w:val="808080"/>
    </w:rPr>
  </w:style>
  <w:style w:type="paragraph" w:customStyle="1" w:styleId="FFD885F9F97444AA8B23E253B03CC215">
    <w:name w:val="FFD885F9F97444AA8B23E253B03CC215"/>
    <w:rsid w:val="00076224"/>
  </w:style>
  <w:style w:type="paragraph" w:customStyle="1" w:styleId="9F4A52AD0FFD451A992CFCC3D7C95423">
    <w:name w:val="9F4A52AD0FFD451A992CFCC3D7C95423"/>
    <w:rsid w:val="00076224"/>
  </w:style>
  <w:style w:type="paragraph" w:customStyle="1" w:styleId="397A584B0E194A8C8800577DCED86EFF">
    <w:name w:val="397A584B0E194A8C8800577DCED86EFF"/>
    <w:rsid w:val="00076224"/>
  </w:style>
  <w:style w:type="paragraph" w:customStyle="1" w:styleId="A4CBFF4FB6E341AC9579AE14966C5C14">
    <w:name w:val="A4CBFF4FB6E341AC9579AE14966C5C14"/>
    <w:rsid w:val="00076224"/>
  </w:style>
  <w:style w:type="paragraph" w:customStyle="1" w:styleId="384EB1281DD84DB6A4A7221152EDBB7C">
    <w:name w:val="384EB1281DD84DB6A4A7221152EDBB7C"/>
    <w:rsid w:val="00076224"/>
    <w:pPr>
      <w:spacing w:line="240" w:lineRule="auto"/>
    </w:pPr>
    <w:rPr>
      <w:rFonts w:ascii="Times New Roman" w:eastAsiaTheme="minorHAnsi" w:hAnsi="Times New Roman" w:cs="Arial"/>
      <w:sz w:val="24"/>
      <w:szCs w:val="24"/>
    </w:rPr>
  </w:style>
  <w:style w:type="paragraph" w:customStyle="1" w:styleId="3E0A1A2703B04A2DBF5724322AD0E526">
    <w:name w:val="3E0A1A2703B04A2DBF5724322AD0E526"/>
    <w:rsid w:val="00076224"/>
    <w:pPr>
      <w:spacing w:line="240" w:lineRule="auto"/>
    </w:pPr>
    <w:rPr>
      <w:rFonts w:ascii="Times New Roman" w:eastAsiaTheme="minorHAnsi" w:hAnsi="Times New Roman" w:cs="Arial"/>
      <w:sz w:val="24"/>
      <w:szCs w:val="24"/>
    </w:rPr>
  </w:style>
  <w:style w:type="paragraph" w:customStyle="1" w:styleId="D50ADD9FF2044409978DF416C4AB75E8">
    <w:name w:val="D50ADD9FF2044409978DF416C4AB75E8"/>
    <w:rsid w:val="00076224"/>
  </w:style>
  <w:style w:type="paragraph" w:customStyle="1" w:styleId="AE643F028939417791CC8CAF344F6DBE">
    <w:name w:val="AE643F028939417791CC8CAF344F6DBE"/>
    <w:rsid w:val="00076224"/>
  </w:style>
  <w:style w:type="paragraph" w:customStyle="1" w:styleId="437F5B8F32164C0482BAB883C01F5524">
    <w:name w:val="437F5B8F32164C0482BAB883C01F5524"/>
    <w:rsid w:val="00076224"/>
  </w:style>
  <w:style w:type="paragraph" w:customStyle="1" w:styleId="61F41FB5F9AE44A39921ACC40B46E786">
    <w:name w:val="61F41FB5F9AE44A39921ACC40B46E786"/>
    <w:rsid w:val="00076224"/>
  </w:style>
  <w:style w:type="paragraph" w:customStyle="1" w:styleId="5012952D2F334927B97B3ABCDDF5CA5D">
    <w:name w:val="5012952D2F334927B97B3ABCDDF5CA5D"/>
    <w:rsid w:val="00076224"/>
  </w:style>
  <w:style w:type="paragraph" w:customStyle="1" w:styleId="5FAB1FB5E15348DABA0AA160ACC9FF74">
    <w:name w:val="5FAB1FB5E15348DABA0AA160ACC9FF74"/>
    <w:rsid w:val="00076224"/>
  </w:style>
  <w:style w:type="paragraph" w:customStyle="1" w:styleId="2613775B354B424AB754EC5C5EDF9F93">
    <w:name w:val="2613775B354B424AB754EC5C5EDF9F93"/>
    <w:rsid w:val="00076224"/>
  </w:style>
  <w:style w:type="paragraph" w:customStyle="1" w:styleId="7A19CBBEBA334B5EB6066CBA073C5C45">
    <w:name w:val="7A19CBBEBA334B5EB6066CBA073C5C45"/>
    <w:rsid w:val="00076224"/>
  </w:style>
  <w:style w:type="paragraph" w:customStyle="1" w:styleId="40DEB334B1214EAB8BECEA2C35410828">
    <w:name w:val="40DEB334B1214EAB8BECEA2C35410828"/>
    <w:rsid w:val="00076224"/>
  </w:style>
  <w:style w:type="paragraph" w:customStyle="1" w:styleId="F4E1D8E92F2F42A49593A2DCA94FDE4B">
    <w:name w:val="F4E1D8E92F2F42A49593A2DCA94FDE4B"/>
    <w:rsid w:val="00076224"/>
  </w:style>
  <w:style w:type="paragraph" w:customStyle="1" w:styleId="1DE05551FD53402E9DD5BAAD24387596">
    <w:name w:val="1DE05551FD53402E9DD5BAAD24387596"/>
    <w:rsid w:val="00F67A05"/>
  </w:style>
  <w:style w:type="paragraph" w:customStyle="1" w:styleId="F3BAD3C8550949EAB1FC3F3E51465A4F">
    <w:name w:val="F3BAD3C8550949EAB1FC3F3E51465A4F"/>
    <w:rsid w:val="00F67A05"/>
  </w:style>
  <w:style w:type="paragraph" w:customStyle="1" w:styleId="80A46006C4AA4B5BB7965485123A375F">
    <w:name w:val="80A46006C4AA4B5BB7965485123A375F"/>
    <w:rsid w:val="00F67A05"/>
  </w:style>
  <w:style w:type="paragraph" w:customStyle="1" w:styleId="22AE73C5A93E47E49D0CC894723CCD72">
    <w:name w:val="22AE73C5A93E47E49D0CC894723CCD72"/>
    <w:rsid w:val="00F67A0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F6616-A4F3-41AB-AF92-E1AFF6FE5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160</Pages>
  <Words>34602</Words>
  <Characters>197238</Characters>
  <Application>Microsoft Office Word</Application>
  <DocSecurity>0</DocSecurity>
  <Lines>1643</Lines>
  <Paragraphs>462</Paragraphs>
  <ScaleCrop>false</ScaleCrop>
  <HeadingPairs>
    <vt:vector size="2" baseType="variant">
      <vt:variant>
        <vt:lpstr>Title</vt:lpstr>
      </vt:variant>
      <vt:variant>
        <vt:i4>1</vt:i4>
      </vt:variant>
    </vt:vector>
  </HeadingPairs>
  <TitlesOfParts>
    <vt:vector size="1" baseType="lpstr">
      <vt:lpstr/>
    </vt:vector>
  </TitlesOfParts>
  <Company>OU</Company>
  <LinksUpToDate>false</LinksUpToDate>
  <CharactersWithSpaces>231378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Vaughan</dc:creator>
  <cp:lastModifiedBy>Justin Goldstein</cp:lastModifiedBy>
  <cp:revision>11</cp:revision>
  <cp:lastPrinted>2013-09-15T14:56:00Z</cp:lastPrinted>
  <dcterms:created xsi:type="dcterms:W3CDTF">2013-09-21T17:21:00Z</dcterms:created>
  <dcterms:modified xsi:type="dcterms:W3CDTF">2013-09-27T19:09:00Z</dcterms:modified>
</cp:coreProperties>
</file>