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C1DB4AF" w14:textId="77777777" w:rsidR="00894643" w:rsidRPr="00291FDD" w:rsidRDefault="00894643" w:rsidP="00963505">
      <w:pPr>
        <w:jc w:val="center"/>
        <w:rPr>
          <w:noProof/>
          <w:sz w:val="28"/>
          <w:szCs w:val="24"/>
        </w:rPr>
      </w:pPr>
      <w:r w:rsidRPr="00291FDD">
        <w:rPr>
          <w:noProof/>
          <w:sz w:val="28"/>
          <w:szCs w:val="24"/>
        </w:rPr>
        <w:t>UNIVERSITY OF OKLAHOMA</w:t>
      </w:r>
    </w:p>
    <w:p w14:paraId="529B2A87" w14:textId="37F5F3A0" w:rsidR="00894643" w:rsidRPr="00291FDD" w:rsidRDefault="00894643" w:rsidP="00963505">
      <w:pPr>
        <w:jc w:val="center"/>
        <w:rPr>
          <w:noProof/>
          <w:sz w:val="28"/>
          <w:szCs w:val="24"/>
        </w:rPr>
      </w:pPr>
      <w:r w:rsidRPr="00291FDD">
        <w:rPr>
          <w:noProof/>
          <w:sz w:val="28"/>
          <w:szCs w:val="24"/>
        </w:rPr>
        <w:t>GRADUATE COLLEGE</w:t>
      </w:r>
    </w:p>
    <w:p w14:paraId="202EC032" w14:textId="77777777" w:rsidR="00894643" w:rsidRPr="00291FDD" w:rsidRDefault="00894643" w:rsidP="00963505">
      <w:pPr>
        <w:jc w:val="center"/>
        <w:rPr>
          <w:noProof/>
          <w:sz w:val="28"/>
          <w:szCs w:val="24"/>
        </w:rPr>
      </w:pPr>
    </w:p>
    <w:p w14:paraId="4A80442F" w14:textId="77777777" w:rsidR="00915F1B" w:rsidRPr="00291FDD" w:rsidRDefault="00915F1B" w:rsidP="00B23ADF">
      <w:pPr>
        <w:rPr>
          <w:noProof/>
          <w:sz w:val="28"/>
          <w:szCs w:val="24"/>
        </w:rPr>
      </w:pPr>
    </w:p>
    <w:p w14:paraId="1C3B6000" w14:textId="44B82569" w:rsidR="00432DBF" w:rsidRDefault="00963505" w:rsidP="00432DBF">
      <w:pPr>
        <w:jc w:val="center"/>
        <w:rPr>
          <w:noProof/>
          <w:sz w:val="28"/>
          <w:szCs w:val="24"/>
        </w:rPr>
      </w:pPr>
      <w:r>
        <w:rPr>
          <w:noProof/>
          <w:sz w:val="28"/>
          <w:szCs w:val="24"/>
        </w:rPr>
        <w:t xml:space="preserve">SPATIOTEMPORAL GAP-FILLING OF </w:t>
      </w:r>
      <w:r w:rsidR="00C815B5">
        <w:rPr>
          <w:noProof/>
          <w:sz w:val="28"/>
          <w:szCs w:val="24"/>
        </w:rPr>
        <w:t xml:space="preserve">NASA DEEP BLUE </w:t>
      </w:r>
      <w:r w:rsidR="00432DBF">
        <w:rPr>
          <w:noProof/>
          <w:sz w:val="28"/>
          <w:szCs w:val="24"/>
        </w:rPr>
        <w:t>AEROSOL OPTICAL DEPTH</w:t>
      </w:r>
      <w:r>
        <w:rPr>
          <w:noProof/>
          <w:sz w:val="28"/>
          <w:szCs w:val="24"/>
        </w:rPr>
        <w:t xml:space="preserve"> </w:t>
      </w:r>
    </w:p>
    <w:p w14:paraId="14263249" w14:textId="7DF0DC2B" w:rsidR="00766FB9" w:rsidRPr="00291FDD" w:rsidRDefault="00963505" w:rsidP="00432DBF">
      <w:pPr>
        <w:jc w:val="center"/>
        <w:rPr>
          <w:noProof/>
          <w:sz w:val="28"/>
          <w:szCs w:val="24"/>
        </w:rPr>
      </w:pPr>
      <w:r>
        <w:rPr>
          <w:noProof/>
          <w:sz w:val="28"/>
          <w:szCs w:val="24"/>
        </w:rPr>
        <w:t>OVER CONUS USING THE UNET 3+ ARCHITECTURE</w:t>
      </w:r>
    </w:p>
    <w:p w14:paraId="4AE4DEA6" w14:textId="77777777" w:rsidR="00766FB9" w:rsidRPr="00291FDD" w:rsidRDefault="00766FB9" w:rsidP="00963505">
      <w:pPr>
        <w:jc w:val="center"/>
        <w:rPr>
          <w:noProof/>
          <w:sz w:val="28"/>
          <w:szCs w:val="24"/>
        </w:rPr>
      </w:pPr>
    </w:p>
    <w:p w14:paraId="7A206FEB" w14:textId="77777777" w:rsidR="00766FB9" w:rsidRPr="00291FDD" w:rsidRDefault="00766FB9" w:rsidP="00963505">
      <w:pPr>
        <w:jc w:val="center"/>
        <w:rPr>
          <w:noProof/>
          <w:sz w:val="28"/>
          <w:szCs w:val="24"/>
        </w:rPr>
      </w:pPr>
    </w:p>
    <w:p w14:paraId="52CAD631" w14:textId="77777777" w:rsidR="00766FB9" w:rsidRPr="00291FDD" w:rsidRDefault="00766FB9" w:rsidP="00963505">
      <w:pPr>
        <w:jc w:val="center"/>
        <w:rPr>
          <w:noProof/>
          <w:sz w:val="28"/>
          <w:szCs w:val="24"/>
        </w:rPr>
      </w:pPr>
      <w:r w:rsidRPr="00291FDD">
        <w:rPr>
          <w:noProof/>
          <w:sz w:val="28"/>
          <w:szCs w:val="24"/>
        </w:rPr>
        <w:t>A THESIS</w:t>
      </w:r>
    </w:p>
    <w:p w14:paraId="58C0C225" w14:textId="77777777" w:rsidR="00766FB9" w:rsidRPr="00291FDD" w:rsidRDefault="00766FB9" w:rsidP="00963505">
      <w:pPr>
        <w:jc w:val="center"/>
        <w:rPr>
          <w:noProof/>
          <w:sz w:val="28"/>
          <w:szCs w:val="24"/>
        </w:rPr>
      </w:pPr>
      <w:r w:rsidRPr="00291FDD">
        <w:rPr>
          <w:noProof/>
          <w:sz w:val="28"/>
          <w:szCs w:val="24"/>
        </w:rPr>
        <w:t>SUBMITTED TO THE GRADUATE FACULTY</w:t>
      </w:r>
    </w:p>
    <w:p w14:paraId="6DFF942A" w14:textId="77777777" w:rsidR="00766FB9" w:rsidRPr="00291FDD" w:rsidRDefault="00766FB9" w:rsidP="00963505">
      <w:pPr>
        <w:jc w:val="center"/>
        <w:rPr>
          <w:noProof/>
          <w:sz w:val="28"/>
          <w:szCs w:val="24"/>
        </w:rPr>
      </w:pPr>
      <w:r w:rsidRPr="00291FDD">
        <w:rPr>
          <w:noProof/>
          <w:sz w:val="28"/>
          <w:szCs w:val="24"/>
        </w:rPr>
        <w:t>in partial fulfillment of the requirements for the</w:t>
      </w:r>
    </w:p>
    <w:p w14:paraId="322C231C" w14:textId="77777777" w:rsidR="00766FB9" w:rsidRPr="00291FDD" w:rsidRDefault="00766FB9" w:rsidP="00963505">
      <w:pPr>
        <w:jc w:val="center"/>
        <w:rPr>
          <w:noProof/>
          <w:sz w:val="28"/>
          <w:szCs w:val="24"/>
        </w:rPr>
      </w:pPr>
      <w:r w:rsidRPr="00291FDD">
        <w:rPr>
          <w:noProof/>
          <w:sz w:val="28"/>
          <w:szCs w:val="24"/>
        </w:rPr>
        <w:t>Degree of</w:t>
      </w:r>
    </w:p>
    <w:p w14:paraId="1AFF982B" w14:textId="778715C8" w:rsidR="00B26A6C" w:rsidRPr="00291FDD" w:rsidRDefault="00126435" w:rsidP="00963505">
      <w:pPr>
        <w:jc w:val="center"/>
        <w:rPr>
          <w:noProof/>
          <w:sz w:val="28"/>
          <w:szCs w:val="24"/>
        </w:rPr>
      </w:pPr>
      <w:r w:rsidRPr="00291FDD">
        <w:rPr>
          <w:noProof/>
          <w:sz w:val="28"/>
          <w:szCs w:val="24"/>
        </w:rPr>
        <w:t>MASTER OF SCIENCE</w:t>
      </w:r>
    </w:p>
    <w:p w14:paraId="0427CECC" w14:textId="77777777" w:rsidR="00B26A6C" w:rsidRPr="00291FDD" w:rsidRDefault="00B26A6C" w:rsidP="00963505">
      <w:pPr>
        <w:rPr>
          <w:noProof/>
          <w:sz w:val="28"/>
          <w:szCs w:val="24"/>
        </w:rPr>
      </w:pPr>
    </w:p>
    <w:p w14:paraId="3D61E752" w14:textId="77777777" w:rsidR="00B26A6C" w:rsidRPr="00291FDD" w:rsidRDefault="00B26A6C" w:rsidP="00963505">
      <w:pPr>
        <w:jc w:val="center"/>
        <w:rPr>
          <w:noProof/>
          <w:sz w:val="28"/>
          <w:szCs w:val="24"/>
        </w:rPr>
      </w:pPr>
    </w:p>
    <w:p w14:paraId="5D35D568" w14:textId="77777777" w:rsidR="00B26A6C" w:rsidRPr="00291FDD" w:rsidRDefault="00B26A6C" w:rsidP="00963505">
      <w:pPr>
        <w:jc w:val="center"/>
        <w:rPr>
          <w:noProof/>
          <w:sz w:val="28"/>
          <w:szCs w:val="24"/>
        </w:rPr>
      </w:pPr>
      <w:r w:rsidRPr="00291FDD">
        <w:rPr>
          <w:noProof/>
          <w:sz w:val="28"/>
          <w:szCs w:val="24"/>
        </w:rPr>
        <w:t>By</w:t>
      </w:r>
    </w:p>
    <w:p w14:paraId="6117B75D" w14:textId="77777777" w:rsidR="00435099" w:rsidRPr="00291FDD" w:rsidRDefault="00B26A6C" w:rsidP="00963505">
      <w:pPr>
        <w:jc w:val="center"/>
        <w:rPr>
          <w:noProof/>
          <w:sz w:val="28"/>
          <w:szCs w:val="24"/>
        </w:rPr>
      </w:pPr>
      <w:r w:rsidRPr="00291FDD">
        <w:rPr>
          <w:noProof/>
          <w:sz w:val="28"/>
          <w:szCs w:val="24"/>
        </w:rPr>
        <w:t>Jeffrey Lee</w:t>
      </w:r>
    </w:p>
    <w:p w14:paraId="17477466" w14:textId="2B408BBE" w:rsidR="003411C2" w:rsidRPr="00291FDD" w:rsidRDefault="00435099" w:rsidP="003411C2">
      <w:pPr>
        <w:jc w:val="center"/>
        <w:rPr>
          <w:noProof/>
          <w:sz w:val="28"/>
          <w:szCs w:val="24"/>
        </w:rPr>
      </w:pPr>
      <w:r w:rsidRPr="00291FDD">
        <w:rPr>
          <w:noProof/>
          <w:sz w:val="28"/>
          <w:szCs w:val="24"/>
        </w:rPr>
        <w:t>Norman, Oklahoma</w:t>
      </w:r>
    </w:p>
    <w:p w14:paraId="291C42AC" w14:textId="630021B0" w:rsidR="00963505" w:rsidRPr="00EE2294" w:rsidRDefault="00435099" w:rsidP="00EE2294">
      <w:pPr>
        <w:jc w:val="center"/>
        <w:rPr>
          <w:noProof/>
          <w:sz w:val="28"/>
          <w:szCs w:val="24"/>
        </w:rPr>
      </w:pPr>
      <w:r w:rsidRPr="00291FDD">
        <w:rPr>
          <w:noProof/>
          <w:sz w:val="28"/>
          <w:szCs w:val="24"/>
        </w:rPr>
        <w:t>2024</w:t>
      </w:r>
    </w:p>
    <w:p w14:paraId="12DCF595" w14:textId="77777777" w:rsidR="00963505" w:rsidRDefault="00963505" w:rsidP="008F64D4">
      <w:pPr>
        <w:spacing w:line="259" w:lineRule="auto"/>
        <w:contextualSpacing w:val="0"/>
        <w:jc w:val="center"/>
        <w:rPr>
          <w:noProof/>
        </w:rPr>
      </w:pPr>
    </w:p>
    <w:p w14:paraId="722BE61A" w14:textId="77777777" w:rsidR="00012FC9" w:rsidRDefault="00012FC9" w:rsidP="00012FC9">
      <w:pPr>
        <w:jc w:val="center"/>
        <w:rPr>
          <w:noProof/>
          <w:sz w:val="28"/>
          <w:szCs w:val="24"/>
        </w:rPr>
      </w:pPr>
      <w:r>
        <w:rPr>
          <w:noProof/>
          <w:sz w:val="28"/>
          <w:szCs w:val="24"/>
        </w:rPr>
        <w:t xml:space="preserve">SPATIOTEMPORAL GAP-FILLING OF NASA DEEP BLUE AEROSOL OPTICAL DEPTH </w:t>
      </w:r>
    </w:p>
    <w:p w14:paraId="656A524C" w14:textId="4D3FB49D" w:rsidR="00963505" w:rsidRDefault="00012FC9" w:rsidP="00EE2294">
      <w:pPr>
        <w:jc w:val="center"/>
        <w:rPr>
          <w:noProof/>
          <w:sz w:val="28"/>
          <w:szCs w:val="24"/>
        </w:rPr>
      </w:pPr>
      <w:r>
        <w:rPr>
          <w:noProof/>
          <w:sz w:val="28"/>
          <w:szCs w:val="24"/>
        </w:rPr>
        <w:t>OVER CONUS USING THE UNET 3+ ARCHITECTURE</w:t>
      </w:r>
    </w:p>
    <w:p w14:paraId="60104C67" w14:textId="77777777" w:rsidR="00EE58BB" w:rsidRDefault="00EE58BB" w:rsidP="00464C63">
      <w:pPr>
        <w:jc w:val="center"/>
        <w:rPr>
          <w:noProof/>
          <w:sz w:val="28"/>
          <w:szCs w:val="24"/>
        </w:rPr>
      </w:pPr>
    </w:p>
    <w:p w14:paraId="52C9E7BD" w14:textId="77777777" w:rsidR="00EE58BB" w:rsidRDefault="00EE58BB" w:rsidP="00016F11">
      <w:pPr>
        <w:jc w:val="center"/>
        <w:rPr>
          <w:noProof/>
          <w:sz w:val="28"/>
          <w:szCs w:val="24"/>
        </w:rPr>
      </w:pPr>
    </w:p>
    <w:p w14:paraId="0080063A" w14:textId="2DCFE6D1" w:rsidR="00EE58BB" w:rsidRDefault="00EE58BB" w:rsidP="00016F11">
      <w:pPr>
        <w:jc w:val="center"/>
        <w:rPr>
          <w:noProof/>
          <w:sz w:val="28"/>
          <w:szCs w:val="24"/>
        </w:rPr>
      </w:pPr>
      <w:r>
        <w:rPr>
          <w:noProof/>
          <w:sz w:val="28"/>
          <w:szCs w:val="24"/>
        </w:rPr>
        <w:t>A THESIS APPROVED FOR THE</w:t>
      </w:r>
    </w:p>
    <w:p w14:paraId="14B047C3" w14:textId="09728863" w:rsidR="00EE58BB" w:rsidRPr="00291FDD" w:rsidRDefault="00EE58BB" w:rsidP="00016F11">
      <w:pPr>
        <w:jc w:val="center"/>
        <w:rPr>
          <w:noProof/>
          <w:sz w:val="28"/>
          <w:szCs w:val="24"/>
        </w:rPr>
      </w:pPr>
      <w:r>
        <w:rPr>
          <w:noProof/>
          <w:sz w:val="28"/>
          <w:szCs w:val="24"/>
        </w:rPr>
        <w:t>SCHOOL OF METEOROLOGY</w:t>
      </w:r>
    </w:p>
    <w:p w14:paraId="3BBC9164" w14:textId="77777777" w:rsidR="00963505" w:rsidRDefault="00963505" w:rsidP="00016F11">
      <w:pPr>
        <w:jc w:val="center"/>
        <w:rPr>
          <w:noProof/>
        </w:rPr>
      </w:pPr>
    </w:p>
    <w:p w14:paraId="6273A146" w14:textId="77777777" w:rsidR="00963505" w:rsidRDefault="00963505" w:rsidP="00016F11">
      <w:pPr>
        <w:jc w:val="center"/>
        <w:rPr>
          <w:noProof/>
        </w:rPr>
      </w:pPr>
    </w:p>
    <w:p w14:paraId="69D2AC1F" w14:textId="77777777" w:rsidR="00EE36C0" w:rsidRPr="00C759C9" w:rsidRDefault="00963505" w:rsidP="00016F11">
      <w:pPr>
        <w:jc w:val="center"/>
        <w:rPr>
          <w:noProof/>
          <w:sz w:val="28"/>
          <w:szCs w:val="24"/>
        </w:rPr>
      </w:pPr>
      <w:r w:rsidRPr="00C759C9">
        <w:rPr>
          <w:noProof/>
          <w:sz w:val="28"/>
          <w:szCs w:val="24"/>
        </w:rPr>
        <w:t>BY THE COMMITTEE CONSISTING OF</w:t>
      </w:r>
    </w:p>
    <w:p w14:paraId="7D5BBB9D" w14:textId="08C9A584" w:rsidR="00EE58BB" w:rsidRDefault="00EE58BB" w:rsidP="00C815B5">
      <w:pPr>
        <w:jc w:val="center"/>
        <w:rPr>
          <w:noProof/>
        </w:rPr>
      </w:pPr>
    </w:p>
    <w:p w14:paraId="0E2F1746" w14:textId="77777777" w:rsidR="00EE58BB" w:rsidRPr="00016F11" w:rsidRDefault="00EE58BB" w:rsidP="00AC30CC">
      <w:pPr>
        <w:rPr>
          <w:noProof/>
          <w:sz w:val="28"/>
          <w:szCs w:val="24"/>
        </w:rPr>
      </w:pPr>
    </w:p>
    <w:p w14:paraId="30138F6C" w14:textId="0AB9D6FF" w:rsidR="00016F11" w:rsidRPr="00016F11" w:rsidRDefault="00EE58BB" w:rsidP="00016F11">
      <w:pPr>
        <w:jc w:val="right"/>
        <w:rPr>
          <w:sz w:val="28"/>
          <w:szCs w:val="24"/>
        </w:rPr>
      </w:pPr>
      <w:r w:rsidRPr="00016F11">
        <w:rPr>
          <w:noProof/>
          <w:sz w:val="28"/>
          <w:szCs w:val="24"/>
        </w:rPr>
        <w:t>Dr.</w:t>
      </w:r>
      <w:r w:rsidR="00044E89" w:rsidRPr="00016F11">
        <w:rPr>
          <w:noProof/>
          <w:sz w:val="28"/>
          <w:szCs w:val="24"/>
        </w:rPr>
        <w:t xml:space="preserve"> </w:t>
      </w:r>
      <w:r w:rsidR="00044E89" w:rsidRPr="00016F11">
        <w:rPr>
          <w:sz w:val="28"/>
          <w:szCs w:val="24"/>
        </w:rPr>
        <w:t>Marcela Loría-Salazar</w:t>
      </w:r>
      <w:r w:rsidR="005F6995">
        <w:rPr>
          <w:sz w:val="28"/>
          <w:szCs w:val="24"/>
        </w:rPr>
        <w:t>, Chair</w:t>
      </w:r>
    </w:p>
    <w:p w14:paraId="2475DB5C" w14:textId="77777777" w:rsidR="00016F11" w:rsidRPr="00016F11" w:rsidRDefault="00016F11" w:rsidP="00016F11">
      <w:pPr>
        <w:jc w:val="right"/>
        <w:rPr>
          <w:sz w:val="28"/>
          <w:szCs w:val="24"/>
        </w:rPr>
      </w:pPr>
    </w:p>
    <w:p w14:paraId="6FFA4856" w14:textId="4091B7B1" w:rsidR="00016F11" w:rsidRPr="00016F11" w:rsidRDefault="00016F11" w:rsidP="00016F11">
      <w:pPr>
        <w:jc w:val="right"/>
        <w:rPr>
          <w:sz w:val="28"/>
          <w:szCs w:val="24"/>
        </w:rPr>
      </w:pPr>
      <w:r w:rsidRPr="00016F11">
        <w:rPr>
          <w:sz w:val="28"/>
          <w:szCs w:val="24"/>
        </w:rPr>
        <w:t>Dr. Amy McGovern</w:t>
      </w:r>
    </w:p>
    <w:p w14:paraId="21CD329D" w14:textId="77777777" w:rsidR="00016F11" w:rsidRPr="00016F11" w:rsidRDefault="00016F11" w:rsidP="00016F11">
      <w:pPr>
        <w:jc w:val="right"/>
        <w:rPr>
          <w:sz w:val="28"/>
          <w:szCs w:val="24"/>
        </w:rPr>
      </w:pPr>
    </w:p>
    <w:p w14:paraId="08D5FACA" w14:textId="77777777" w:rsidR="00016F11" w:rsidRDefault="00016F11" w:rsidP="00016F11">
      <w:pPr>
        <w:jc w:val="right"/>
        <w:rPr>
          <w:sz w:val="28"/>
          <w:szCs w:val="24"/>
        </w:rPr>
      </w:pPr>
      <w:r w:rsidRPr="00016F11">
        <w:rPr>
          <w:sz w:val="28"/>
          <w:szCs w:val="24"/>
        </w:rPr>
        <w:t>Dr.</w:t>
      </w:r>
      <w:r>
        <w:rPr>
          <w:sz w:val="28"/>
          <w:szCs w:val="24"/>
        </w:rPr>
        <w:t xml:space="preserve"> Feng Xu</w:t>
      </w:r>
    </w:p>
    <w:p w14:paraId="4ADF6393" w14:textId="77777777" w:rsidR="00016F11" w:rsidRDefault="00016F11" w:rsidP="00016F11">
      <w:pPr>
        <w:jc w:val="right"/>
        <w:rPr>
          <w:sz w:val="28"/>
          <w:szCs w:val="24"/>
        </w:rPr>
      </w:pPr>
    </w:p>
    <w:p w14:paraId="49FF3F82" w14:textId="1CCF397F" w:rsidR="008F64D4" w:rsidRPr="00EE2294" w:rsidRDefault="00016F11" w:rsidP="00EE2294">
      <w:pPr>
        <w:jc w:val="right"/>
        <w:rPr>
          <w:sz w:val="28"/>
          <w:szCs w:val="24"/>
        </w:rPr>
      </w:pPr>
      <w:r>
        <w:rPr>
          <w:sz w:val="28"/>
          <w:szCs w:val="24"/>
        </w:rPr>
        <w:t>Dr. Jason Furtado</w:t>
      </w:r>
      <w:r w:rsidR="008F64D4">
        <w:rPr>
          <w:noProof/>
        </w:rPr>
        <w:br w:type="page"/>
      </w:r>
    </w:p>
    <w:p w14:paraId="73C99528" w14:textId="77777777" w:rsidR="00E754F9" w:rsidRDefault="00E754F9" w:rsidP="00435099">
      <w:pPr>
        <w:spacing w:line="259" w:lineRule="auto"/>
        <w:contextualSpacing w:val="0"/>
        <w:jc w:val="center"/>
        <w:rPr>
          <w:noProof/>
        </w:rPr>
      </w:pPr>
    </w:p>
    <w:p w14:paraId="2A355F2E" w14:textId="77777777" w:rsidR="00E754F9" w:rsidRDefault="00E754F9" w:rsidP="00435099">
      <w:pPr>
        <w:spacing w:line="259" w:lineRule="auto"/>
        <w:contextualSpacing w:val="0"/>
        <w:jc w:val="center"/>
        <w:rPr>
          <w:noProof/>
        </w:rPr>
      </w:pPr>
    </w:p>
    <w:p w14:paraId="4A0E4118" w14:textId="77777777" w:rsidR="00E754F9" w:rsidRDefault="00E754F9" w:rsidP="00435099">
      <w:pPr>
        <w:spacing w:line="259" w:lineRule="auto"/>
        <w:contextualSpacing w:val="0"/>
        <w:jc w:val="center"/>
        <w:rPr>
          <w:noProof/>
        </w:rPr>
      </w:pPr>
    </w:p>
    <w:p w14:paraId="0CCB0064" w14:textId="77777777" w:rsidR="00E754F9" w:rsidRDefault="00E754F9" w:rsidP="00435099">
      <w:pPr>
        <w:spacing w:line="259" w:lineRule="auto"/>
        <w:contextualSpacing w:val="0"/>
        <w:jc w:val="center"/>
        <w:rPr>
          <w:noProof/>
        </w:rPr>
      </w:pPr>
    </w:p>
    <w:p w14:paraId="79AE6DFB" w14:textId="77777777" w:rsidR="00E754F9" w:rsidRDefault="00E754F9" w:rsidP="00435099">
      <w:pPr>
        <w:spacing w:line="259" w:lineRule="auto"/>
        <w:contextualSpacing w:val="0"/>
        <w:jc w:val="center"/>
        <w:rPr>
          <w:noProof/>
        </w:rPr>
      </w:pPr>
    </w:p>
    <w:p w14:paraId="21703A34" w14:textId="77777777" w:rsidR="00E754F9" w:rsidRDefault="00E754F9" w:rsidP="00435099">
      <w:pPr>
        <w:spacing w:line="259" w:lineRule="auto"/>
        <w:contextualSpacing w:val="0"/>
        <w:jc w:val="center"/>
        <w:rPr>
          <w:noProof/>
        </w:rPr>
      </w:pPr>
    </w:p>
    <w:p w14:paraId="5E94D34B" w14:textId="77777777" w:rsidR="00E754F9" w:rsidRDefault="00E754F9" w:rsidP="00435099">
      <w:pPr>
        <w:spacing w:line="259" w:lineRule="auto"/>
        <w:contextualSpacing w:val="0"/>
        <w:jc w:val="center"/>
        <w:rPr>
          <w:noProof/>
        </w:rPr>
      </w:pPr>
    </w:p>
    <w:p w14:paraId="172B7489" w14:textId="77777777" w:rsidR="00E754F9" w:rsidRDefault="00E754F9" w:rsidP="00435099">
      <w:pPr>
        <w:spacing w:line="259" w:lineRule="auto"/>
        <w:contextualSpacing w:val="0"/>
        <w:jc w:val="center"/>
        <w:rPr>
          <w:noProof/>
        </w:rPr>
      </w:pPr>
    </w:p>
    <w:p w14:paraId="3916C9C1" w14:textId="77777777" w:rsidR="00E754F9" w:rsidRDefault="00E754F9" w:rsidP="00435099">
      <w:pPr>
        <w:spacing w:line="259" w:lineRule="auto"/>
        <w:contextualSpacing w:val="0"/>
        <w:jc w:val="center"/>
        <w:rPr>
          <w:noProof/>
        </w:rPr>
      </w:pPr>
    </w:p>
    <w:p w14:paraId="48498B4C" w14:textId="77777777" w:rsidR="00E754F9" w:rsidRDefault="00E754F9" w:rsidP="00435099">
      <w:pPr>
        <w:spacing w:line="259" w:lineRule="auto"/>
        <w:contextualSpacing w:val="0"/>
        <w:jc w:val="center"/>
        <w:rPr>
          <w:noProof/>
        </w:rPr>
      </w:pPr>
    </w:p>
    <w:p w14:paraId="4D20E76A" w14:textId="77777777" w:rsidR="00E754F9" w:rsidRDefault="00E754F9" w:rsidP="00435099">
      <w:pPr>
        <w:spacing w:line="259" w:lineRule="auto"/>
        <w:contextualSpacing w:val="0"/>
        <w:jc w:val="center"/>
        <w:rPr>
          <w:noProof/>
        </w:rPr>
      </w:pPr>
    </w:p>
    <w:p w14:paraId="6E36EBF2" w14:textId="77777777" w:rsidR="00E754F9" w:rsidRDefault="00E754F9" w:rsidP="00435099">
      <w:pPr>
        <w:spacing w:line="259" w:lineRule="auto"/>
        <w:contextualSpacing w:val="0"/>
        <w:jc w:val="center"/>
        <w:rPr>
          <w:noProof/>
        </w:rPr>
      </w:pPr>
    </w:p>
    <w:p w14:paraId="3311BC94" w14:textId="77777777" w:rsidR="00E754F9" w:rsidRDefault="00E754F9" w:rsidP="00435099">
      <w:pPr>
        <w:spacing w:line="259" w:lineRule="auto"/>
        <w:contextualSpacing w:val="0"/>
        <w:jc w:val="center"/>
        <w:rPr>
          <w:noProof/>
        </w:rPr>
      </w:pPr>
    </w:p>
    <w:p w14:paraId="1CC02895" w14:textId="77777777" w:rsidR="00E754F9" w:rsidRDefault="00E754F9" w:rsidP="00435099">
      <w:pPr>
        <w:spacing w:line="259" w:lineRule="auto"/>
        <w:contextualSpacing w:val="0"/>
        <w:jc w:val="center"/>
        <w:rPr>
          <w:noProof/>
        </w:rPr>
      </w:pPr>
    </w:p>
    <w:p w14:paraId="71E4A3C3" w14:textId="77777777" w:rsidR="00E754F9" w:rsidRDefault="00E754F9" w:rsidP="00435099">
      <w:pPr>
        <w:spacing w:line="259" w:lineRule="auto"/>
        <w:contextualSpacing w:val="0"/>
        <w:jc w:val="center"/>
        <w:rPr>
          <w:noProof/>
        </w:rPr>
      </w:pPr>
    </w:p>
    <w:p w14:paraId="137F8A21" w14:textId="77777777" w:rsidR="00E754F9" w:rsidRDefault="00E754F9" w:rsidP="00435099">
      <w:pPr>
        <w:spacing w:line="259" w:lineRule="auto"/>
        <w:contextualSpacing w:val="0"/>
        <w:jc w:val="center"/>
        <w:rPr>
          <w:noProof/>
        </w:rPr>
      </w:pPr>
    </w:p>
    <w:p w14:paraId="7D38EFD4" w14:textId="77777777" w:rsidR="00E754F9" w:rsidRDefault="00E754F9" w:rsidP="00435099">
      <w:pPr>
        <w:spacing w:line="259" w:lineRule="auto"/>
        <w:contextualSpacing w:val="0"/>
        <w:jc w:val="center"/>
        <w:rPr>
          <w:noProof/>
        </w:rPr>
      </w:pPr>
    </w:p>
    <w:p w14:paraId="4C4A1C3E" w14:textId="77777777" w:rsidR="00E754F9" w:rsidRDefault="00E754F9" w:rsidP="00435099">
      <w:pPr>
        <w:spacing w:line="259" w:lineRule="auto"/>
        <w:contextualSpacing w:val="0"/>
        <w:jc w:val="center"/>
        <w:rPr>
          <w:noProof/>
        </w:rPr>
      </w:pPr>
    </w:p>
    <w:p w14:paraId="3E569A91" w14:textId="77777777" w:rsidR="00E754F9" w:rsidRDefault="00E754F9" w:rsidP="00435099">
      <w:pPr>
        <w:spacing w:line="259" w:lineRule="auto"/>
        <w:contextualSpacing w:val="0"/>
        <w:jc w:val="center"/>
        <w:rPr>
          <w:noProof/>
        </w:rPr>
      </w:pPr>
    </w:p>
    <w:p w14:paraId="6033E94E" w14:textId="77777777" w:rsidR="00E754F9" w:rsidRDefault="00E754F9" w:rsidP="00435099">
      <w:pPr>
        <w:spacing w:line="259" w:lineRule="auto"/>
        <w:contextualSpacing w:val="0"/>
        <w:jc w:val="center"/>
        <w:rPr>
          <w:noProof/>
        </w:rPr>
      </w:pPr>
    </w:p>
    <w:p w14:paraId="4C76E98B" w14:textId="77777777" w:rsidR="00E754F9" w:rsidRDefault="00E754F9" w:rsidP="00435099">
      <w:pPr>
        <w:spacing w:line="259" w:lineRule="auto"/>
        <w:contextualSpacing w:val="0"/>
        <w:jc w:val="center"/>
        <w:rPr>
          <w:noProof/>
        </w:rPr>
      </w:pPr>
    </w:p>
    <w:p w14:paraId="1F8C076D" w14:textId="77777777" w:rsidR="00E754F9" w:rsidRDefault="00E754F9" w:rsidP="00435099">
      <w:pPr>
        <w:spacing w:line="259" w:lineRule="auto"/>
        <w:contextualSpacing w:val="0"/>
        <w:jc w:val="center"/>
        <w:rPr>
          <w:noProof/>
        </w:rPr>
      </w:pPr>
    </w:p>
    <w:p w14:paraId="26362A3C" w14:textId="77777777" w:rsidR="00E754F9" w:rsidRDefault="00E754F9" w:rsidP="00435099">
      <w:pPr>
        <w:spacing w:line="259" w:lineRule="auto"/>
        <w:contextualSpacing w:val="0"/>
        <w:jc w:val="center"/>
        <w:rPr>
          <w:noProof/>
        </w:rPr>
      </w:pPr>
    </w:p>
    <w:p w14:paraId="026500F4" w14:textId="77777777" w:rsidR="00E754F9" w:rsidRDefault="00E754F9" w:rsidP="00435099">
      <w:pPr>
        <w:spacing w:line="259" w:lineRule="auto"/>
        <w:contextualSpacing w:val="0"/>
        <w:jc w:val="center"/>
        <w:rPr>
          <w:noProof/>
        </w:rPr>
      </w:pPr>
    </w:p>
    <w:p w14:paraId="3D6D6F4F" w14:textId="77777777" w:rsidR="00E754F9" w:rsidRDefault="00E754F9" w:rsidP="00435099">
      <w:pPr>
        <w:spacing w:line="259" w:lineRule="auto"/>
        <w:contextualSpacing w:val="0"/>
        <w:jc w:val="center"/>
        <w:rPr>
          <w:noProof/>
        </w:rPr>
      </w:pPr>
    </w:p>
    <w:p w14:paraId="713E77A7" w14:textId="77777777" w:rsidR="00E754F9" w:rsidRDefault="00E754F9" w:rsidP="00435099">
      <w:pPr>
        <w:spacing w:line="259" w:lineRule="auto"/>
        <w:contextualSpacing w:val="0"/>
        <w:jc w:val="center"/>
        <w:rPr>
          <w:noProof/>
        </w:rPr>
      </w:pPr>
    </w:p>
    <w:p w14:paraId="5D7D3A93" w14:textId="77777777" w:rsidR="009E6F5D" w:rsidRDefault="00536131" w:rsidP="00435099">
      <w:pPr>
        <w:spacing w:line="259" w:lineRule="auto"/>
        <w:contextualSpacing w:val="0"/>
        <w:jc w:val="center"/>
        <w:rPr>
          <w:noProof/>
        </w:rPr>
      </w:pPr>
      <w:r w:rsidRPr="00536131">
        <w:rPr>
          <w:rFonts w:cs="Times New Roman"/>
          <w:noProof/>
          <w:sz w:val="28"/>
          <w:szCs w:val="24"/>
        </w:rPr>
        <w:t>©</w:t>
      </w:r>
      <w:r w:rsidRPr="00536131">
        <w:rPr>
          <w:noProof/>
          <w:sz w:val="28"/>
          <w:szCs w:val="24"/>
        </w:rPr>
        <w:t xml:space="preserve"> Copyright by Jeffrey Lee 2024</w:t>
      </w:r>
    </w:p>
    <w:p w14:paraId="52E05467" w14:textId="77777777" w:rsidR="002A472A" w:rsidRDefault="009E6F5D" w:rsidP="002A472A">
      <w:pPr>
        <w:spacing w:line="259" w:lineRule="auto"/>
        <w:contextualSpacing w:val="0"/>
        <w:jc w:val="center"/>
        <w:rPr>
          <w:noProof/>
          <w:sz w:val="28"/>
          <w:szCs w:val="28"/>
        </w:rPr>
        <w:sectPr w:rsidR="002A472A" w:rsidSect="00E65486">
          <w:pgSz w:w="12240" w:h="15840" w:code="1"/>
          <w:pgMar w:top="1440" w:right="1440" w:bottom="1440" w:left="1440" w:header="720" w:footer="720" w:gutter="0"/>
          <w:pgNumType w:start="11"/>
          <w:cols w:space="720"/>
          <w:docGrid w:linePitch="360"/>
        </w:sectPr>
      </w:pPr>
      <w:r w:rsidRPr="009E6F5D">
        <w:rPr>
          <w:noProof/>
          <w:sz w:val="28"/>
          <w:szCs w:val="28"/>
        </w:rPr>
        <w:t>All Rights Reserved.</w:t>
      </w:r>
    </w:p>
    <w:p w14:paraId="28370C5D" w14:textId="77777777" w:rsidR="004C6A07" w:rsidRDefault="004C6A07" w:rsidP="004C6A07">
      <w:pPr>
        <w:pStyle w:val="Heading1"/>
        <w:rPr>
          <w:noProof/>
        </w:rPr>
      </w:pPr>
      <w:bookmarkStart w:id="0" w:name="_Toc161431064"/>
      <w:r>
        <w:rPr>
          <w:noProof/>
        </w:rPr>
        <w:lastRenderedPageBreak/>
        <w:t>Acknowledgements</w:t>
      </w:r>
      <w:bookmarkEnd w:id="0"/>
    </w:p>
    <w:p w14:paraId="060A2DAC" w14:textId="6B1F4EB2" w:rsidR="00623CE3" w:rsidRDefault="004C6A07" w:rsidP="00623CE3">
      <w:pPr>
        <w:rPr>
          <w:szCs w:val="24"/>
        </w:rPr>
      </w:pPr>
      <w:r>
        <w:rPr>
          <w:noProof/>
        </w:rPr>
        <w:tab/>
      </w:r>
      <w:r w:rsidR="00623CE3">
        <w:rPr>
          <w:noProof/>
        </w:rPr>
        <w:t xml:space="preserve">Firstly, </w:t>
      </w:r>
      <w:r>
        <w:rPr>
          <w:noProof/>
        </w:rPr>
        <w:t xml:space="preserve">I would like to </w:t>
      </w:r>
      <w:r w:rsidR="00623CE3">
        <w:rPr>
          <w:noProof/>
        </w:rPr>
        <w:t xml:space="preserve">thank </w:t>
      </w:r>
      <w:r w:rsidR="00293ED8">
        <w:rPr>
          <w:noProof/>
        </w:rPr>
        <w:t xml:space="preserve">my research advisor </w:t>
      </w:r>
      <w:r w:rsidR="00623CE3">
        <w:rPr>
          <w:noProof/>
        </w:rPr>
        <w:t>Dr</w:t>
      </w:r>
      <w:r w:rsidR="00623CE3" w:rsidRPr="00623CE3">
        <w:rPr>
          <w:noProof/>
          <w:szCs w:val="24"/>
        </w:rPr>
        <w:t xml:space="preserve">. </w:t>
      </w:r>
      <w:r w:rsidR="00623CE3" w:rsidRPr="00623CE3">
        <w:rPr>
          <w:szCs w:val="24"/>
        </w:rPr>
        <w:t>Marcela Loría-Salazar</w:t>
      </w:r>
      <w:r w:rsidR="00CE41F2">
        <w:rPr>
          <w:szCs w:val="24"/>
        </w:rPr>
        <w:t xml:space="preserve">, who has </w:t>
      </w:r>
      <w:r w:rsidR="00B601DB">
        <w:rPr>
          <w:szCs w:val="24"/>
        </w:rPr>
        <w:t xml:space="preserve">offered me countless hours of </w:t>
      </w:r>
      <w:r w:rsidR="00293ED8">
        <w:rPr>
          <w:szCs w:val="24"/>
        </w:rPr>
        <w:t xml:space="preserve">instruction, research guidance, and </w:t>
      </w:r>
      <w:r w:rsidR="001319FC">
        <w:rPr>
          <w:szCs w:val="24"/>
        </w:rPr>
        <w:t xml:space="preserve">mental support. </w:t>
      </w:r>
      <w:r w:rsidR="00A043EA">
        <w:rPr>
          <w:szCs w:val="24"/>
        </w:rPr>
        <w:t>T</w:t>
      </w:r>
      <w:r w:rsidR="00D27FFE">
        <w:rPr>
          <w:szCs w:val="24"/>
        </w:rPr>
        <w:t>his research would never have materialized without her</w:t>
      </w:r>
      <w:r w:rsidR="00F93639">
        <w:rPr>
          <w:szCs w:val="24"/>
        </w:rPr>
        <w:t xml:space="preserve"> steadfast presence.</w:t>
      </w:r>
    </w:p>
    <w:p w14:paraId="44A06389" w14:textId="06E99350" w:rsidR="00F93639" w:rsidRDefault="00F93639" w:rsidP="00623CE3">
      <w:pPr>
        <w:rPr>
          <w:szCs w:val="24"/>
        </w:rPr>
      </w:pPr>
      <w:r>
        <w:rPr>
          <w:szCs w:val="24"/>
        </w:rPr>
        <w:tab/>
        <w:t xml:space="preserve">I would also like to thank the members of the committee, Dr. Amy McGovern, Dr. Feng Xu, and Dr. Jason Furtado, for </w:t>
      </w:r>
      <w:r w:rsidR="00484718">
        <w:rPr>
          <w:szCs w:val="24"/>
        </w:rPr>
        <w:t>graciously agreeing to review my work</w:t>
      </w:r>
      <w:r w:rsidR="003F271A">
        <w:rPr>
          <w:szCs w:val="24"/>
        </w:rPr>
        <w:t>,</w:t>
      </w:r>
      <w:r w:rsidR="00370EDA">
        <w:rPr>
          <w:szCs w:val="24"/>
        </w:rPr>
        <w:t xml:space="preserve"> provide their </w:t>
      </w:r>
      <w:r w:rsidR="00151180">
        <w:rPr>
          <w:szCs w:val="24"/>
        </w:rPr>
        <w:t>valuable insights</w:t>
      </w:r>
      <w:r w:rsidR="003F271A">
        <w:rPr>
          <w:szCs w:val="24"/>
        </w:rPr>
        <w:t xml:space="preserve">, and </w:t>
      </w:r>
      <w:r w:rsidR="00160743">
        <w:rPr>
          <w:szCs w:val="24"/>
        </w:rPr>
        <w:t xml:space="preserve">accommodate the various delays that have taken place throughout the </w:t>
      </w:r>
      <w:r w:rsidR="00545204">
        <w:rPr>
          <w:szCs w:val="24"/>
        </w:rPr>
        <w:t>process</w:t>
      </w:r>
      <w:r w:rsidR="00151180">
        <w:rPr>
          <w:szCs w:val="24"/>
        </w:rPr>
        <w:t>.</w:t>
      </w:r>
    </w:p>
    <w:p w14:paraId="2C94A40A" w14:textId="68DB6116" w:rsidR="00AE686A" w:rsidRPr="00016F11" w:rsidRDefault="00AE686A" w:rsidP="00623CE3">
      <w:pPr>
        <w:rPr>
          <w:sz w:val="28"/>
          <w:szCs w:val="24"/>
        </w:rPr>
      </w:pPr>
      <w:r>
        <w:rPr>
          <w:szCs w:val="24"/>
        </w:rPr>
        <w:tab/>
        <w:t xml:space="preserve">I </w:t>
      </w:r>
      <w:r w:rsidR="00D64D77">
        <w:rPr>
          <w:szCs w:val="24"/>
        </w:rPr>
        <w:t xml:space="preserve">would </w:t>
      </w:r>
      <w:r w:rsidR="0072241F">
        <w:rPr>
          <w:szCs w:val="24"/>
        </w:rPr>
        <w:t xml:space="preserve">also </w:t>
      </w:r>
      <w:r w:rsidR="00D64D77">
        <w:rPr>
          <w:szCs w:val="24"/>
        </w:rPr>
        <w:t xml:space="preserve">like to thank Dr. Heather Holmes at the University of Utah and her research group for </w:t>
      </w:r>
      <w:r w:rsidR="00820839">
        <w:rPr>
          <w:szCs w:val="24"/>
        </w:rPr>
        <w:t xml:space="preserve">allowing me access to the </w:t>
      </w:r>
      <w:r w:rsidR="008C2BDF">
        <w:rPr>
          <w:szCs w:val="24"/>
        </w:rPr>
        <w:t>CHPC supercomputing resources.</w:t>
      </w:r>
      <w:r w:rsidR="0072241F">
        <w:rPr>
          <w:szCs w:val="24"/>
        </w:rPr>
        <w:t xml:space="preserve"> Without these resources, training </w:t>
      </w:r>
      <w:r w:rsidR="000B176A">
        <w:rPr>
          <w:szCs w:val="24"/>
        </w:rPr>
        <w:t>a model of our size would have been an impracticality</w:t>
      </w:r>
      <w:r w:rsidR="000F55B9">
        <w:rPr>
          <w:szCs w:val="24"/>
        </w:rPr>
        <w:t>.</w:t>
      </w:r>
    </w:p>
    <w:p w14:paraId="65BCF214" w14:textId="55890979" w:rsidR="00FA3B5C" w:rsidRDefault="00545204" w:rsidP="00623CE3">
      <w:pPr>
        <w:jc w:val="both"/>
        <w:rPr>
          <w:noProof/>
        </w:rPr>
      </w:pPr>
      <w:r>
        <w:rPr>
          <w:noProof/>
        </w:rPr>
        <w:tab/>
      </w:r>
      <w:r w:rsidR="00751FF9">
        <w:rPr>
          <w:noProof/>
        </w:rPr>
        <w:t>I w</w:t>
      </w:r>
      <w:r w:rsidR="002D7E0F">
        <w:rPr>
          <w:noProof/>
        </w:rPr>
        <w:t>ant to thank the fa</w:t>
      </w:r>
      <w:r w:rsidR="000C0DF9">
        <w:rPr>
          <w:noProof/>
        </w:rPr>
        <w:t xml:space="preserve">culty and staff at the University of Oklahoma’s School of Meteorology for providing such a wonderful learning </w:t>
      </w:r>
      <w:r w:rsidR="00C815B5">
        <w:rPr>
          <w:noProof/>
        </w:rPr>
        <w:t>environment</w:t>
      </w:r>
      <w:r w:rsidR="000C0DF9">
        <w:rPr>
          <w:noProof/>
        </w:rPr>
        <w:t xml:space="preserve">. </w:t>
      </w:r>
      <w:r w:rsidR="00C91AFB">
        <w:rPr>
          <w:noProof/>
        </w:rPr>
        <w:t>I have learne</w:t>
      </w:r>
      <w:r w:rsidR="00B237B7">
        <w:rPr>
          <w:noProof/>
        </w:rPr>
        <w:t xml:space="preserve">d so much about things I had never dreamed of before from </w:t>
      </w:r>
      <w:r w:rsidR="009A0F3D">
        <w:rPr>
          <w:noProof/>
        </w:rPr>
        <w:t>the passionate and experienced educators</w:t>
      </w:r>
      <w:r w:rsidR="004A2356">
        <w:rPr>
          <w:noProof/>
        </w:rPr>
        <w:t xml:space="preserve"> here at SoM. </w:t>
      </w:r>
      <w:r w:rsidR="00EC122C">
        <w:rPr>
          <w:noProof/>
        </w:rPr>
        <w:t>The wonderful staff have al</w:t>
      </w:r>
      <w:r w:rsidR="005A4AC5">
        <w:rPr>
          <w:noProof/>
        </w:rPr>
        <w:t xml:space="preserve">so made sure my logistical, administrative, and </w:t>
      </w:r>
      <w:r w:rsidR="004E5477">
        <w:rPr>
          <w:noProof/>
        </w:rPr>
        <w:t xml:space="preserve">financial issues were kept </w:t>
      </w:r>
      <w:r w:rsidR="002D2E4B">
        <w:rPr>
          <w:noProof/>
        </w:rPr>
        <w:t>at a minimum.</w:t>
      </w:r>
    </w:p>
    <w:p w14:paraId="7CA044F0" w14:textId="7FE84439" w:rsidR="004C6A07" w:rsidRDefault="00FA3B5C" w:rsidP="00623CE3">
      <w:pPr>
        <w:jc w:val="both"/>
        <w:rPr>
          <w:noProof/>
        </w:rPr>
      </w:pPr>
      <w:r>
        <w:rPr>
          <w:noProof/>
        </w:rPr>
        <w:tab/>
        <w:t xml:space="preserve">Finally, I would like to thank my friends and family who have stuck with </w:t>
      </w:r>
      <w:r w:rsidR="00ED2724">
        <w:rPr>
          <w:noProof/>
        </w:rPr>
        <w:t xml:space="preserve">me through the </w:t>
      </w:r>
      <w:r w:rsidR="002336ED">
        <w:rPr>
          <w:noProof/>
        </w:rPr>
        <w:t>years. Y</w:t>
      </w:r>
      <w:r w:rsidR="0061602C">
        <w:rPr>
          <w:noProof/>
        </w:rPr>
        <w:t>ou guys are the best.</w:t>
      </w:r>
      <w:r w:rsidR="004C6A07">
        <w:rPr>
          <w:noProof/>
        </w:rPr>
        <w:br w:type="page"/>
      </w:r>
    </w:p>
    <w:p w14:paraId="47A83A9E" w14:textId="77777777" w:rsidR="00776762" w:rsidRDefault="0045321F" w:rsidP="002A472A">
      <w:pPr>
        <w:pStyle w:val="Heading1"/>
        <w:rPr>
          <w:noProof/>
        </w:rPr>
      </w:pPr>
      <w:bookmarkStart w:id="1" w:name="_Toc161431065"/>
      <w:r>
        <w:rPr>
          <w:noProof/>
        </w:rPr>
        <w:lastRenderedPageBreak/>
        <w:t>List of Tables</w:t>
      </w:r>
      <w:bookmarkEnd w:id="1"/>
      <w:r w:rsidR="00A97E45">
        <w:rPr>
          <w:noProof/>
        </w:rPr>
        <w:fldChar w:fldCharType="begin"/>
      </w:r>
      <w:r w:rsidR="00A97E45">
        <w:rPr>
          <w:noProof/>
        </w:rPr>
        <w:instrText xml:space="preserve"> TOC \h \z \c "Table" </w:instrText>
      </w:r>
      <w:r w:rsidR="00A97E45">
        <w:rPr>
          <w:noProof/>
        </w:rPr>
        <w:fldChar w:fldCharType="separate"/>
      </w:r>
    </w:p>
    <w:p w14:paraId="1BDDA3F4" w14:textId="093D49CB" w:rsidR="00776762" w:rsidRDefault="00000000">
      <w:pPr>
        <w:pStyle w:val="TableofFigures"/>
        <w:tabs>
          <w:tab w:val="right" w:leader="dot" w:pos="9350"/>
        </w:tabs>
        <w:rPr>
          <w:rFonts w:asciiTheme="minorHAnsi" w:eastAsiaTheme="minorEastAsia" w:hAnsiTheme="minorHAnsi"/>
          <w:noProof/>
          <w:kern w:val="2"/>
          <w:sz w:val="22"/>
          <w14:ligatures w14:val="standardContextual"/>
        </w:rPr>
      </w:pPr>
      <w:hyperlink w:anchor="_Toc159825957" w:history="1">
        <w:r w:rsidR="00776762" w:rsidRPr="009E7139">
          <w:rPr>
            <w:rStyle w:val="Hyperlink"/>
            <w:noProof/>
          </w:rPr>
          <w:t>Table 1: List of all data sources used in the training and evaluation of the UNet 3+ gap-filler.</w:t>
        </w:r>
        <w:r w:rsidR="00776762">
          <w:rPr>
            <w:noProof/>
            <w:webHidden/>
          </w:rPr>
          <w:tab/>
        </w:r>
        <w:r w:rsidR="00776762">
          <w:rPr>
            <w:noProof/>
            <w:webHidden/>
          </w:rPr>
          <w:fldChar w:fldCharType="begin"/>
        </w:r>
        <w:r w:rsidR="00776762">
          <w:rPr>
            <w:noProof/>
            <w:webHidden/>
          </w:rPr>
          <w:instrText xml:space="preserve"> PAGEREF _Toc159825957 \h </w:instrText>
        </w:r>
        <w:r w:rsidR="00776762">
          <w:rPr>
            <w:noProof/>
            <w:webHidden/>
          </w:rPr>
        </w:r>
        <w:r w:rsidR="00776762">
          <w:rPr>
            <w:noProof/>
            <w:webHidden/>
          </w:rPr>
          <w:fldChar w:fldCharType="separate"/>
        </w:r>
        <w:r w:rsidR="00C54A78">
          <w:rPr>
            <w:noProof/>
            <w:webHidden/>
          </w:rPr>
          <w:t>16</w:t>
        </w:r>
        <w:r w:rsidR="00776762">
          <w:rPr>
            <w:noProof/>
            <w:webHidden/>
          </w:rPr>
          <w:fldChar w:fldCharType="end"/>
        </w:r>
      </w:hyperlink>
    </w:p>
    <w:p w14:paraId="20E79857" w14:textId="74EF41F0" w:rsidR="00776762" w:rsidRDefault="00000000">
      <w:pPr>
        <w:pStyle w:val="TableofFigures"/>
        <w:tabs>
          <w:tab w:val="right" w:leader="dot" w:pos="9350"/>
        </w:tabs>
        <w:rPr>
          <w:rFonts w:asciiTheme="minorHAnsi" w:eastAsiaTheme="minorEastAsia" w:hAnsiTheme="minorHAnsi"/>
          <w:noProof/>
          <w:kern w:val="2"/>
          <w:sz w:val="22"/>
          <w14:ligatures w14:val="standardContextual"/>
        </w:rPr>
      </w:pPr>
      <w:hyperlink w:anchor="_Toc159825958" w:history="1">
        <w:r w:rsidR="00776762" w:rsidRPr="009E7139">
          <w:rPr>
            <w:rStyle w:val="Hyperlink"/>
            <w:noProof/>
          </w:rPr>
          <w:t>Table 2: Temporal resolution of various input data.</w:t>
        </w:r>
        <w:r w:rsidR="00776762">
          <w:rPr>
            <w:noProof/>
            <w:webHidden/>
          </w:rPr>
          <w:tab/>
        </w:r>
        <w:r w:rsidR="00776762">
          <w:rPr>
            <w:noProof/>
            <w:webHidden/>
          </w:rPr>
          <w:fldChar w:fldCharType="begin"/>
        </w:r>
        <w:r w:rsidR="00776762">
          <w:rPr>
            <w:noProof/>
            <w:webHidden/>
          </w:rPr>
          <w:instrText xml:space="preserve"> PAGEREF _Toc159825958 \h </w:instrText>
        </w:r>
        <w:r w:rsidR="00776762">
          <w:rPr>
            <w:noProof/>
            <w:webHidden/>
          </w:rPr>
        </w:r>
        <w:r w:rsidR="00776762">
          <w:rPr>
            <w:noProof/>
            <w:webHidden/>
          </w:rPr>
          <w:fldChar w:fldCharType="separate"/>
        </w:r>
        <w:r w:rsidR="00C54A78">
          <w:rPr>
            <w:noProof/>
            <w:webHidden/>
          </w:rPr>
          <w:t>30</w:t>
        </w:r>
        <w:r w:rsidR="00776762">
          <w:rPr>
            <w:noProof/>
            <w:webHidden/>
          </w:rPr>
          <w:fldChar w:fldCharType="end"/>
        </w:r>
      </w:hyperlink>
    </w:p>
    <w:p w14:paraId="6FCC0D21" w14:textId="2FBA70DB" w:rsidR="00776762" w:rsidRDefault="00000000">
      <w:pPr>
        <w:pStyle w:val="TableofFigures"/>
        <w:tabs>
          <w:tab w:val="right" w:leader="dot" w:pos="9350"/>
        </w:tabs>
        <w:rPr>
          <w:rFonts w:asciiTheme="minorHAnsi" w:eastAsiaTheme="minorEastAsia" w:hAnsiTheme="minorHAnsi"/>
          <w:noProof/>
          <w:kern w:val="2"/>
          <w:sz w:val="22"/>
          <w14:ligatures w14:val="standardContextual"/>
        </w:rPr>
      </w:pPr>
      <w:hyperlink w:anchor="_Toc159825959" w:history="1">
        <w:r w:rsidR="00776762" w:rsidRPr="009E7139">
          <w:rPr>
            <w:rStyle w:val="Hyperlink"/>
            <w:noProof/>
          </w:rPr>
          <w:t>Table 3: Input variables, native resolutions, and lags provided to the model.</w:t>
        </w:r>
        <w:r w:rsidR="00776762">
          <w:rPr>
            <w:noProof/>
            <w:webHidden/>
          </w:rPr>
          <w:tab/>
        </w:r>
        <w:r w:rsidR="00776762">
          <w:rPr>
            <w:noProof/>
            <w:webHidden/>
          </w:rPr>
          <w:fldChar w:fldCharType="begin"/>
        </w:r>
        <w:r w:rsidR="00776762">
          <w:rPr>
            <w:noProof/>
            <w:webHidden/>
          </w:rPr>
          <w:instrText xml:space="preserve"> PAGEREF _Toc159825959 \h </w:instrText>
        </w:r>
        <w:r w:rsidR="00776762">
          <w:rPr>
            <w:noProof/>
            <w:webHidden/>
          </w:rPr>
        </w:r>
        <w:r w:rsidR="00776762">
          <w:rPr>
            <w:noProof/>
            <w:webHidden/>
          </w:rPr>
          <w:fldChar w:fldCharType="separate"/>
        </w:r>
        <w:r w:rsidR="00C54A78">
          <w:rPr>
            <w:noProof/>
            <w:webHidden/>
          </w:rPr>
          <w:t>39</w:t>
        </w:r>
        <w:r w:rsidR="00776762">
          <w:rPr>
            <w:noProof/>
            <w:webHidden/>
          </w:rPr>
          <w:fldChar w:fldCharType="end"/>
        </w:r>
      </w:hyperlink>
    </w:p>
    <w:p w14:paraId="0220AECB" w14:textId="6EA31B2F" w:rsidR="00776762" w:rsidRDefault="00000000">
      <w:pPr>
        <w:pStyle w:val="TableofFigures"/>
        <w:tabs>
          <w:tab w:val="right" w:leader="dot" w:pos="9350"/>
        </w:tabs>
        <w:rPr>
          <w:rFonts w:asciiTheme="minorHAnsi" w:eastAsiaTheme="minorEastAsia" w:hAnsiTheme="minorHAnsi"/>
          <w:noProof/>
          <w:kern w:val="2"/>
          <w:sz w:val="22"/>
          <w14:ligatures w14:val="standardContextual"/>
        </w:rPr>
      </w:pPr>
      <w:hyperlink w:anchor="_Toc159825960" w:history="1">
        <w:r w:rsidR="00776762" w:rsidRPr="009E7139">
          <w:rPr>
            <w:rStyle w:val="Hyperlink"/>
            <w:noProof/>
          </w:rPr>
          <w:t>Table 4: Target AOD weights.</w:t>
        </w:r>
        <w:r w:rsidR="00776762">
          <w:rPr>
            <w:noProof/>
            <w:webHidden/>
          </w:rPr>
          <w:tab/>
        </w:r>
        <w:r w:rsidR="00776762">
          <w:rPr>
            <w:noProof/>
            <w:webHidden/>
          </w:rPr>
          <w:fldChar w:fldCharType="begin"/>
        </w:r>
        <w:r w:rsidR="00776762">
          <w:rPr>
            <w:noProof/>
            <w:webHidden/>
          </w:rPr>
          <w:instrText xml:space="preserve"> PAGEREF _Toc159825960 \h </w:instrText>
        </w:r>
        <w:r w:rsidR="00776762">
          <w:rPr>
            <w:noProof/>
            <w:webHidden/>
          </w:rPr>
        </w:r>
        <w:r w:rsidR="00776762">
          <w:rPr>
            <w:noProof/>
            <w:webHidden/>
          </w:rPr>
          <w:fldChar w:fldCharType="separate"/>
        </w:r>
        <w:r w:rsidR="00C54A78">
          <w:rPr>
            <w:noProof/>
            <w:webHidden/>
          </w:rPr>
          <w:t>40</w:t>
        </w:r>
        <w:r w:rsidR="00776762">
          <w:rPr>
            <w:noProof/>
            <w:webHidden/>
          </w:rPr>
          <w:fldChar w:fldCharType="end"/>
        </w:r>
      </w:hyperlink>
    </w:p>
    <w:p w14:paraId="3ADE4257" w14:textId="5612695E" w:rsidR="00776762" w:rsidRDefault="00000000">
      <w:pPr>
        <w:pStyle w:val="TableofFigures"/>
        <w:tabs>
          <w:tab w:val="right" w:leader="dot" w:pos="9350"/>
        </w:tabs>
        <w:rPr>
          <w:rFonts w:asciiTheme="minorHAnsi" w:eastAsiaTheme="minorEastAsia" w:hAnsiTheme="minorHAnsi"/>
          <w:noProof/>
          <w:kern w:val="2"/>
          <w:sz w:val="22"/>
          <w14:ligatures w14:val="standardContextual"/>
        </w:rPr>
      </w:pPr>
      <w:hyperlink w:anchor="_Toc159825961" w:history="1">
        <w:r w:rsidR="00776762" w:rsidRPr="009E7139">
          <w:rPr>
            <w:rStyle w:val="Hyperlink"/>
            <w:noProof/>
          </w:rPr>
          <w:t>Table 5: Statistics of MERRA-2 AOD, DB AOD, UNet 3+ AOD, and gap-filled AOD against AERONET AOD</w:t>
        </w:r>
        <w:r w:rsidR="00776762">
          <w:rPr>
            <w:noProof/>
            <w:webHidden/>
          </w:rPr>
          <w:tab/>
        </w:r>
        <w:r w:rsidR="00776762">
          <w:rPr>
            <w:noProof/>
            <w:webHidden/>
          </w:rPr>
          <w:fldChar w:fldCharType="begin"/>
        </w:r>
        <w:r w:rsidR="00776762">
          <w:rPr>
            <w:noProof/>
            <w:webHidden/>
          </w:rPr>
          <w:instrText xml:space="preserve"> PAGEREF _Toc159825961 \h </w:instrText>
        </w:r>
        <w:r w:rsidR="00776762">
          <w:rPr>
            <w:noProof/>
            <w:webHidden/>
          </w:rPr>
        </w:r>
        <w:r w:rsidR="00776762">
          <w:rPr>
            <w:noProof/>
            <w:webHidden/>
          </w:rPr>
          <w:fldChar w:fldCharType="separate"/>
        </w:r>
        <w:r w:rsidR="00C54A78">
          <w:rPr>
            <w:noProof/>
            <w:webHidden/>
          </w:rPr>
          <w:t>46</w:t>
        </w:r>
        <w:r w:rsidR="00776762">
          <w:rPr>
            <w:noProof/>
            <w:webHidden/>
          </w:rPr>
          <w:fldChar w:fldCharType="end"/>
        </w:r>
      </w:hyperlink>
    </w:p>
    <w:p w14:paraId="7BA3DDF8" w14:textId="78AB1CD9" w:rsidR="00776762" w:rsidRDefault="00000000">
      <w:pPr>
        <w:pStyle w:val="TableofFigures"/>
        <w:tabs>
          <w:tab w:val="right" w:leader="dot" w:pos="9350"/>
        </w:tabs>
        <w:rPr>
          <w:rFonts w:asciiTheme="minorHAnsi" w:eastAsiaTheme="minorEastAsia" w:hAnsiTheme="minorHAnsi"/>
          <w:noProof/>
          <w:kern w:val="2"/>
          <w:sz w:val="22"/>
          <w14:ligatures w14:val="standardContextual"/>
        </w:rPr>
      </w:pPr>
      <w:hyperlink w:anchor="_Toc159825962" w:history="1">
        <w:r w:rsidR="00776762" w:rsidRPr="009E7139">
          <w:rPr>
            <w:rStyle w:val="Hyperlink"/>
            <w:noProof/>
          </w:rPr>
          <w:t>Table 6: A collection of AOD gap-filling models and their performance.</w:t>
        </w:r>
        <w:r w:rsidR="00776762">
          <w:rPr>
            <w:noProof/>
            <w:webHidden/>
          </w:rPr>
          <w:tab/>
        </w:r>
        <w:r w:rsidR="00776762">
          <w:rPr>
            <w:noProof/>
            <w:webHidden/>
          </w:rPr>
          <w:fldChar w:fldCharType="begin"/>
        </w:r>
        <w:r w:rsidR="00776762">
          <w:rPr>
            <w:noProof/>
            <w:webHidden/>
          </w:rPr>
          <w:instrText xml:space="preserve"> PAGEREF _Toc159825962 \h </w:instrText>
        </w:r>
        <w:r w:rsidR="00776762">
          <w:rPr>
            <w:noProof/>
            <w:webHidden/>
          </w:rPr>
        </w:r>
        <w:r w:rsidR="00776762">
          <w:rPr>
            <w:noProof/>
            <w:webHidden/>
          </w:rPr>
          <w:fldChar w:fldCharType="separate"/>
        </w:r>
        <w:r w:rsidR="00C54A78">
          <w:rPr>
            <w:noProof/>
            <w:webHidden/>
          </w:rPr>
          <w:t>61</w:t>
        </w:r>
        <w:r w:rsidR="00776762">
          <w:rPr>
            <w:noProof/>
            <w:webHidden/>
          </w:rPr>
          <w:fldChar w:fldCharType="end"/>
        </w:r>
      </w:hyperlink>
    </w:p>
    <w:p w14:paraId="136B10CC" w14:textId="77777777" w:rsidR="007E10BA" w:rsidRDefault="00A97E45" w:rsidP="00A97E45">
      <w:pPr>
        <w:spacing w:line="259" w:lineRule="auto"/>
        <w:contextualSpacing w:val="0"/>
        <w:rPr>
          <w:noProof/>
          <w:sz w:val="28"/>
          <w:szCs w:val="28"/>
        </w:rPr>
      </w:pPr>
      <w:r>
        <w:rPr>
          <w:noProof/>
          <w:sz w:val="28"/>
          <w:szCs w:val="28"/>
        </w:rPr>
        <w:fldChar w:fldCharType="end"/>
      </w:r>
    </w:p>
    <w:p w14:paraId="208B8692" w14:textId="77777777" w:rsidR="007E10BA" w:rsidRDefault="007E10BA">
      <w:pPr>
        <w:spacing w:line="259" w:lineRule="auto"/>
        <w:contextualSpacing w:val="0"/>
        <w:rPr>
          <w:noProof/>
          <w:sz w:val="28"/>
          <w:szCs w:val="28"/>
        </w:rPr>
      </w:pPr>
      <w:r>
        <w:rPr>
          <w:noProof/>
          <w:sz w:val="28"/>
          <w:szCs w:val="28"/>
        </w:rPr>
        <w:br w:type="page"/>
      </w:r>
    </w:p>
    <w:p w14:paraId="38A5FF2E" w14:textId="77777777" w:rsidR="00776762" w:rsidRDefault="007E10BA" w:rsidP="007E10BA">
      <w:pPr>
        <w:pStyle w:val="Heading1"/>
        <w:rPr>
          <w:noProof/>
        </w:rPr>
      </w:pPr>
      <w:bookmarkStart w:id="2" w:name="_Toc161431066"/>
      <w:r>
        <w:rPr>
          <w:noProof/>
        </w:rPr>
        <w:lastRenderedPageBreak/>
        <w:t>List of Figures</w:t>
      </w:r>
      <w:bookmarkEnd w:id="2"/>
      <w:r w:rsidR="00D047C7">
        <w:rPr>
          <w:noProof/>
        </w:rPr>
        <w:fldChar w:fldCharType="begin"/>
      </w:r>
      <w:r w:rsidR="00D047C7">
        <w:rPr>
          <w:noProof/>
        </w:rPr>
        <w:instrText xml:space="preserve"> TOC \h \z \c "Figure" </w:instrText>
      </w:r>
      <w:r w:rsidR="00D047C7">
        <w:rPr>
          <w:noProof/>
        </w:rPr>
        <w:fldChar w:fldCharType="separate"/>
      </w:r>
    </w:p>
    <w:p w14:paraId="279315FA" w14:textId="2EC2A167" w:rsidR="00776762" w:rsidRDefault="00000000">
      <w:pPr>
        <w:pStyle w:val="TableofFigures"/>
        <w:tabs>
          <w:tab w:val="right" w:leader="dot" w:pos="9350"/>
        </w:tabs>
        <w:rPr>
          <w:rFonts w:asciiTheme="minorHAnsi" w:eastAsiaTheme="minorEastAsia" w:hAnsiTheme="minorHAnsi"/>
          <w:noProof/>
          <w:kern w:val="2"/>
          <w:sz w:val="22"/>
          <w14:ligatures w14:val="standardContextual"/>
        </w:rPr>
      </w:pPr>
      <w:hyperlink w:anchor="_Toc159825963" w:history="1">
        <w:r w:rsidR="00776762" w:rsidRPr="007A762F">
          <w:rPr>
            <w:rStyle w:val="Hyperlink"/>
            <w:noProof/>
          </w:rPr>
          <w:t>Figure 1: The size of aerosols, or particulate matter (PM), that can penetrate the human body (Kim et al., 2015).</w:t>
        </w:r>
        <w:r w:rsidR="00776762">
          <w:rPr>
            <w:noProof/>
            <w:webHidden/>
          </w:rPr>
          <w:tab/>
        </w:r>
        <w:r w:rsidR="00776762">
          <w:rPr>
            <w:noProof/>
            <w:webHidden/>
          </w:rPr>
          <w:fldChar w:fldCharType="begin"/>
        </w:r>
        <w:r w:rsidR="00776762">
          <w:rPr>
            <w:noProof/>
            <w:webHidden/>
          </w:rPr>
          <w:instrText xml:space="preserve"> PAGEREF _Toc159825963 \h </w:instrText>
        </w:r>
        <w:r w:rsidR="00776762">
          <w:rPr>
            <w:noProof/>
            <w:webHidden/>
          </w:rPr>
        </w:r>
        <w:r w:rsidR="00776762">
          <w:rPr>
            <w:noProof/>
            <w:webHidden/>
          </w:rPr>
          <w:fldChar w:fldCharType="separate"/>
        </w:r>
        <w:r w:rsidR="00C54A78">
          <w:rPr>
            <w:noProof/>
            <w:webHidden/>
          </w:rPr>
          <w:t>2</w:t>
        </w:r>
        <w:r w:rsidR="00776762">
          <w:rPr>
            <w:noProof/>
            <w:webHidden/>
          </w:rPr>
          <w:fldChar w:fldCharType="end"/>
        </w:r>
      </w:hyperlink>
    </w:p>
    <w:p w14:paraId="50BECCB8" w14:textId="2B42E1C8" w:rsidR="00776762" w:rsidRDefault="00000000">
      <w:pPr>
        <w:pStyle w:val="TableofFigures"/>
        <w:tabs>
          <w:tab w:val="right" w:leader="dot" w:pos="9350"/>
        </w:tabs>
        <w:rPr>
          <w:rFonts w:asciiTheme="minorHAnsi" w:eastAsiaTheme="minorEastAsia" w:hAnsiTheme="minorHAnsi"/>
          <w:noProof/>
          <w:kern w:val="2"/>
          <w:sz w:val="22"/>
          <w14:ligatures w14:val="standardContextual"/>
        </w:rPr>
      </w:pPr>
      <w:hyperlink w:anchor="_Toc159825964" w:history="1">
        <w:r w:rsidR="00776762" w:rsidRPr="007A762F">
          <w:rPr>
            <w:rStyle w:val="Hyperlink"/>
            <w:noProof/>
          </w:rPr>
          <w:t>Figure 2: VIIRS visible imagery over the Pacific Northwest on September 5, 2017, showing heavy wildfire smoke. Source: NASA Worldview.</w:t>
        </w:r>
        <w:r w:rsidR="00776762">
          <w:rPr>
            <w:noProof/>
            <w:webHidden/>
          </w:rPr>
          <w:tab/>
        </w:r>
        <w:r w:rsidR="00776762">
          <w:rPr>
            <w:noProof/>
            <w:webHidden/>
          </w:rPr>
          <w:fldChar w:fldCharType="begin"/>
        </w:r>
        <w:r w:rsidR="00776762">
          <w:rPr>
            <w:noProof/>
            <w:webHidden/>
          </w:rPr>
          <w:instrText xml:space="preserve"> PAGEREF _Toc159825964 \h </w:instrText>
        </w:r>
        <w:r w:rsidR="00776762">
          <w:rPr>
            <w:noProof/>
            <w:webHidden/>
          </w:rPr>
        </w:r>
        <w:r w:rsidR="00776762">
          <w:rPr>
            <w:noProof/>
            <w:webHidden/>
          </w:rPr>
          <w:fldChar w:fldCharType="separate"/>
        </w:r>
        <w:r w:rsidR="00C54A78">
          <w:rPr>
            <w:noProof/>
            <w:webHidden/>
          </w:rPr>
          <w:t>3</w:t>
        </w:r>
        <w:r w:rsidR="00776762">
          <w:rPr>
            <w:noProof/>
            <w:webHidden/>
          </w:rPr>
          <w:fldChar w:fldCharType="end"/>
        </w:r>
      </w:hyperlink>
    </w:p>
    <w:p w14:paraId="42C091D3" w14:textId="0B968B85" w:rsidR="00776762" w:rsidRDefault="00000000">
      <w:pPr>
        <w:pStyle w:val="TableofFigures"/>
        <w:tabs>
          <w:tab w:val="right" w:leader="dot" w:pos="9350"/>
        </w:tabs>
        <w:rPr>
          <w:rFonts w:asciiTheme="minorHAnsi" w:eastAsiaTheme="minorEastAsia" w:hAnsiTheme="minorHAnsi"/>
          <w:noProof/>
          <w:kern w:val="2"/>
          <w:sz w:val="22"/>
          <w14:ligatures w14:val="standardContextual"/>
        </w:rPr>
      </w:pPr>
      <w:hyperlink w:anchor="_Toc159825965" w:history="1">
        <w:r w:rsidR="00776762" w:rsidRPr="007A762F">
          <w:rPr>
            <w:rStyle w:val="Hyperlink"/>
            <w:noProof/>
          </w:rPr>
          <w:t>Figure 3: An image over northern Africa showing the presence of dust aerosols and the effectiveness of the Deep Blue wavelength at isolating these aerosols. Source: MODIS Terra.</w:t>
        </w:r>
        <w:r w:rsidR="00776762">
          <w:rPr>
            <w:noProof/>
            <w:webHidden/>
          </w:rPr>
          <w:tab/>
        </w:r>
        <w:r w:rsidR="00776762">
          <w:rPr>
            <w:noProof/>
            <w:webHidden/>
          </w:rPr>
          <w:fldChar w:fldCharType="begin"/>
        </w:r>
        <w:r w:rsidR="00776762">
          <w:rPr>
            <w:noProof/>
            <w:webHidden/>
          </w:rPr>
          <w:instrText xml:space="preserve"> PAGEREF _Toc159825965 \h </w:instrText>
        </w:r>
        <w:r w:rsidR="00776762">
          <w:rPr>
            <w:noProof/>
            <w:webHidden/>
          </w:rPr>
        </w:r>
        <w:r w:rsidR="00776762">
          <w:rPr>
            <w:noProof/>
            <w:webHidden/>
          </w:rPr>
          <w:fldChar w:fldCharType="separate"/>
        </w:r>
        <w:r w:rsidR="00C54A78">
          <w:rPr>
            <w:noProof/>
            <w:webHidden/>
          </w:rPr>
          <w:t>10</w:t>
        </w:r>
        <w:r w:rsidR="00776762">
          <w:rPr>
            <w:noProof/>
            <w:webHidden/>
          </w:rPr>
          <w:fldChar w:fldCharType="end"/>
        </w:r>
      </w:hyperlink>
    </w:p>
    <w:p w14:paraId="70A72377" w14:textId="403F631C" w:rsidR="00776762" w:rsidRDefault="00000000">
      <w:pPr>
        <w:pStyle w:val="TableofFigures"/>
        <w:tabs>
          <w:tab w:val="right" w:leader="dot" w:pos="9350"/>
        </w:tabs>
        <w:rPr>
          <w:rFonts w:asciiTheme="minorHAnsi" w:eastAsiaTheme="minorEastAsia" w:hAnsiTheme="minorHAnsi"/>
          <w:noProof/>
          <w:kern w:val="2"/>
          <w:sz w:val="22"/>
          <w14:ligatures w14:val="standardContextual"/>
        </w:rPr>
      </w:pPr>
      <w:hyperlink w:anchor="_Toc159825966" w:history="1">
        <w:r w:rsidR="00776762" w:rsidRPr="007A762F">
          <w:rPr>
            <w:rStyle w:val="Hyperlink"/>
            <w:noProof/>
          </w:rPr>
          <w:t>Figure 4: Depiction of the orbit of a polar-orbiting satellite. Source: Space Foundation.</w:t>
        </w:r>
        <w:r w:rsidR="00776762">
          <w:rPr>
            <w:noProof/>
            <w:webHidden/>
          </w:rPr>
          <w:tab/>
        </w:r>
        <w:r w:rsidR="00776762">
          <w:rPr>
            <w:noProof/>
            <w:webHidden/>
          </w:rPr>
          <w:fldChar w:fldCharType="begin"/>
        </w:r>
        <w:r w:rsidR="00776762">
          <w:rPr>
            <w:noProof/>
            <w:webHidden/>
          </w:rPr>
          <w:instrText xml:space="preserve"> PAGEREF _Toc159825966 \h </w:instrText>
        </w:r>
        <w:r w:rsidR="00776762">
          <w:rPr>
            <w:noProof/>
            <w:webHidden/>
          </w:rPr>
        </w:r>
        <w:r w:rsidR="00776762">
          <w:rPr>
            <w:noProof/>
            <w:webHidden/>
          </w:rPr>
          <w:fldChar w:fldCharType="separate"/>
        </w:r>
        <w:r w:rsidR="00C54A78">
          <w:rPr>
            <w:noProof/>
            <w:webHidden/>
          </w:rPr>
          <w:t>18</w:t>
        </w:r>
        <w:r w:rsidR="00776762">
          <w:rPr>
            <w:noProof/>
            <w:webHidden/>
          </w:rPr>
          <w:fldChar w:fldCharType="end"/>
        </w:r>
      </w:hyperlink>
    </w:p>
    <w:p w14:paraId="570887F0" w14:textId="113EAEA5" w:rsidR="00776762" w:rsidRDefault="00000000">
      <w:pPr>
        <w:pStyle w:val="TableofFigures"/>
        <w:tabs>
          <w:tab w:val="right" w:leader="dot" w:pos="9350"/>
        </w:tabs>
        <w:rPr>
          <w:rFonts w:asciiTheme="minorHAnsi" w:eastAsiaTheme="minorEastAsia" w:hAnsiTheme="minorHAnsi"/>
          <w:noProof/>
          <w:kern w:val="2"/>
          <w:sz w:val="22"/>
          <w14:ligatures w14:val="standardContextual"/>
        </w:rPr>
      </w:pPr>
      <w:hyperlink w:anchor="_Toc159825967" w:history="1">
        <w:r w:rsidR="00776762" w:rsidRPr="007A762F">
          <w:rPr>
            <w:rStyle w:val="Hyperlink"/>
            <w:noProof/>
          </w:rPr>
          <w:t xml:space="preserve">Figure 5: A map of the NAM domain (solid) as well as the parent domain (dashed). We used data gridded in the solid region. Source: </w:t>
        </w:r>
        <w:r w:rsidR="00776762" w:rsidRPr="007A762F">
          <w:rPr>
            <w:rStyle w:val="Hyperlink"/>
            <w:rFonts w:cs="Times New Roman"/>
            <w:noProof/>
          </w:rPr>
          <w:t>(“North American Mesoscale Forecast System,” 2020)</w:t>
        </w:r>
        <w:r w:rsidR="00776762" w:rsidRPr="007A762F">
          <w:rPr>
            <w:rStyle w:val="Hyperlink"/>
            <w:noProof/>
          </w:rPr>
          <w:t>.</w:t>
        </w:r>
        <w:r w:rsidR="00776762">
          <w:rPr>
            <w:noProof/>
            <w:webHidden/>
          </w:rPr>
          <w:tab/>
        </w:r>
        <w:r w:rsidR="00776762">
          <w:rPr>
            <w:noProof/>
            <w:webHidden/>
          </w:rPr>
          <w:fldChar w:fldCharType="begin"/>
        </w:r>
        <w:r w:rsidR="00776762">
          <w:rPr>
            <w:noProof/>
            <w:webHidden/>
          </w:rPr>
          <w:instrText xml:space="preserve"> PAGEREF _Toc159825967 \h </w:instrText>
        </w:r>
        <w:r w:rsidR="00776762">
          <w:rPr>
            <w:noProof/>
            <w:webHidden/>
          </w:rPr>
        </w:r>
        <w:r w:rsidR="00776762">
          <w:rPr>
            <w:noProof/>
            <w:webHidden/>
          </w:rPr>
          <w:fldChar w:fldCharType="separate"/>
        </w:r>
        <w:r w:rsidR="00C54A78">
          <w:rPr>
            <w:noProof/>
            <w:webHidden/>
          </w:rPr>
          <w:t>20</w:t>
        </w:r>
        <w:r w:rsidR="00776762">
          <w:rPr>
            <w:noProof/>
            <w:webHidden/>
          </w:rPr>
          <w:fldChar w:fldCharType="end"/>
        </w:r>
      </w:hyperlink>
    </w:p>
    <w:p w14:paraId="7D53D7D4" w14:textId="2C6CE50E" w:rsidR="00776762" w:rsidRDefault="00000000">
      <w:pPr>
        <w:pStyle w:val="TableofFigures"/>
        <w:tabs>
          <w:tab w:val="right" w:leader="dot" w:pos="9350"/>
        </w:tabs>
        <w:rPr>
          <w:rFonts w:asciiTheme="minorHAnsi" w:eastAsiaTheme="minorEastAsia" w:hAnsiTheme="minorHAnsi"/>
          <w:noProof/>
          <w:kern w:val="2"/>
          <w:sz w:val="22"/>
          <w14:ligatures w14:val="standardContextual"/>
        </w:rPr>
      </w:pPr>
      <w:hyperlink w:anchor="_Toc159825968" w:history="1">
        <w:r w:rsidR="00776762" w:rsidRPr="007A762F">
          <w:rPr>
            <w:rStyle w:val="Hyperlink"/>
            <w:noProof/>
          </w:rPr>
          <w:t>Figure 6: A sample map of the HMS smoke product for November 8, 2018, showing a large smoke plume from the Camp Fire. Green, yellow, and red denote light, medium, and heavy smoke densities, respectively. Source: NOAA HMS.</w:t>
        </w:r>
        <w:r w:rsidR="00776762">
          <w:rPr>
            <w:noProof/>
            <w:webHidden/>
          </w:rPr>
          <w:tab/>
        </w:r>
        <w:r w:rsidR="00776762">
          <w:rPr>
            <w:noProof/>
            <w:webHidden/>
          </w:rPr>
          <w:fldChar w:fldCharType="begin"/>
        </w:r>
        <w:r w:rsidR="00776762">
          <w:rPr>
            <w:noProof/>
            <w:webHidden/>
          </w:rPr>
          <w:instrText xml:space="preserve"> PAGEREF _Toc159825968 \h </w:instrText>
        </w:r>
        <w:r w:rsidR="00776762">
          <w:rPr>
            <w:noProof/>
            <w:webHidden/>
          </w:rPr>
        </w:r>
        <w:r w:rsidR="00776762">
          <w:rPr>
            <w:noProof/>
            <w:webHidden/>
          </w:rPr>
          <w:fldChar w:fldCharType="separate"/>
        </w:r>
        <w:r w:rsidR="00C54A78">
          <w:rPr>
            <w:noProof/>
            <w:webHidden/>
          </w:rPr>
          <w:t>21</w:t>
        </w:r>
        <w:r w:rsidR="00776762">
          <w:rPr>
            <w:noProof/>
            <w:webHidden/>
          </w:rPr>
          <w:fldChar w:fldCharType="end"/>
        </w:r>
      </w:hyperlink>
    </w:p>
    <w:p w14:paraId="148BD176" w14:textId="494ECA71" w:rsidR="00776762" w:rsidRDefault="00000000">
      <w:pPr>
        <w:pStyle w:val="TableofFigures"/>
        <w:tabs>
          <w:tab w:val="right" w:leader="dot" w:pos="9350"/>
        </w:tabs>
        <w:rPr>
          <w:rFonts w:asciiTheme="minorHAnsi" w:eastAsiaTheme="minorEastAsia" w:hAnsiTheme="minorHAnsi"/>
          <w:noProof/>
          <w:kern w:val="2"/>
          <w:sz w:val="22"/>
          <w14:ligatures w14:val="standardContextual"/>
        </w:rPr>
      </w:pPr>
      <w:hyperlink w:anchor="_Toc159825969" w:history="1">
        <w:r w:rsidR="00776762" w:rsidRPr="007A762F">
          <w:rPr>
            <w:rStyle w:val="Hyperlink"/>
            <w:noProof/>
          </w:rPr>
          <w:t>Figure 7: The proposed grid in red and the NAM 12km grid in gray. Both have 12x12 km</w:t>
        </w:r>
        <w:r w:rsidR="00776762" w:rsidRPr="007A762F">
          <w:rPr>
            <w:rStyle w:val="Hyperlink"/>
            <w:noProof/>
            <w:vertAlign w:val="superscript"/>
          </w:rPr>
          <w:t>2</w:t>
        </w:r>
        <w:r w:rsidR="00776762" w:rsidRPr="007A762F">
          <w:rPr>
            <w:rStyle w:val="Hyperlink"/>
            <w:noProof/>
          </w:rPr>
          <w:t xml:space="preserve"> resolution but are defined on different projections.</w:t>
        </w:r>
        <w:r w:rsidR="00776762">
          <w:rPr>
            <w:noProof/>
            <w:webHidden/>
          </w:rPr>
          <w:tab/>
        </w:r>
        <w:r w:rsidR="00776762">
          <w:rPr>
            <w:noProof/>
            <w:webHidden/>
          </w:rPr>
          <w:fldChar w:fldCharType="begin"/>
        </w:r>
        <w:r w:rsidR="00776762">
          <w:rPr>
            <w:noProof/>
            <w:webHidden/>
          </w:rPr>
          <w:instrText xml:space="preserve"> PAGEREF _Toc159825969 \h </w:instrText>
        </w:r>
        <w:r w:rsidR="00776762">
          <w:rPr>
            <w:noProof/>
            <w:webHidden/>
          </w:rPr>
        </w:r>
        <w:r w:rsidR="00776762">
          <w:rPr>
            <w:noProof/>
            <w:webHidden/>
          </w:rPr>
          <w:fldChar w:fldCharType="separate"/>
        </w:r>
        <w:r w:rsidR="00C54A78">
          <w:rPr>
            <w:noProof/>
            <w:webHidden/>
          </w:rPr>
          <w:t>29</w:t>
        </w:r>
        <w:r w:rsidR="00776762">
          <w:rPr>
            <w:noProof/>
            <w:webHidden/>
          </w:rPr>
          <w:fldChar w:fldCharType="end"/>
        </w:r>
      </w:hyperlink>
    </w:p>
    <w:p w14:paraId="52EF4FA4" w14:textId="50FFBAE1" w:rsidR="00776762" w:rsidRDefault="00000000">
      <w:pPr>
        <w:pStyle w:val="TableofFigures"/>
        <w:tabs>
          <w:tab w:val="right" w:leader="dot" w:pos="9350"/>
        </w:tabs>
        <w:rPr>
          <w:rFonts w:asciiTheme="minorHAnsi" w:eastAsiaTheme="minorEastAsia" w:hAnsiTheme="minorHAnsi"/>
          <w:noProof/>
          <w:kern w:val="2"/>
          <w:sz w:val="22"/>
          <w14:ligatures w14:val="standardContextual"/>
        </w:rPr>
      </w:pPr>
      <w:hyperlink w:anchor="_Toc159825970" w:history="1">
        <w:r w:rsidR="00776762" w:rsidRPr="007A762F">
          <w:rPr>
            <w:rStyle w:val="Hyperlink"/>
            <w:noProof/>
          </w:rPr>
          <w:t>Figure 8: An example of how NAM data buffers (blue) may overlie a grid cell (red).</w:t>
        </w:r>
        <w:r w:rsidR="00776762">
          <w:rPr>
            <w:noProof/>
            <w:webHidden/>
          </w:rPr>
          <w:tab/>
        </w:r>
        <w:r w:rsidR="00776762">
          <w:rPr>
            <w:noProof/>
            <w:webHidden/>
          </w:rPr>
          <w:fldChar w:fldCharType="begin"/>
        </w:r>
        <w:r w:rsidR="00776762">
          <w:rPr>
            <w:noProof/>
            <w:webHidden/>
          </w:rPr>
          <w:instrText xml:space="preserve"> PAGEREF _Toc159825970 \h </w:instrText>
        </w:r>
        <w:r w:rsidR="00776762">
          <w:rPr>
            <w:noProof/>
            <w:webHidden/>
          </w:rPr>
        </w:r>
        <w:r w:rsidR="00776762">
          <w:rPr>
            <w:noProof/>
            <w:webHidden/>
          </w:rPr>
          <w:fldChar w:fldCharType="separate"/>
        </w:r>
        <w:r w:rsidR="00C54A78">
          <w:rPr>
            <w:noProof/>
            <w:webHidden/>
          </w:rPr>
          <w:t>31</w:t>
        </w:r>
        <w:r w:rsidR="00776762">
          <w:rPr>
            <w:noProof/>
            <w:webHidden/>
          </w:rPr>
          <w:fldChar w:fldCharType="end"/>
        </w:r>
      </w:hyperlink>
    </w:p>
    <w:p w14:paraId="41CF3420" w14:textId="0F97B77A" w:rsidR="00776762" w:rsidRDefault="00000000">
      <w:pPr>
        <w:pStyle w:val="TableofFigures"/>
        <w:tabs>
          <w:tab w:val="right" w:leader="dot" w:pos="9350"/>
        </w:tabs>
        <w:rPr>
          <w:rFonts w:asciiTheme="minorHAnsi" w:eastAsiaTheme="minorEastAsia" w:hAnsiTheme="minorHAnsi"/>
          <w:noProof/>
          <w:kern w:val="2"/>
          <w:sz w:val="22"/>
          <w14:ligatures w14:val="standardContextual"/>
        </w:rPr>
      </w:pPr>
      <w:hyperlink w:anchor="_Toc159825971" w:history="1">
        <w:r w:rsidR="00776762" w:rsidRPr="007A762F">
          <w:rPr>
            <w:rStyle w:val="Hyperlink"/>
            <w:noProof/>
          </w:rPr>
          <w:t>Figure 9: A histogram of all log AOD values from satellite and some auxiliary MERRA-2 values (discussed in section 3.3.5).</w:t>
        </w:r>
        <w:r w:rsidR="00776762">
          <w:rPr>
            <w:noProof/>
            <w:webHidden/>
          </w:rPr>
          <w:tab/>
        </w:r>
        <w:r w:rsidR="00776762">
          <w:rPr>
            <w:noProof/>
            <w:webHidden/>
          </w:rPr>
          <w:fldChar w:fldCharType="begin"/>
        </w:r>
        <w:r w:rsidR="00776762">
          <w:rPr>
            <w:noProof/>
            <w:webHidden/>
          </w:rPr>
          <w:instrText xml:space="preserve"> PAGEREF _Toc159825971 \h </w:instrText>
        </w:r>
        <w:r w:rsidR="00776762">
          <w:rPr>
            <w:noProof/>
            <w:webHidden/>
          </w:rPr>
        </w:r>
        <w:r w:rsidR="00776762">
          <w:rPr>
            <w:noProof/>
            <w:webHidden/>
          </w:rPr>
          <w:fldChar w:fldCharType="separate"/>
        </w:r>
        <w:r w:rsidR="00C54A78">
          <w:rPr>
            <w:noProof/>
            <w:webHidden/>
          </w:rPr>
          <w:t>33</w:t>
        </w:r>
        <w:r w:rsidR="00776762">
          <w:rPr>
            <w:noProof/>
            <w:webHidden/>
          </w:rPr>
          <w:fldChar w:fldCharType="end"/>
        </w:r>
      </w:hyperlink>
    </w:p>
    <w:p w14:paraId="450F7888" w14:textId="570DCB9C" w:rsidR="00776762" w:rsidRDefault="00000000">
      <w:pPr>
        <w:pStyle w:val="TableofFigures"/>
        <w:tabs>
          <w:tab w:val="right" w:leader="dot" w:pos="9350"/>
        </w:tabs>
        <w:rPr>
          <w:rFonts w:asciiTheme="minorHAnsi" w:eastAsiaTheme="minorEastAsia" w:hAnsiTheme="minorHAnsi"/>
          <w:noProof/>
          <w:kern w:val="2"/>
          <w:sz w:val="22"/>
          <w14:ligatures w14:val="standardContextual"/>
        </w:rPr>
      </w:pPr>
      <w:hyperlink w:anchor="_Toc159825972" w:history="1">
        <w:r w:rsidR="00776762" w:rsidRPr="007A762F">
          <w:rPr>
            <w:rStyle w:val="Hyperlink"/>
            <w:noProof/>
          </w:rPr>
          <w:t>Figure 10: (a) UNet 3+ AOD predictions, (b) DB retrievals, (c) gap-filled AOD, and (d) MERRA-2 AOD for December 11, 2012. Gap-filling performed by the gap-filler model trained on only (weighted) satellite DB AOD retrievals.</w:t>
        </w:r>
        <w:r w:rsidR="00776762">
          <w:rPr>
            <w:noProof/>
            <w:webHidden/>
          </w:rPr>
          <w:tab/>
        </w:r>
        <w:r w:rsidR="00776762">
          <w:rPr>
            <w:noProof/>
            <w:webHidden/>
          </w:rPr>
          <w:fldChar w:fldCharType="begin"/>
        </w:r>
        <w:r w:rsidR="00776762">
          <w:rPr>
            <w:noProof/>
            <w:webHidden/>
          </w:rPr>
          <w:instrText xml:space="preserve"> PAGEREF _Toc159825972 \h </w:instrText>
        </w:r>
        <w:r w:rsidR="00776762">
          <w:rPr>
            <w:noProof/>
            <w:webHidden/>
          </w:rPr>
        </w:r>
        <w:r w:rsidR="00776762">
          <w:rPr>
            <w:noProof/>
            <w:webHidden/>
          </w:rPr>
          <w:fldChar w:fldCharType="separate"/>
        </w:r>
        <w:r w:rsidR="00C54A78">
          <w:rPr>
            <w:noProof/>
            <w:webHidden/>
          </w:rPr>
          <w:t>36</w:t>
        </w:r>
        <w:r w:rsidR="00776762">
          <w:rPr>
            <w:noProof/>
            <w:webHidden/>
          </w:rPr>
          <w:fldChar w:fldCharType="end"/>
        </w:r>
      </w:hyperlink>
    </w:p>
    <w:p w14:paraId="7D8FC920" w14:textId="56791E2C" w:rsidR="00776762" w:rsidRDefault="00000000">
      <w:pPr>
        <w:pStyle w:val="TableofFigures"/>
        <w:tabs>
          <w:tab w:val="right" w:leader="dot" w:pos="9350"/>
        </w:tabs>
        <w:rPr>
          <w:rFonts w:asciiTheme="minorHAnsi" w:eastAsiaTheme="minorEastAsia" w:hAnsiTheme="minorHAnsi"/>
          <w:noProof/>
          <w:kern w:val="2"/>
          <w:sz w:val="22"/>
          <w14:ligatures w14:val="standardContextual"/>
        </w:rPr>
      </w:pPr>
      <w:hyperlink w:anchor="_Toc159825973" w:history="1">
        <w:r w:rsidR="00776762" w:rsidRPr="007A762F">
          <w:rPr>
            <w:rStyle w:val="Hyperlink"/>
            <w:noProof/>
          </w:rPr>
          <w:t>Figure 11: The percentage of days with a successful DB AOD retrieval from 2012-2022 categorized by season.</w:t>
        </w:r>
        <w:r w:rsidR="00776762">
          <w:rPr>
            <w:noProof/>
            <w:webHidden/>
          </w:rPr>
          <w:tab/>
        </w:r>
        <w:r w:rsidR="00776762">
          <w:rPr>
            <w:noProof/>
            <w:webHidden/>
          </w:rPr>
          <w:fldChar w:fldCharType="begin"/>
        </w:r>
        <w:r w:rsidR="00776762">
          <w:rPr>
            <w:noProof/>
            <w:webHidden/>
          </w:rPr>
          <w:instrText xml:space="preserve"> PAGEREF _Toc159825973 \h </w:instrText>
        </w:r>
        <w:r w:rsidR="00776762">
          <w:rPr>
            <w:noProof/>
            <w:webHidden/>
          </w:rPr>
        </w:r>
        <w:r w:rsidR="00776762">
          <w:rPr>
            <w:noProof/>
            <w:webHidden/>
          </w:rPr>
          <w:fldChar w:fldCharType="separate"/>
        </w:r>
        <w:r w:rsidR="00C54A78">
          <w:rPr>
            <w:noProof/>
            <w:webHidden/>
          </w:rPr>
          <w:t>37</w:t>
        </w:r>
        <w:r w:rsidR="00776762">
          <w:rPr>
            <w:noProof/>
            <w:webHidden/>
          </w:rPr>
          <w:fldChar w:fldCharType="end"/>
        </w:r>
      </w:hyperlink>
    </w:p>
    <w:p w14:paraId="1023DB05" w14:textId="09C1E2FA" w:rsidR="00776762" w:rsidRDefault="00000000">
      <w:pPr>
        <w:pStyle w:val="TableofFigures"/>
        <w:tabs>
          <w:tab w:val="right" w:leader="dot" w:pos="9350"/>
        </w:tabs>
        <w:rPr>
          <w:rFonts w:asciiTheme="minorHAnsi" w:eastAsiaTheme="minorEastAsia" w:hAnsiTheme="minorHAnsi"/>
          <w:noProof/>
          <w:kern w:val="2"/>
          <w:sz w:val="22"/>
          <w14:ligatures w14:val="standardContextual"/>
        </w:rPr>
      </w:pPr>
      <w:hyperlink w:anchor="_Toc159825974" w:history="1">
        <w:r w:rsidR="00776762" w:rsidRPr="007A762F">
          <w:rPr>
            <w:rStyle w:val="Hyperlink"/>
            <w:noProof/>
          </w:rPr>
          <w:t>Figure 12: (a) DB AOD retrievals along with (b) supplemental AOD from MERRA-2 for November 12, 2012.</w:t>
        </w:r>
        <w:r w:rsidR="00776762">
          <w:rPr>
            <w:noProof/>
            <w:webHidden/>
          </w:rPr>
          <w:tab/>
        </w:r>
        <w:r w:rsidR="00776762">
          <w:rPr>
            <w:noProof/>
            <w:webHidden/>
          </w:rPr>
          <w:fldChar w:fldCharType="begin"/>
        </w:r>
        <w:r w:rsidR="00776762">
          <w:rPr>
            <w:noProof/>
            <w:webHidden/>
          </w:rPr>
          <w:instrText xml:space="preserve"> PAGEREF _Toc159825974 \h </w:instrText>
        </w:r>
        <w:r w:rsidR="00776762">
          <w:rPr>
            <w:noProof/>
            <w:webHidden/>
          </w:rPr>
        </w:r>
        <w:r w:rsidR="00776762">
          <w:rPr>
            <w:noProof/>
            <w:webHidden/>
          </w:rPr>
          <w:fldChar w:fldCharType="separate"/>
        </w:r>
        <w:r w:rsidR="00C54A78">
          <w:rPr>
            <w:noProof/>
            <w:webHidden/>
          </w:rPr>
          <w:t>38</w:t>
        </w:r>
        <w:r w:rsidR="00776762">
          <w:rPr>
            <w:noProof/>
            <w:webHidden/>
          </w:rPr>
          <w:fldChar w:fldCharType="end"/>
        </w:r>
      </w:hyperlink>
    </w:p>
    <w:p w14:paraId="4A96152C" w14:textId="5C5F49B9" w:rsidR="00776762" w:rsidRDefault="00000000">
      <w:pPr>
        <w:pStyle w:val="TableofFigures"/>
        <w:tabs>
          <w:tab w:val="right" w:leader="dot" w:pos="9350"/>
        </w:tabs>
        <w:rPr>
          <w:rFonts w:asciiTheme="minorHAnsi" w:eastAsiaTheme="minorEastAsia" w:hAnsiTheme="minorHAnsi"/>
          <w:noProof/>
          <w:kern w:val="2"/>
          <w:sz w:val="22"/>
          <w14:ligatures w14:val="standardContextual"/>
        </w:rPr>
      </w:pPr>
      <w:hyperlink w:anchor="_Toc159825975" w:history="1">
        <w:r w:rsidR="00776762" w:rsidRPr="007A762F">
          <w:rPr>
            <w:rStyle w:val="Hyperlink"/>
            <w:noProof/>
          </w:rPr>
          <w:t>Figure 13: The effect of selective backpropagation on a simple MLP model.</w:t>
        </w:r>
        <w:r w:rsidR="00776762">
          <w:rPr>
            <w:noProof/>
            <w:webHidden/>
          </w:rPr>
          <w:tab/>
        </w:r>
        <w:r w:rsidR="00776762">
          <w:rPr>
            <w:noProof/>
            <w:webHidden/>
          </w:rPr>
          <w:fldChar w:fldCharType="begin"/>
        </w:r>
        <w:r w:rsidR="00776762">
          <w:rPr>
            <w:noProof/>
            <w:webHidden/>
          </w:rPr>
          <w:instrText xml:space="preserve"> PAGEREF _Toc159825975 \h </w:instrText>
        </w:r>
        <w:r w:rsidR="00776762">
          <w:rPr>
            <w:noProof/>
            <w:webHidden/>
          </w:rPr>
        </w:r>
        <w:r w:rsidR="00776762">
          <w:rPr>
            <w:noProof/>
            <w:webHidden/>
          </w:rPr>
          <w:fldChar w:fldCharType="separate"/>
        </w:r>
        <w:r w:rsidR="00C54A78">
          <w:rPr>
            <w:noProof/>
            <w:webHidden/>
          </w:rPr>
          <w:t>40</w:t>
        </w:r>
        <w:r w:rsidR="00776762">
          <w:rPr>
            <w:noProof/>
            <w:webHidden/>
          </w:rPr>
          <w:fldChar w:fldCharType="end"/>
        </w:r>
      </w:hyperlink>
    </w:p>
    <w:p w14:paraId="7AB72853" w14:textId="59D1224D" w:rsidR="00776762" w:rsidRDefault="00000000">
      <w:pPr>
        <w:pStyle w:val="TableofFigures"/>
        <w:tabs>
          <w:tab w:val="right" w:leader="dot" w:pos="9350"/>
        </w:tabs>
        <w:rPr>
          <w:rFonts w:asciiTheme="minorHAnsi" w:eastAsiaTheme="minorEastAsia" w:hAnsiTheme="minorHAnsi"/>
          <w:noProof/>
          <w:kern w:val="2"/>
          <w:sz w:val="22"/>
          <w14:ligatures w14:val="standardContextual"/>
        </w:rPr>
      </w:pPr>
      <w:hyperlink w:anchor="_Toc159825976" w:history="1">
        <w:r w:rsidR="00776762" w:rsidRPr="007A762F">
          <w:rPr>
            <w:rStyle w:val="Hyperlink"/>
            <w:noProof/>
          </w:rPr>
          <w:t>Figure 14: Scatter plots of (a) MERRA-2 AOD, (b) DB AOD, (c) UNet 3+ AOD, and (d) gap-filled AOD against AERONET AOD at 550 nm. The color scale represents the density of samples, and the black line represents the 1:1 line.</w:t>
        </w:r>
        <w:r w:rsidR="00776762">
          <w:rPr>
            <w:noProof/>
            <w:webHidden/>
          </w:rPr>
          <w:tab/>
        </w:r>
        <w:r w:rsidR="00776762">
          <w:rPr>
            <w:noProof/>
            <w:webHidden/>
          </w:rPr>
          <w:fldChar w:fldCharType="begin"/>
        </w:r>
        <w:r w:rsidR="00776762">
          <w:rPr>
            <w:noProof/>
            <w:webHidden/>
          </w:rPr>
          <w:instrText xml:space="preserve"> PAGEREF _Toc159825976 \h </w:instrText>
        </w:r>
        <w:r w:rsidR="00776762">
          <w:rPr>
            <w:noProof/>
            <w:webHidden/>
          </w:rPr>
        </w:r>
        <w:r w:rsidR="00776762">
          <w:rPr>
            <w:noProof/>
            <w:webHidden/>
          </w:rPr>
          <w:fldChar w:fldCharType="separate"/>
        </w:r>
        <w:r w:rsidR="00C54A78">
          <w:rPr>
            <w:noProof/>
            <w:webHidden/>
          </w:rPr>
          <w:t>47</w:t>
        </w:r>
        <w:r w:rsidR="00776762">
          <w:rPr>
            <w:noProof/>
            <w:webHidden/>
          </w:rPr>
          <w:fldChar w:fldCharType="end"/>
        </w:r>
      </w:hyperlink>
    </w:p>
    <w:p w14:paraId="5F92F535" w14:textId="5B2464F1" w:rsidR="00776762" w:rsidRDefault="00000000">
      <w:pPr>
        <w:pStyle w:val="TableofFigures"/>
        <w:tabs>
          <w:tab w:val="right" w:leader="dot" w:pos="9350"/>
        </w:tabs>
        <w:rPr>
          <w:rFonts w:asciiTheme="minorHAnsi" w:eastAsiaTheme="minorEastAsia" w:hAnsiTheme="minorHAnsi"/>
          <w:noProof/>
          <w:kern w:val="2"/>
          <w:sz w:val="22"/>
          <w14:ligatures w14:val="standardContextual"/>
        </w:rPr>
      </w:pPr>
      <w:hyperlink w:anchor="_Toc159825977" w:history="1">
        <w:r w:rsidR="00776762" w:rsidRPr="007A762F">
          <w:rPr>
            <w:rStyle w:val="Hyperlink"/>
            <w:noProof/>
          </w:rPr>
          <w:t>Figure 15: Spatial statistical evaluation of UNet 3+ and DB AOD against AERONET stations throughout CONUS with at least 1,000 collocated observations.</w:t>
        </w:r>
        <w:r w:rsidR="00776762">
          <w:rPr>
            <w:noProof/>
            <w:webHidden/>
          </w:rPr>
          <w:tab/>
        </w:r>
        <w:r w:rsidR="00776762">
          <w:rPr>
            <w:noProof/>
            <w:webHidden/>
          </w:rPr>
          <w:fldChar w:fldCharType="begin"/>
        </w:r>
        <w:r w:rsidR="00776762">
          <w:rPr>
            <w:noProof/>
            <w:webHidden/>
          </w:rPr>
          <w:instrText xml:space="preserve"> PAGEREF _Toc159825977 \h </w:instrText>
        </w:r>
        <w:r w:rsidR="00776762">
          <w:rPr>
            <w:noProof/>
            <w:webHidden/>
          </w:rPr>
        </w:r>
        <w:r w:rsidR="00776762">
          <w:rPr>
            <w:noProof/>
            <w:webHidden/>
          </w:rPr>
          <w:fldChar w:fldCharType="separate"/>
        </w:r>
        <w:r w:rsidR="00C54A78">
          <w:rPr>
            <w:noProof/>
            <w:webHidden/>
          </w:rPr>
          <w:t>49</w:t>
        </w:r>
        <w:r w:rsidR="00776762">
          <w:rPr>
            <w:noProof/>
            <w:webHidden/>
          </w:rPr>
          <w:fldChar w:fldCharType="end"/>
        </w:r>
      </w:hyperlink>
    </w:p>
    <w:p w14:paraId="23D5D23D" w14:textId="497792B1" w:rsidR="00776762" w:rsidRDefault="00000000">
      <w:pPr>
        <w:pStyle w:val="TableofFigures"/>
        <w:tabs>
          <w:tab w:val="right" w:leader="dot" w:pos="9350"/>
        </w:tabs>
        <w:rPr>
          <w:rFonts w:asciiTheme="minorHAnsi" w:eastAsiaTheme="minorEastAsia" w:hAnsiTheme="minorHAnsi"/>
          <w:noProof/>
          <w:kern w:val="2"/>
          <w:sz w:val="22"/>
          <w14:ligatures w14:val="standardContextual"/>
        </w:rPr>
      </w:pPr>
      <w:hyperlink w:anchor="_Toc159825978" w:history="1">
        <w:r w:rsidR="00776762" w:rsidRPr="007A762F">
          <w:rPr>
            <w:rStyle w:val="Hyperlink"/>
            <w:noProof/>
          </w:rPr>
          <w:t>Figure 16: Spatial statistical evaluation over winter (DJF) of UNet 3+ and DB AOD against AERONET stations throughout CONUS with at least 200 collocated observations.</w:t>
        </w:r>
        <w:r w:rsidR="00776762">
          <w:rPr>
            <w:noProof/>
            <w:webHidden/>
          </w:rPr>
          <w:tab/>
        </w:r>
        <w:r w:rsidR="00776762">
          <w:rPr>
            <w:noProof/>
            <w:webHidden/>
          </w:rPr>
          <w:fldChar w:fldCharType="begin"/>
        </w:r>
        <w:r w:rsidR="00776762">
          <w:rPr>
            <w:noProof/>
            <w:webHidden/>
          </w:rPr>
          <w:instrText xml:space="preserve"> PAGEREF _Toc159825978 \h </w:instrText>
        </w:r>
        <w:r w:rsidR="00776762">
          <w:rPr>
            <w:noProof/>
            <w:webHidden/>
          </w:rPr>
        </w:r>
        <w:r w:rsidR="00776762">
          <w:rPr>
            <w:noProof/>
            <w:webHidden/>
          </w:rPr>
          <w:fldChar w:fldCharType="separate"/>
        </w:r>
        <w:r w:rsidR="00C54A78">
          <w:rPr>
            <w:noProof/>
            <w:webHidden/>
          </w:rPr>
          <w:t>50</w:t>
        </w:r>
        <w:r w:rsidR="00776762">
          <w:rPr>
            <w:noProof/>
            <w:webHidden/>
          </w:rPr>
          <w:fldChar w:fldCharType="end"/>
        </w:r>
      </w:hyperlink>
    </w:p>
    <w:p w14:paraId="5CEF3BC9" w14:textId="32A80BA2" w:rsidR="00776762" w:rsidRDefault="00000000">
      <w:pPr>
        <w:pStyle w:val="TableofFigures"/>
        <w:tabs>
          <w:tab w:val="right" w:leader="dot" w:pos="9350"/>
        </w:tabs>
        <w:rPr>
          <w:rFonts w:asciiTheme="minorHAnsi" w:eastAsiaTheme="minorEastAsia" w:hAnsiTheme="minorHAnsi"/>
          <w:noProof/>
          <w:kern w:val="2"/>
          <w:sz w:val="22"/>
          <w14:ligatures w14:val="standardContextual"/>
        </w:rPr>
      </w:pPr>
      <w:hyperlink w:anchor="_Toc159825979" w:history="1">
        <w:r w:rsidR="00776762" w:rsidRPr="007A762F">
          <w:rPr>
            <w:rStyle w:val="Hyperlink"/>
            <w:noProof/>
          </w:rPr>
          <w:t>Figure 17: Spatial statistical evaluation over spring (MAM) of UNet 3+ and DB AOD against AERONET stations throughout CONUS with at least 200 collocated observations.</w:t>
        </w:r>
        <w:r w:rsidR="00776762">
          <w:rPr>
            <w:noProof/>
            <w:webHidden/>
          </w:rPr>
          <w:tab/>
        </w:r>
        <w:r w:rsidR="00776762">
          <w:rPr>
            <w:noProof/>
            <w:webHidden/>
          </w:rPr>
          <w:fldChar w:fldCharType="begin"/>
        </w:r>
        <w:r w:rsidR="00776762">
          <w:rPr>
            <w:noProof/>
            <w:webHidden/>
          </w:rPr>
          <w:instrText xml:space="preserve"> PAGEREF _Toc159825979 \h </w:instrText>
        </w:r>
        <w:r w:rsidR="00776762">
          <w:rPr>
            <w:noProof/>
            <w:webHidden/>
          </w:rPr>
        </w:r>
        <w:r w:rsidR="00776762">
          <w:rPr>
            <w:noProof/>
            <w:webHidden/>
          </w:rPr>
          <w:fldChar w:fldCharType="separate"/>
        </w:r>
        <w:r w:rsidR="00C54A78">
          <w:rPr>
            <w:noProof/>
            <w:webHidden/>
          </w:rPr>
          <w:t>52</w:t>
        </w:r>
        <w:r w:rsidR="00776762">
          <w:rPr>
            <w:noProof/>
            <w:webHidden/>
          </w:rPr>
          <w:fldChar w:fldCharType="end"/>
        </w:r>
      </w:hyperlink>
    </w:p>
    <w:p w14:paraId="60D56EC0" w14:textId="0390B0B4" w:rsidR="00776762" w:rsidRDefault="00000000">
      <w:pPr>
        <w:pStyle w:val="TableofFigures"/>
        <w:tabs>
          <w:tab w:val="right" w:leader="dot" w:pos="9350"/>
        </w:tabs>
        <w:rPr>
          <w:rFonts w:asciiTheme="minorHAnsi" w:eastAsiaTheme="minorEastAsia" w:hAnsiTheme="minorHAnsi"/>
          <w:noProof/>
          <w:kern w:val="2"/>
          <w:sz w:val="22"/>
          <w14:ligatures w14:val="standardContextual"/>
        </w:rPr>
      </w:pPr>
      <w:hyperlink w:anchor="_Toc159825980" w:history="1">
        <w:r w:rsidR="00776762" w:rsidRPr="007A762F">
          <w:rPr>
            <w:rStyle w:val="Hyperlink"/>
            <w:noProof/>
          </w:rPr>
          <w:t>Figure 18: Spatial statistical evaluation over summer (JJA) of UNet 3+ and DB AOD against AERONET stations throughout CONUS with at least 200 collocated observations.</w:t>
        </w:r>
        <w:r w:rsidR="00776762">
          <w:rPr>
            <w:noProof/>
            <w:webHidden/>
          </w:rPr>
          <w:tab/>
        </w:r>
        <w:r w:rsidR="00776762">
          <w:rPr>
            <w:noProof/>
            <w:webHidden/>
          </w:rPr>
          <w:fldChar w:fldCharType="begin"/>
        </w:r>
        <w:r w:rsidR="00776762">
          <w:rPr>
            <w:noProof/>
            <w:webHidden/>
          </w:rPr>
          <w:instrText xml:space="preserve"> PAGEREF _Toc159825980 \h </w:instrText>
        </w:r>
        <w:r w:rsidR="00776762">
          <w:rPr>
            <w:noProof/>
            <w:webHidden/>
          </w:rPr>
        </w:r>
        <w:r w:rsidR="00776762">
          <w:rPr>
            <w:noProof/>
            <w:webHidden/>
          </w:rPr>
          <w:fldChar w:fldCharType="separate"/>
        </w:r>
        <w:r w:rsidR="00C54A78">
          <w:rPr>
            <w:noProof/>
            <w:webHidden/>
          </w:rPr>
          <w:t>53</w:t>
        </w:r>
        <w:r w:rsidR="00776762">
          <w:rPr>
            <w:noProof/>
            <w:webHidden/>
          </w:rPr>
          <w:fldChar w:fldCharType="end"/>
        </w:r>
      </w:hyperlink>
    </w:p>
    <w:p w14:paraId="7706A8B1" w14:textId="4AE33FBC" w:rsidR="00776762" w:rsidRDefault="00000000">
      <w:pPr>
        <w:pStyle w:val="TableofFigures"/>
        <w:tabs>
          <w:tab w:val="right" w:leader="dot" w:pos="9350"/>
        </w:tabs>
        <w:rPr>
          <w:rFonts w:asciiTheme="minorHAnsi" w:eastAsiaTheme="minorEastAsia" w:hAnsiTheme="minorHAnsi"/>
          <w:noProof/>
          <w:kern w:val="2"/>
          <w:sz w:val="22"/>
          <w14:ligatures w14:val="standardContextual"/>
        </w:rPr>
      </w:pPr>
      <w:hyperlink w:anchor="_Toc159825981" w:history="1">
        <w:r w:rsidR="00776762" w:rsidRPr="007A762F">
          <w:rPr>
            <w:rStyle w:val="Hyperlink"/>
            <w:noProof/>
          </w:rPr>
          <w:t>Figure 19: Spatial statistical evaluation over fall (SON) of UNet 3+ and DB AOD against AERONET stations throughout CONUS with at least 200 collocated observations.</w:t>
        </w:r>
        <w:r w:rsidR="00776762">
          <w:rPr>
            <w:noProof/>
            <w:webHidden/>
          </w:rPr>
          <w:tab/>
        </w:r>
        <w:r w:rsidR="00776762">
          <w:rPr>
            <w:noProof/>
            <w:webHidden/>
          </w:rPr>
          <w:fldChar w:fldCharType="begin"/>
        </w:r>
        <w:r w:rsidR="00776762">
          <w:rPr>
            <w:noProof/>
            <w:webHidden/>
          </w:rPr>
          <w:instrText xml:space="preserve"> PAGEREF _Toc159825981 \h </w:instrText>
        </w:r>
        <w:r w:rsidR="00776762">
          <w:rPr>
            <w:noProof/>
            <w:webHidden/>
          </w:rPr>
        </w:r>
        <w:r w:rsidR="00776762">
          <w:rPr>
            <w:noProof/>
            <w:webHidden/>
          </w:rPr>
          <w:fldChar w:fldCharType="separate"/>
        </w:r>
        <w:r w:rsidR="00C54A78">
          <w:rPr>
            <w:noProof/>
            <w:webHidden/>
          </w:rPr>
          <w:t>54</w:t>
        </w:r>
        <w:r w:rsidR="00776762">
          <w:rPr>
            <w:noProof/>
            <w:webHidden/>
          </w:rPr>
          <w:fldChar w:fldCharType="end"/>
        </w:r>
      </w:hyperlink>
    </w:p>
    <w:p w14:paraId="5582928C" w14:textId="21E0FFFE" w:rsidR="00776762" w:rsidRDefault="00000000">
      <w:pPr>
        <w:pStyle w:val="TableofFigures"/>
        <w:tabs>
          <w:tab w:val="right" w:leader="dot" w:pos="9350"/>
        </w:tabs>
        <w:rPr>
          <w:rFonts w:asciiTheme="minorHAnsi" w:eastAsiaTheme="minorEastAsia" w:hAnsiTheme="minorHAnsi"/>
          <w:noProof/>
          <w:kern w:val="2"/>
          <w:sz w:val="22"/>
          <w14:ligatures w14:val="standardContextual"/>
        </w:rPr>
      </w:pPr>
      <w:hyperlink w:anchor="_Toc159825982" w:history="1">
        <w:r w:rsidR="00776762" w:rsidRPr="007A762F">
          <w:rPr>
            <w:rStyle w:val="Hyperlink"/>
            <w:noProof/>
          </w:rPr>
          <w:t>Figure 20: Residuals of UNet 3+ AOD against AERONET AOD. Blue denotes the average residual and red denotes one standard deviation.</w:t>
        </w:r>
        <w:r w:rsidR="00776762">
          <w:rPr>
            <w:noProof/>
            <w:webHidden/>
          </w:rPr>
          <w:tab/>
        </w:r>
        <w:r w:rsidR="00776762">
          <w:rPr>
            <w:noProof/>
            <w:webHidden/>
          </w:rPr>
          <w:fldChar w:fldCharType="begin"/>
        </w:r>
        <w:r w:rsidR="00776762">
          <w:rPr>
            <w:noProof/>
            <w:webHidden/>
          </w:rPr>
          <w:instrText xml:space="preserve"> PAGEREF _Toc159825982 \h </w:instrText>
        </w:r>
        <w:r w:rsidR="00776762">
          <w:rPr>
            <w:noProof/>
            <w:webHidden/>
          </w:rPr>
        </w:r>
        <w:r w:rsidR="00776762">
          <w:rPr>
            <w:noProof/>
            <w:webHidden/>
          </w:rPr>
          <w:fldChar w:fldCharType="separate"/>
        </w:r>
        <w:r w:rsidR="00C54A78">
          <w:rPr>
            <w:noProof/>
            <w:webHidden/>
          </w:rPr>
          <w:t>55</w:t>
        </w:r>
        <w:r w:rsidR="00776762">
          <w:rPr>
            <w:noProof/>
            <w:webHidden/>
          </w:rPr>
          <w:fldChar w:fldCharType="end"/>
        </w:r>
      </w:hyperlink>
    </w:p>
    <w:p w14:paraId="0D3CF5A1" w14:textId="010C70A9" w:rsidR="00776762" w:rsidRDefault="00000000">
      <w:pPr>
        <w:pStyle w:val="TableofFigures"/>
        <w:tabs>
          <w:tab w:val="right" w:leader="dot" w:pos="9350"/>
        </w:tabs>
        <w:rPr>
          <w:rFonts w:asciiTheme="minorHAnsi" w:eastAsiaTheme="minorEastAsia" w:hAnsiTheme="minorHAnsi"/>
          <w:noProof/>
          <w:kern w:val="2"/>
          <w:sz w:val="22"/>
          <w14:ligatures w14:val="standardContextual"/>
        </w:rPr>
      </w:pPr>
      <w:hyperlink w:anchor="_Toc159825983" w:history="1">
        <w:r w:rsidR="00776762" w:rsidRPr="007A762F">
          <w:rPr>
            <w:rStyle w:val="Hyperlink"/>
            <w:noProof/>
          </w:rPr>
          <w:t>Figure 21: Composite difference between UNet 3+ AOD and satellite DB AOD.</w:t>
        </w:r>
        <w:r w:rsidR="00776762">
          <w:rPr>
            <w:noProof/>
            <w:webHidden/>
          </w:rPr>
          <w:tab/>
        </w:r>
        <w:r w:rsidR="00776762">
          <w:rPr>
            <w:noProof/>
            <w:webHidden/>
          </w:rPr>
          <w:fldChar w:fldCharType="begin"/>
        </w:r>
        <w:r w:rsidR="00776762">
          <w:rPr>
            <w:noProof/>
            <w:webHidden/>
          </w:rPr>
          <w:instrText xml:space="preserve"> PAGEREF _Toc159825983 \h </w:instrText>
        </w:r>
        <w:r w:rsidR="00776762">
          <w:rPr>
            <w:noProof/>
            <w:webHidden/>
          </w:rPr>
        </w:r>
        <w:r w:rsidR="00776762">
          <w:rPr>
            <w:noProof/>
            <w:webHidden/>
          </w:rPr>
          <w:fldChar w:fldCharType="separate"/>
        </w:r>
        <w:r w:rsidR="00C54A78">
          <w:rPr>
            <w:noProof/>
            <w:webHidden/>
          </w:rPr>
          <w:t>56</w:t>
        </w:r>
        <w:r w:rsidR="00776762">
          <w:rPr>
            <w:noProof/>
            <w:webHidden/>
          </w:rPr>
          <w:fldChar w:fldCharType="end"/>
        </w:r>
      </w:hyperlink>
    </w:p>
    <w:p w14:paraId="76A7E31F" w14:textId="2F421015" w:rsidR="00776762" w:rsidRDefault="00000000">
      <w:pPr>
        <w:pStyle w:val="TableofFigures"/>
        <w:tabs>
          <w:tab w:val="right" w:leader="dot" w:pos="9350"/>
        </w:tabs>
        <w:rPr>
          <w:rFonts w:asciiTheme="minorHAnsi" w:eastAsiaTheme="minorEastAsia" w:hAnsiTheme="minorHAnsi"/>
          <w:noProof/>
          <w:kern w:val="2"/>
          <w:sz w:val="22"/>
          <w14:ligatures w14:val="standardContextual"/>
        </w:rPr>
      </w:pPr>
      <w:hyperlink w:anchor="_Toc159825984" w:history="1">
        <w:r w:rsidR="00776762" w:rsidRPr="007A762F">
          <w:rPr>
            <w:rStyle w:val="Hyperlink"/>
            <w:noProof/>
          </w:rPr>
          <w:t>Figure 22: Composite difference between UNet 3+ AOD and satellite DB AOD for winter (DJF).</w:t>
        </w:r>
        <w:r w:rsidR="00776762">
          <w:rPr>
            <w:noProof/>
            <w:webHidden/>
          </w:rPr>
          <w:tab/>
        </w:r>
        <w:r w:rsidR="00776762">
          <w:rPr>
            <w:noProof/>
            <w:webHidden/>
          </w:rPr>
          <w:fldChar w:fldCharType="begin"/>
        </w:r>
        <w:r w:rsidR="00776762">
          <w:rPr>
            <w:noProof/>
            <w:webHidden/>
          </w:rPr>
          <w:instrText xml:space="preserve"> PAGEREF _Toc159825984 \h </w:instrText>
        </w:r>
        <w:r w:rsidR="00776762">
          <w:rPr>
            <w:noProof/>
            <w:webHidden/>
          </w:rPr>
        </w:r>
        <w:r w:rsidR="00776762">
          <w:rPr>
            <w:noProof/>
            <w:webHidden/>
          </w:rPr>
          <w:fldChar w:fldCharType="separate"/>
        </w:r>
        <w:r w:rsidR="00C54A78">
          <w:rPr>
            <w:noProof/>
            <w:webHidden/>
          </w:rPr>
          <w:t>57</w:t>
        </w:r>
        <w:r w:rsidR="00776762">
          <w:rPr>
            <w:noProof/>
            <w:webHidden/>
          </w:rPr>
          <w:fldChar w:fldCharType="end"/>
        </w:r>
      </w:hyperlink>
    </w:p>
    <w:p w14:paraId="3DCCACA0" w14:textId="533B5E07" w:rsidR="0043570D" w:rsidRDefault="00D047C7" w:rsidP="0043570D">
      <w:pPr>
        <w:pStyle w:val="TableofFigures"/>
        <w:tabs>
          <w:tab w:val="right" w:leader="dot" w:pos="9350"/>
        </w:tabs>
        <w:rPr>
          <w:noProof/>
          <w:sz w:val="28"/>
          <w:szCs w:val="28"/>
        </w:rPr>
      </w:pPr>
      <w:r>
        <w:rPr>
          <w:noProof/>
          <w:sz w:val="28"/>
          <w:szCs w:val="28"/>
        </w:rPr>
        <w:lastRenderedPageBreak/>
        <w:fldChar w:fldCharType="end"/>
      </w:r>
    </w:p>
    <w:sdt>
      <w:sdtPr>
        <w:id w:val="-849878211"/>
        <w:docPartObj>
          <w:docPartGallery w:val="Table of Contents"/>
          <w:docPartUnique/>
        </w:docPartObj>
      </w:sdtPr>
      <w:sdtEndPr>
        <w:rPr>
          <w:b/>
          <w:bCs/>
          <w:noProof/>
        </w:rPr>
      </w:sdtEndPr>
      <w:sdtContent>
        <w:p w14:paraId="2525D03E" w14:textId="54DD0319" w:rsidR="00144014" w:rsidRPr="00F03569" w:rsidRDefault="005D5114" w:rsidP="00F03569">
          <w:pPr>
            <w:spacing w:line="259" w:lineRule="auto"/>
            <w:contextualSpacing w:val="0"/>
            <w:rPr>
              <w:rStyle w:val="Heading1Char"/>
              <w:rFonts w:eastAsiaTheme="minorHAnsi" w:cstheme="minorBidi"/>
              <w:b w:val="0"/>
              <w:noProof/>
              <w:sz w:val="28"/>
              <w:szCs w:val="28"/>
            </w:rPr>
          </w:pPr>
          <w:r w:rsidRPr="00144014">
            <w:rPr>
              <w:rStyle w:val="Heading1Char"/>
            </w:rPr>
            <w:t>Table of Contents</w:t>
          </w:r>
        </w:p>
        <w:p w14:paraId="438A721C" w14:textId="77777777" w:rsidR="00144014" w:rsidRPr="00144014" w:rsidRDefault="00144014" w:rsidP="00144014">
          <w:pPr>
            <w:spacing w:line="240" w:lineRule="auto"/>
          </w:pPr>
        </w:p>
        <w:p w14:paraId="67AE7A28" w14:textId="45C262CE" w:rsidR="00E06789" w:rsidRDefault="005D5114">
          <w:pPr>
            <w:pStyle w:val="TOC1"/>
            <w:rPr>
              <w:rFonts w:asciiTheme="minorHAnsi" w:eastAsiaTheme="minorEastAsia" w:hAnsiTheme="minorHAnsi"/>
              <w:noProof/>
              <w:kern w:val="2"/>
              <w:szCs w:val="24"/>
              <w14:ligatures w14:val="standardContextual"/>
            </w:rPr>
          </w:pPr>
          <w:r>
            <w:fldChar w:fldCharType="begin"/>
          </w:r>
          <w:r>
            <w:instrText xml:space="preserve"> TOC \o "1-3" \h \z \u </w:instrText>
          </w:r>
          <w:r>
            <w:fldChar w:fldCharType="separate"/>
          </w:r>
          <w:hyperlink w:anchor="_Toc161431064" w:history="1">
            <w:r w:rsidR="00E06789" w:rsidRPr="00F906AD">
              <w:rPr>
                <w:rStyle w:val="Hyperlink"/>
                <w:noProof/>
              </w:rPr>
              <w:t>Acknowledgements</w:t>
            </w:r>
            <w:r w:rsidR="00E06789">
              <w:rPr>
                <w:noProof/>
                <w:webHidden/>
              </w:rPr>
              <w:tab/>
            </w:r>
            <w:r w:rsidR="00E06789">
              <w:rPr>
                <w:noProof/>
                <w:webHidden/>
              </w:rPr>
              <w:fldChar w:fldCharType="begin"/>
            </w:r>
            <w:r w:rsidR="00E06789">
              <w:rPr>
                <w:noProof/>
                <w:webHidden/>
              </w:rPr>
              <w:instrText xml:space="preserve"> PAGEREF _Toc161431064 \h </w:instrText>
            </w:r>
            <w:r w:rsidR="00E06789">
              <w:rPr>
                <w:noProof/>
                <w:webHidden/>
              </w:rPr>
            </w:r>
            <w:r w:rsidR="00E06789">
              <w:rPr>
                <w:noProof/>
                <w:webHidden/>
              </w:rPr>
              <w:fldChar w:fldCharType="separate"/>
            </w:r>
            <w:r w:rsidR="00C54A78">
              <w:rPr>
                <w:noProof/>
                <w:webHidden/>
              </w:rPr>
              <w:t>iv</w:t>
            </w:r>
            <w:r w:rsidR="00E06789">
              <w:rPr>
                <w:noProof/>
                <w:webHidden/>
              </w:rPr>
              <w:fldChar w:fldCharType="end"/>
            </w:r>
          </w:hyperlink>
        </w:p>
        <w:p w14:paraId="2B9143D9" w14:textId="5E235F14" w:rsidR="00E06789" w:rsidRDefault="00000000">
          <w:pPr>
            <w:pStyle w:val="TOC1"/>
            <w:rPr>
              <w:rFonts w:asciiTheme="minorHAnsi" w:eastAsiaTheme="minorEastAsia" w:hAnsiTheme="minorHAnsi"/>
              <w:noProof/>
              <w:kern w:val="2"/>
              <w:szCs w:val="24"/>
              <w14:ligatures w14:val="standardContextual"/>
            </w:rPr>
          </w:pPr>
          <w:hyperlink w:anchor="_Toc161431065" w:history="1">
            <w:r w:rsidR="00E06789" w:rsidRPr="00F906AD">
              <w:rPr>
                <w:rStyle w:val="Hyperlink"/>
                <w:noProof/>
              </w:rPr>
              <w:t>List of Tables</w:t>
            </w:r>
            <w:r w:rsidR="00E06789">
              <w:rPr>
                <w:noProof/>
                <w:webHidden/>
              </w:rPr>
              <w:tab/>
            </w:r>
            <w:r w:rsidR="00E06789">
              <w:rPr>
                <w:noProof/>
                <w:webHidden/>
              </w:rPr>
              <w:fldChar w:fldCharType="begin"/>
            </w:r>
            <w:r w:rsidR="00E06789">
              <w:rPr>
                <w:noProof/>
                <w:webHidden/>
              </w:rPr>
              <w:instrText xml:space="preserve"> PAGEREF _Toc161431065 \h </w:instrText>
            </w:r>
            <w:r w:rsidR="00E06789">
              <w:rPr>
                <w:noProof/>
                <w:webHidden/>
              </w:rPr>
            </w:r>
            <w:r w:rsidR="00E06789">
              <w:rPr>
                <w:noProof/>
                <w:webHidden/>
              </w:rPr>
              <w:fldChar w:fldCharType="separate"/>
            </w:r>
            <w:r w:rsidR="00C54A78">
              <w:rPr>
                <w:noProof/>
                <w:webHidden/>
              </w:rPr>
              <w:t>v</w:t>
            </w:r>
            <w:r w:rsidR="00E06789">
              <w:rPr>
                <w:noProof/>
                <w:webHidden/>
              </w:rPr>
              <w:fldChar w:fldCharType="end"/>
            </w:r>
          </w:hyperlink>
        </w:p>
        <w:p w14:paraId="7EE4A436" w14:textId="32C8DFC8" w:rsidR="00E06789" w:rsidRDefault="00000000">
          <w:pPr>
            <w:pStyle w:val="TOC1"/>
            <w:rPr>
              <w:rFonts w:asciiTheme="minorHAnsi" w:eastAsiaTheme="minorEastAsia" w:hAnsiTheme="minorHAnsi"/>
              <w:noProof/>
              <w:kern w:val="2"/>
              <w:szCs w:val="24"/>
              <w14:ligatures w14:val="standardContextual"/>
            </w:rPr>
          </w:pPr>
          <w:hyperlink w:anchor="_Toc161431066" w:history="1">
            <w:r w:rsidR="00E06789" w:rsidRPr="00F906AD">
              <w:rPr>
                <w:rStyle w:val="Hyperlink"/>
                <w:noProof/>
              </w:rPr>
              <w:t>List of Figures</w:t>
            </w:r>
            <w:r w:rsidR="00E06789">
              <w:rPr>
                <w:noProof/>
                <w:webHidden/>
              </w:rPr>
              <w:tab/>
            </w:r>
            <w:r w:rsidR="00E06789">
              <w:rPr>
                <w:noProof/>
                <w:webHidden/>
              </w:rPr>
              <w:fldChar w:fldCharType="begin"/>
            </w:r>
            <w:r w:rsidR="00E06789">
              <w:rPr>
                <w:noProof/>
                <w:webHidden/>
              </w:rPr>
              <w:instrText xml:space="preserve"> PAGEREF _Toc161431066 \h </w:instrText>
            </w:r>
            <w:r w:rsidR="00E06789">
              <w:rPr>
                <w:noProof/>
                <w:webHidden/>
              </w:rPr>
            </w:r>
            <w:r w:rsidR="00E06789">
              <w:rPr>
                <w:noProof/>
                <w:webHidden/>
              </w:rPr>
              <w:fldChar w:fldCharType="separate"/>
            </w:r>
            <w:r w:rsidR="00C54A78">
              <w:rPr>
                <w:noProof/>
                <w:webHidden/>
              </w:rPr>
              <w:t>vi</w:t>
            </w:r>
            <w:r w:rsidR="00E06789">
              <w:rPr>
                <w:noProof/>
                <w:webHidden/>
              </w:rPr>
              <w:fldChar w:fldCharType="end"/>
            </w:r>
          </w:hyperlink>
        </w:p>
        <w:p w14:paraId="247C974B" w14:textId="61CF9F55" w:rsidR="00E06789" w:rsidRDefault="00000000">
          <w:pPr>
            <w:pStyle w:val="TOC1"/>
            <w:rPr>
              <w:rFonts w:asciiTheme="minorHAnsi" w:eastAsiaTheme="minorEastAsia" w:hAnsiTheme="minorHAnsi"/>
              <w:noProof/>
              <w:kern w:val="2"/>
              <w:szCs w:val="24"/>
              <w14:ligatures w14:val="standardContextual"/>
            </w:rPr>
          </w:pPr>
          <w:hyperlink w:anchor="_Toc161431067" w:history="1">
            <w:r w:rsidR="00E06789" w:rsidRPr="00F906AD">
              <w:rPr>
                <w:rStyle w:val="Hyperlink"/>
                <w:noProof/>
              </w:rPr>
              <w:t>Abstract</w:t>
            </w:r>
            <w:r w:rsidR="00E06789">
              <w:rPr>
                <w:noProof/>
                <w:webHidden/>
              </w:rPr>
              <w:tab/>
            </w:r>
            <w:r w:rsidR="00E06789">
              <w:rPr>
                <w:noProof/>
                <w:webHidden/>
              </w:rPr>
              <w:fldChar w:fldCharType="begin"/>
            </w:r>
            <w:r w:rsidR="00E06789">
              <w:rPr>
                <w:noProof/>
                <w:webHidden/>
              </w:rPr>
              <w:instrText xml:space="preserve"> PAGEREF _Toc161431067 \h </w:instrText>
            </w:r>
            <w:r w:rsidR="00E06789">
              <w:rPr>
                <w:noProof/>
                <w:webHidden/>
              </w:rPr>
            </w:r>
            <w:r w:rsidR="00E06789">
              <w:rPr>
                <w:noProof/>
                <w:webHidden/>
              </w:rPr>
              <w:fldChar w:fldCharType="separate"/>
            </w:r>
            <w:r w:rsidR="00C54A78">
              <w:rPr>
                <w:noProof/>
                <w:webHidden/>
              </w:rPr>
              <w:t>xi</w:t>
            </w:r>
            <w:r w:rsidR="00E06789">
              <w:rPr>
                <w:noProof/>
                <w:webHidden/>
              </w:rPr>
              <w:fldChar w:fldCharType="end"/>
            </w:r>
          </w:hyperlink>
        </w:p>
        <w:p w14:paraId="5AC4CC78" w14:textId="796BA7FB" w:rsidR="00E06789" w:rsidRDefault="00000000">
          <w:pPr>
            <w:pStyle w:val="TOC1"/>
            <w:rPr>
              <w:rFonts w:asciiTheme="minorHAnsi" w:eastAsiaTheme="minorEastAsia" w:hAnsiTheme="minorHAnsi"/>
              <w:noProof/>
              <w:kern w:val="2"/>
              <w:szCs w:val="24"/>
              <w14:ligatures w14:val="standardContextual"/>
            </w:rPr>
          </w:pPr>
          <w:hyperlink w:anchor="_Toc161431068" w:history="1">
            <w:r w:rsidR="00E06789" w:rsidRPr="00F906AD">
              <w:rPr>
                <w:rStyle w:val="Hyperlink"/>
                <w:noProof/>
              </w:rPr>
              <w:t>1. Background and Introduction</w:t>
            </w:r>
            <w:r w:rsidR="00E06789">
              <w:rPr>
                <w:noProof/>
                <w:webHidden/>
              </w:rPr>
              <w:tab/>
            </w:r>
            <w:r w:rsidR="00E06789">
              <w:rPr>
                <w:noProof/>
                <w:webHidden/>
              </w:rPr>
              <w:fldChar w:fldCharType="begin"/>
            </w:r>
            <w:r w:rsidR="00E06789">
              <w:rPr>
                <w:noProof/>
                <w:webHidden/>
              </w:rPr>
              <w:instrText xml:space="preserve"> PAGEREF _Toc161431068 \h </w:instrText>
            </w:r>
            <w:r w:rsidR="00E06789">
              <w:rPr>
                <w:noProof/>
                <w:webHidden/>
              </w:rPr>
            </w:r>
            <w:r w:rsidR="00E06789">
              <w:rPr>
                <w:noProof/>
                <w:webHidden/>
              </w:rPr>
              <w:fldChar w:fldCharType="separate"/>
            </w:r>
            <w:r w:rsidR="00C54A78">
              <w:rPr>
                <w:noProof/>
                <w:webHidden/>
              </w:rPr>
              <w:t>1</w:t>
            </w:r>
            <w:r w:rsidR="00E06789">
              <w:rPr>
                <w:noProof/>
                <w:webHidden/>
              </w:rPr>
              <w:fldChar w:fldCharType="end"/>
            </w:r>
          </w:hyperlink>
        </w:p>
        <w:p w14:paraId="4AE50896" w14:textId="67BD99CC" w:rsidR="00E06789" w:rsidRDefault="00000000">
          <w:pPr>
            <w:pStyle w:val="TOC2"/>
            <w:tabs>
              <w:tab w:val="right" w:leader="dot" w:pos="9350"/>
            </w:tabs>
            <w:rPr>
              <w:rFonts w:asciiTheme="minorHAnsi" w:eastAsiaTheme="minorEastAsia" w:hAnsiTheme="minorHAnsi"/>
              <w:noProof/>
              <w:kern w:val="2"/>
              <w:szCs w:val="24"/>
              <w14:ligatures w14:val="standardContextual"/>
            </w:rPr>
          </w:pPr>
          <w:hyperlink w:anchor="_Toc161431069" w:history="1">
            <w:r w:rsidR="00E06789" w:rsidRPr="00F906AD">
              <w:rPr>
                <w:rStyle w:val="Hyperlink"/>
                <w:rFonts w:cs="Times New Roman"/>
                <w:noProof/>
              </w:rPr>
              <w:t>1.1 Aerosol Definition</w:t>
            </w:r>
            <w:r w:rsidR="00E06789">
              <w:rPr>
                <w:noProof/>
                <w:webHidden/>
              </w:rPr>
              <w:tab/>
            </w:r>
            <w:r w:rsidR="00E06789">
              <w:rPr>
                <w:noProof/>
                <w:webHidden/>
              </w:rPr>
              <w:fldChar w:fldCharType="begin"/>
            </w:r>
            <w:r w:rsidR="00E06789">
              <w:rPr>
                <w:noProof/>
                <w:webHidden/>
              </w:rPr>
              <w:instrText xml:space="preserve"> PAGEREF _Toc161431069 \h </w:instrText>
            </w:r>
            <w:r w:rsidR="00E06789">
              <w:rPr>
                <w:noProof/>
                <w:webHidden/>
              </w:rPr>
            </w:r>
            <w:r w:rsidR="00E06789">
              <w:rPr>
                <w:noProof/>
                <w:webHidden/>
              </w:rPr>
              <w:fldChar w:fldCharType="separate"/>
            </w:r>
            <w:r w:rsidR="00C54A78">
              <w:rPr>
                <w:noProof/>
                <w:webHidden/>
              </w:rPr>
              <w:t>1</w:t>
            </w:r>
            <w:r w:rsidR="00E06789">
              <w:rPr>
                <w:noProof/>
                <w:webHidden/>
              </w:rPr>
              <w:fldChar w:fldCharType="end"/>
            </w:r>
          </w:hyperlink>
        </w:p>
        <w:p w14:paraId="4F873909" w14:textId="03D2F79D" w:rsidR="00E06789" w:rsidRDefault="00000000">
          <w:pPr>
            <w:pStyle w:val="TOC2"/>
            <w:tabs>
              <w:tab w:val="right" w:leader="dot" w:pos="9350"/>
            </w:tabs>
            <w:rPr>
              <w:rFonts w:asciiTheme="minorHAnsi" w:eastAsiaTheme="minorEastAsia" w:hAnsiTheme="minorHAnsi"/>
              <w:noProof/>
              <w:kern w:val="2"/>
              <w:szCs w:val="24"/>
              <w14:ligatures w14:val="standardContextual"/>
            </w:rPr>
          </w:pPr>
          <w:hyperlink w:anchor="_Toc161431070" w:history="1">
            <w:r w:rsidR="00E06789" w:rsidRPr="00F906AD">
              <w:rPr>
                <w:rStyle w:val="Hyperlink"/>
                <w:noProof/>
              </w:rPr>
              <w:t>1.2 Aerosol Health Effects</w:t>
            </w:r>
            <w:r w:rsidR="00E06789">
              <w:rPr>
                <w:noProof/>
                <w:webHidden/>
              </w:rPr>
              <w:tab/>
            </w:r>
            <w:r w:rsidR="00E06789">
              <w:rPr>
                <w:noProof/>
                <w:webHidden/>
              </w:rPr>
              <w:fldChar w:fldCharType="begin"/>
            </w:r>
            <w:r w:rsidR="00E06789">
              <w:rPr>
                <w:noProof/>
                <w:webHidden/>
              </w:rPr>
              <w:instrText xml:space="preserve"> PAGEREF _Toc161431070 \h </w:instrText>
            </w:r>
            <w:r w:rsidR="00E06789">
              <w:rPr>
                <w:noProof/>
                <w:webHidden/>
              </w:rPr>
            </w:r>
            <w:r w:rsidR="00E06789">
              <w:rPr>
                <w:noProof/>
                <w:webHidden/>
              </w:rPr>
              <w:fldChar w:fldCharType="separate"/>
            </w:r>
            <w:r w:rsidR="00C54A78">
              <w:rPr>
                <w:noProof/>
                <w:webHidden/>
              </w:rPr>
              <w:t>4</w:t>
            </w:r>
            <w:r w:rsidR="00E06789">
              <w:rPr>
                <w:noProof/>
                <w:webHidden/>
              </w:rPr>
              <w:fldChar w:fldCharType="end"/>
            </w:r>
          </w:hyperlink>
        </w:p>
        <w:p w14:paraId="11A3E03F" w14:textId="60C50131" w:rsidR="00E06789" w:rsidRDefault="00000000">
          <w:pPr>
            <w:pStyle w:val="TOC2"/>
            <w:tabs>
              <w:tab w:val="right" w:leader="dot" w:pos="9350"/>
            </w:tabs>
            <w:rPr>
              <w:rFonts w:asciiTheme="minorHAnsi" w:eastAsiaTheme="minorEastAsia" w:hAnsiTheme="minorHAnsi"/>
              <w:noProof/>
              <w:kern w:val="2"/>
              <w:szCs w:val="24"/>
              <w14:ligatures w14:val="standardContextual"/>
            </w:rPr>
          </w:pPr>
          <w:hyperlink w:anchor="_Toc161431071" w:history="1">
            <w:r w:rsidR="00E06789" w:rsidRPr="00F906AD">
              <w:rPr>
                <w:rStyle w:val="Hyperlink"/>
                <w:noProof/>
              </w:rPr>
              <w:t>1.3 Aerosol Weather and Climate Effects</w:t>
            </w:r>
            <w:r w:rsidR="00E06789">
              <w:rPr>
                <w:noProof/>
                <w:webHidden/>
              </w:rPr>
              <w:tab/>
            </w:r>
            <w:r w:rsidR="00E06789">
              <w:rPr>
                <w:noProof/>
                <w:webHidden/>
              </w:rPr>
              <w:fldChar w:fldCharType="begin"/>
            </w:r>
            <w:r w:rsidR="00E06789">
              <w:rPr>
                <w:noProof/>
                <w:webHidden/>
              </w:rPr>
              <w:instrText xml:space="preserve"> PAGEREF _Toc161431071 \h </w:instrText>
            </w:r>
            <w:r w:rsidR="00E06789">
              <w:rPr>
                <w:noProof/>
                <w:webHidden/>
              </w:rPr>
            </w:r>
            <w:r w:rsidR="00E06789">
              <w:rPr>
                <w:noProof/>
                <w:webHidden/>
              </w:rPr>
              <w:fldChar w:fldCharType="separate"/>
            </w:r>
            <w:r w:rsidR="00C54A78">
              <w:rPr>
                <w:noProof/>
                <w:webHidden/>
              </w:rPr>
              <w:t>5</w:t>
            </w:r>
            <w:r w:rsidR="00E06789">
              <w:rPr>
                <w:noProof/>
                <w:webHidden/>
              </w:rPr>
              <w:fldChar w:fldCharType="end"/>
            </w:r>
          </w:hyperlink>
        </w:p>
        <w:p w14:paraId="56DE796C" w14:textId="205F0AE2" w:rsidR="00E06789" w:rsidRDefault="00000000">
          <w:pPr>
            <w:pStyle w:val="TOC2"/>
            <w:tabs>
              <w:tab w:val="right" w:leader="dot" w:pos="9350"/>
            </w:tabs>
            <w:rPr>
              <w:rFonts w:asciiTheme="minorHAnsi" w:eastAsiaTheme="minorEastAsia" w:hAnsiTheme="minorHAnsi"/>
              <w:noProof/>
              <w:kern w:val="2"/>
              <w:szCs w:val="24"/>
              <w14:ligatures w14:val="standardContextual"/>
            </w:rPr>
          </w:pPr>
          <w:hyperlink w:anchor="_Toc161431072" w:history="1">
            <w:r w:rsidR="00E06789" w:rsidRPr="00F906AD">
              <w:rPr>
                <w:rStyle w:val="Hyperlink"/>
                <w:noProof/>
              </w:rPr>
              <w:t>1.4 Sensing Aerosols</w:t>
            </w:r>
            <w:r w:rsidR="00E06789">
              <w:rPr>
                <w:noProof/>
                <w:webHidden/>
              </w:rPr>
              <w:tab/>
            </w:r>
            <w:r w:rsidR="00E06789">
              <w:rPr>
                <w:noProof/>
                <w:webHidden/>
              </w:rPr>
              <w:fldChar w:fldCharType="begin"/>
            </w:r>
            <w:r w:rsidR="00E06789">
              <w:rPr>
                <w:noProof/>
                <w:webHidden/>
              </w:rPr>
              <w:instrText xml:space="preserve"> PAGEREF _Toc161431072 \h </w:instrText>
            </w:r>
            <w:r w:rsidR="00E06789">
              <w:rPr>
                <w:noProof/>
                <w:webHidden/>
              </w:rPr>
            </w:r>
            <w:r w:rsidR="00E06789">
              <w:rPr>
                <w:noProof/>
                <w:webHidden/>
              </w:rPr>
              <w:fldChar w:fldCharType="separate"/>
            </w:r>
            <w:r w:rsidR="00C54A78">
              <w:rPr>
                <w:noProof/>
                <w:webHidden/>
              </w:rPr>
              <w:t>7</w:t>
            </w:r>
            <w:r w:rsidR="00E06789">
              <w:rPr>
                <w:noProof/>
                <w:webHidden/>
              </w:rPr>
              <w:fldChar w:fldCharType="end"/>
            </w:r>
          </w:hyperlink>
        </w:p>
        <w:p w14:paraId="2FE50857" w14:textId="74405C23" w:rsidR="00E06789" w:rsidRDefault="00000000">
          <w:pPr>
            <w:pStyle w:val="TOC3"/>
            <w:tabs>
              <w:tab w:val="right" w:leader="dot" w:pos="9350"/>
            </w:tabs>
            <w:rPr>
              <w:rFonts w:asciiTheme="minorHAnsi" w:eastAsiaTheme="minorEastAsia" w:hAnsiTheme="minorHAnsi"/>
              <w:noProof/>
              <w:kern w:val="2"/>
              <w:szCs w:val="24"/>
              <w14:ligatures w14:val="standardContextual"/>
            </w:rPr>
          </w:pPr>
          <w:hyperlink w:anchor="_Toc161431073" w:history="1">
            <w:r w:rsidR="00E06789" w:rsidRPr="00F906AD">
              <w:rPr>
                <w:rStyle w:val="Hyperlink"/>
                <w:noProof/>
              </w:rPr>
              <w:t>1.4.1 Aerosol Optical Depth (AOD)</w:t>
            </w:r>
            <w:r w:rsidR="00E06789">
              <w:rPr>
                <w:noProof/>
                <w:webHidden/>
              </w:rPr>
              <w:tab/>
            </w:r>
            <w:r w:rsidR="00E06789">
              <w:rPr>
                <w:noProof/>
                <w:webHidden/>
              </w:rPr>
              <w:fldChar w:fldCharType="begin"/>
            </w:r>
            <w:r w:rsidR="00E06789">
              <w:rPr>
                <w:noProof/>
                <w:webHidden/>
              </w:rPr>
              <w:instrText xml:space="preserve"> PAGEREF _Toc161431073 \h </w:instrText>
            </w:r>
            <w:r w:rsidR="00E06789">
              <w:rPr>
                <w:noProof/>
                <w:webHidden/>
              </w:rPr>
            </w:r>
            <w:r w:rsidR="00E06789">
              <w:rPr>
                <w:noProof/>
                <w:webHidden/>
              </w:rPr>
              <w:fldChar w:fldCharType="separate"/>
            </w:r>
            <w:r w:rsidR="00C54A78">
              <w:rPr>
                <w:noProof/>
                <w:webHidden/>
              </w:rPr>
              <w:t>7</w:t>
            </w:r>
            <w:r w:rsidR="00E06789">
              <w:rPr>
                <w:noProof/>
                <w:webHidden/>
              </w:rPr>
              <w:fldChar w:fldCharType="end"/>
            </w:r>
          </w:hyperlink>
        </w:p>
        <w:p w14:paraId="007DBEDC" w14:textId="12A72012" w:rsidR="00E06789" w:rsidRDefault="00000000">
          <w:pPr>
            <w:pStyle w:val="TOC3"/>
            <w:tabs>
              <w:tab w:val="right" w:leader="dot" w:pos="9350"/>
            </w:tabs>
            <w:rPr>
              <w:rFonts w:asciiTheme="minorHAnsi" w:eastAsiaTheme="minorEastAsia" w:hAnsiTheme="minorHAnsi"/>
              <w:noProof/>
              <w:kern w:val="2"/>
              <w:szCs w:val="24"/>
              <w14:ligatures w14:val="standardContextual"/>
            </w:rPr>
          </w:pPr>
          <w:hyperlink w:anchor="_Toc161431074" w:history="1">
            <w:r w:rsidR="00E06789" w:rsidRPr="00F906AD">
              <w:rPr>
                <w:rStyle w:val="Hyperlink"/>
                <w:noProof/>
              </w:rPr>
              <w:t>1.4.2 Retrieving AOD Using Ground-Based Instruments</w:t>
            </w:r>
            <w:r w:rsidR="00E06789">
              <w:rPr>
                <w:noProof/>
                <w:webHidden/>
              </w:rPr>
              <w:tab/>
            </w:r>
            <w:r w:rsidR="00E06789">
              <w:rPr>
                <w:noProof/>
                <w:webHidden/>
              </w:rPr>
              <w:fldChar w:fldCharType="begin"/>
            </w:r>
            <w:r w:rsidR="00E06789">
              <w:rPr>
                <w:noProof/>
                <w:webHidden/>
              </w:rPr>
              <w:instrText xml:space="preserve"> PAGEREF _Toc161431074 \h </w:instrText>
            </w:r>
            <w:r w:rsidR="00E06789">
              <w:rPr>
                <w:noProof/>
                <w:webHidden/>
              </w:rPr>
            </w:r>
            <w:r w:rsidR="00E06789">
              <w:rPr>
                <w:noProof/>
                <w:webHidden/>
              </w:rPr>
              <w:fldChar w:fldCharType="separate"/>
            </w:r>
            <w:r w:rsidR="00C54A78">
              <w:rPr>
                <w:noProof/>
                <w:webHidden/>
              </w:rPr>
              <w:t>7</w:t>
            </w:r>
            <w:r w:rsidR="00E06789">
              <w:rPr>
                <w:noProof/>
                <w:webHidden/>
              </w:rPr>
              <w:fldChar w:fldCharType="end"/>
            </w:r>
          </w:hyperlink>
        </w:p>
        <w:p w14:paraId="730FBBCF" w14:textId="23EBD33C" w:rsidR="00E06789" w:rsidRDefault="00000000">
          <w:pPr>
            <w:pStyle w:val="TOC3"/>
            <w:tabs>
              <w:tab w:val="right" w:leader="dot" w:pos="9350"/>
            </w:tabs>
            <w:rPr>
              <w:rFonts w:asciiTheme="minorHAnsi" w:eastAsiaTheme="minorEastAsia" w:hAnsiTheme="minorHAnsi"/>
              <w:noProof/>
              <w:kern w:val="2"/>
              <w:szCs w:val="24"/>
              <w14:ligatures w14:val="standardContextual"/>
            </w:rPr>
          </w:pPr>
          <w:hyperlink w:anchor="_Toc161431075" w:history="1">
            <w:r w:rsidR="00E06789" w:rsidRPr="00F906AD">
              <w:rPr>
                <w:rStyle w:val="Hyperlink"/>
                <w:noProof/>
              </w:rPr>
              <w:t>1.4.3 Retrieving AOD Using Satellites</w:t>
            </w:r>
            <w:r w:rsidR="00E06789">
              <w:rPr>
                <w:noProof/>
                <w:webHidden/>
              </w:rPr>
              <w:tab/>
            </w:r>
            <w:r w:rsidR="00E06789">
              <w:rPr>
                <w:noProof/>
                <w:webHidden/>
              </w:rPr>
              <w:fldChar w:fldCharType="begin"/>
            </w:r>
            <w:r w:rsidR="00E06789">
              <w:rPr>
                <w:noProof/>
                <w:webHidden/>
              </w:rPr>
              <w:instrText xml:space="preserve"> PAGEREF _Toc161431075 \h </w:instrText>
            </w:r>
            <w:r w:rsidR="00E06789">
              <w:rPr>
                <w:noProof/>
                <w:webHidden/>
              </w:rPr>
            </w:r>
            <w:r w:rsidR="00E06789">
              <w:rPr>
                <w:noProof/>
                <w:webHidden/>
              </w:rPr>
              <w:fldChar w:fldCharType="separate"/>
            </w:r>
            <w:r w:rsidR="00C54A78">
              <w:rPr>
                <w:noProof/>
                <w:webHidden/>
              </w:rPr>
              <w:t>8</w:t>
            </w:r>
            <w:r w:rsidR="00E06789">
              <w:rPr>
                <w:noProof/>
                <w:webHidden/>
              </w:rPr>
              <w:fldChar w:fldCharType="end"/>
            </w:r>
          </w:hyperlink>
        </w:p>
        <w:p w14:paraId="3DA4F5C0" w14:textId="69224516" w:rsidR="00E06789" w:rsidRDefault="00000000">
          <w:pPr>
            <w:pStyle w:val="TOC2"/>
            <w:tabs>
              <w:tab w:val="right" w:leader="dot" w:pos="9350"/>
            </w:tabs>
            <w:rPr>
              <w:rFonts w:asciiTheme="minorHAnsi" w:eastAsiaTheme="minorEastAsia" w:hAnsiTheme="minorHAnsi"/>
              <w:noProof/>
              <w:kern w:val="2"/>
              <w:szCs w:val="24"/>
              <w14:ligatures w14:val="standardContextual"/>
            </w:rPr>
          </w:pPr>
          <w:hyperlink w:anchor="_Toc161431076" w:history="1">
            <w:r w:rsidR="00E06789" w:rsidRPr="00F906AD">
              <w:rPr>
                <w:rStyle w:val="Hyperlink"/>
                <w:noProof/>
              </w:rPr>
              <w:t>1.5 Estimating PM</w:t>
            </w:r>
            <w:r w:rsidR="00E06789" w:rsidRPr="00F906AD">
              <w:rPr>
                <w:rStyle w:val="Hyperlink"/>
                <w:noProof/>
                <w:vertAlign w:val="subscript"/>
              </w:rPr>
              <w:t>2.5</w:t>
            </w:r>
            <w:r w:rsidR="00E06789" w:rsidRPr="00F906AD">
              <w:rPr>
                <w:rStyle w:val="Hyperlink"/>
                <w:noProof/>
              </w:rPr>
              <w:t xml:space="preserve"> Using AOD</w:t>
            </w:r>
            <w:r w:rsidR="00E06789">
              <w:rPr>
                <w:noProof/>
                <w:webHidden/>
              </w:rPr>
              <w:tab/>
            </w:r>
            <w:r w:rsidR="00E06789">
              <w:rPr>
                <w:noProof/>
                <w:webHidden/>
              </w:rPr>
              <w:fldChar w:fldCharType="begin"/>
            </w:r>
            <w:r w:rsidR="00E06789">
              <w:rPr>
                <w:noProof/>
                <w:webHidden/>
              </w:rPr>
              <w:instrText xml:space="preserve"> PAGEREF _Toc161431076 \h </w:instrText>
            </w:r>
            <w:r w:rsidR="00E06789">
              <w:rPr>
                <w:noProof/>
                <w:webHidden/>
              </w:rPr>
            </w:r>
            <w:r w:rsidR="00E06789">
              <w:rPr>
                <w:noProof/>
                <w:webHidden/>
              </w:rPr>
              <w:fldChar w:fldCharType="separate"/>
            </w:r>
            <w:r w:rsidR="00C54A78">
              <w:rPr>
                <w:noProof/>
                <w:webHidden/>
              </w:rPr>
              <w:t>10</w:t>
            </w:r>
            <w:r w:rsidR="00E06789">
              <w:rPr>
                <w:noProof/>
                <w:webHidden/>
              </w:rPr>
              <w:fldChar w:fldCharType="end"/>
            </w:r>
          </w:hyperlink>
        </w:p>
        <w:p w14:paraId="7C74AE5F" w14:textId="2D9D0A4C" w:rsidR="00E06789" w:rsidRDefault="00000000">
          <w:pPr>
            <w:pStyle w:val="TOC2"/>
            <w:tabs>
              <w:tab w:val="right" w:leader="dot" w:pos="9350"/>
            </w:tabs>
            <w:rPr>
              <w:rFonts w:asciiTheme="minorHAnsi" w:eastAsiaTheme="minorEastAsia" w:hAnsiTheme="minorHAnsi"/>
              <w:noProof/>
              <w:kern w:val="2"/>
              <w:szCs w:val="24"/>
              <w14:ligatures w14:val="standardContextual"/>
            </w:rPr>
          </w:pPr>
          <w:hyperlink w:anchor="_Toc161431077" w:history="1">
            <w:r w:rsidR="00E06789" w:rsidRPr="00F906AD">
              <w:rPr>
                <w:rStyle w:val="Hyperlink"/>
                <w:noProof/>
              </w:rPr>
              <w:t>1.6 AOD Gap-Filling Problem</w:t>
            </w:r>
            <w:r w:rsidR="00E06789">
              <w:rPr>
                <w:noProof/>
                <w:webHidden/>
              </w:rPr>
              <w:tab/>
            </w:r>
            <w:r w:rsidR="00E06789">
              <w:rPr>
                <w:noProof/>
                <w:webHidden/>
              </w:rPr>
              <w:fldChar w:fldCharType="begin"/>
            </w:r>
            <w:r w:rsidR="00E06789">
              <w:rPr>
                <w:noProof/>
                <w:webHidden/>
              </w:rPr>
              <w:instrText xml:space="preserve"> PAGEREF _Toc161431077 \h </w:instrText>
            </w:r>
            <w:r w:rsidR="00E06789">
              <w:rPr>
                <w:noProof/>
                <w:webHidden/>
              </w:rPr>
            </w:r>
            <w:r w:rsidR="00E06789">
              <w:rPr>
                <w:noProof/>
                <w:webHidden/>
              </w:rPr>
              <w:fldChar w:fldCharType="separate"/>
            </w:r>
            <w:r w:rsidR="00C54A78">
              <w:rPr>
                <w:noProof/>
                <w:webHidden/>
              </w:rPr>
              <w:t>12</w:t>
            </w:r>
            <w:r w:rsidR="00E06789">
              <w:rPr>
                <w:noProof/>
                <w:webHidden/>
              </w:rPr>
              <w:fldChar w:fldCharType="end"/>
            </w:r>
          </w:hyperlink>
        </w:p>
        <w:p w14:paraId="23527ABC" w14:textId="3FBAD234" w:rsidR="00E06789" w:rsidRDefault="00000000">
          <w:pPr>
            <w:pStyle w:val="TOC1"/>
            <w:rPr>
              <w:rFonts w:asciiTheme="minorHAnsi" w:eastAsiaTheme="minorEastAsia" w:hAnsiTheme="minorHAnsi"/>
              <w:noProof/>
              <w:kern w:val="2"/>
              <w:szCs w:val="24"/>
              <w14:ligatures w14:val="standardContextual"/>
            </w:rPr>
          </w:pPr>
          <w:hyperlink w:anchor="_Toc161431078" w:history="1">
            <w:r w:rsidR="00E06789" w:rsidRPr="00F906AD">
              <w:rPr>
                <w:rStyle w:val="Hyperlink"/>
                <w:noProof/>
              </w:rPr>
              <w:t>2. Instrumentation and Datasets</w:t>
            </w:r>
            <w:r w:rsidR="00E06789">
              <w:rPr>
                <w:noProof/>
                <w:webHidden/>
              </w:rPr>
              <w:tab/>
            </w:r>
            <w:r w:rsidR="00E06789">
              <w:rPr>
                <w:noProof/>
                <w:webHidden/>
              </w:rPr>
              <w:fldChar w:fldCharType="begin"/>
            </w:r>
            <w:r w:rsidR="00E06789">
              <w:rPr>
                <w:noProof/>
                <w:webHidden/>
              </w:rPr>
              <w:instrText xml:space="preserve"> PAGEREF _Toc161431078 \h </w:instrText>
            </w:r>
            <w:r w:rsidR="00E06789">
              <w:rPr>
                <w:noProof/>
                <w:webHidden/>
              </w:rPr>
            </w:r>
            <w:r w:rsidR="00E06789">
              <w:rPr>
                <w:noProof/>
                <w:webHidden/>
              </w:rPr>
              <w:fldChar w:fldCharType="separate"/>
            </w:r>
            <w:r w:rsidR="00C54A78">
              <w:rPr>
                <w:noProof/>
                <w:webHidden/>
              </w:rPr>
              <w:t>16</w:t>
            </w:r>
            <w:r w:rsidR="00E06789">
              <w:rPr>
                <w:noProof/>
                <w:webHidden/>
              </w:rPr>
              <w:fldChar w:fldCharType="end"/>
            </w:r>
          </w:hyperlink>
        </w:p>
        <w:p w14:paraId="2E3B3A77" w14:textId="26E18BCC" w:rsidR="00E06789" w:rsidRDefault="00000000">
          <w:pPr>
            <w:pStyle w:val="TOC2"/>
            <w:tabs>
              <w:tab w:val="right" w:leader="dot" w:pos="9350"/>
            </w:tabs>
            <w:rPr>
              <w:rFonts w:asciiTheme="minorHAnsi" w:eastAsiaTheme="minorEastAsia" w:hAnsiTheme="minorHAnsi"/>
              <w:noProof/>
              <w:kern w:val="2"/>
              <w:szCs w:val="24"/>
              <w14:ligatures w14:val="standardContextual"/>
            </w:rPr>
          </w:pPr>
          <w:hyperlink w:anchor="_Toc161431079" w:history="1">
            <w:r w:rsidR="00E06789" w:rsidRPr="00F906AD">
              <w:rPr>
                <w:rStyle w:val="Hyperlink"/>
                <w:noProof/>
              </w:rPr>
              <w:t>2.1 Instrumentation</w:t>
            </w:r>
            <w:r w:rsidR="00E06789">
              <w:rPr>
                <w:noProof/>
                <w:webHidden/>
              </w:rPr>
              <w:tab/>
            </w:r>
            <w:r w:rsidR="00E06789">
              <w:rPr>
                <w:noProof/>
                <w:webHidden/>
              </w:rPr>
              <w:fldChar w:fldCharType="begin"/>
            </w:r>
            <w:r w:rsidR="00E06789">
              <w:rPr>
                <w:noProof/>
                <w:webHidden/>
              </w:rPr>
              <w:instrText xml:space="preserve"> PAGEREF _Toc161431079 \h </w:instrText>
            </w:r>
            <w:r w:rsidR="00E06789">
              <w:rPr>
                <w:noProof/>
                <w:webHidden/>
              </w:rPr>
            </w:r>
            <w:r w:rsidR="00E06789">
              <w:rPr>
                <w:noProof/>
                <w:webHidden/>
              </w:rPr>
              <w:fldChar w:fldCharType="separate"/>
            </w:r>
            <w:r w:rsidR="00C54A78">
              <w:rPr>
                <w:noProof/>
                <w:webHidden/>
              </w:rPr>
              <w:t>17</w:t>
            </w:r>
            <w:r w:rsidR="00E06789">
              <w:rPr>
                <w:noProof/>
                <w:webHidden/>
              </w:rPr>
              <w:fldChar w:fldCharType="end"/>
            </w:r>
          </w:hyperlink>
        </w:p>
        <w:p w14:paraId="313EBB9A" w14:textId="28976018" w:rsidR="00E06789" w:rsidRDefault="00000000">
          <w:pPr>
            <w:pStyle w:val="TOC3"/>
            <w:tabs>
              <w:tab w:val="right" w:leader="dot" w:pos="9350"/>
            </w:tabs>
            <w:rPr>
              <w:rFonts w:asciiTheme="minorHAnsi" w:eastAsiaTheme="minorEastAsia" w:hAnsiTheme="minorHAnsi"/>
              <w:noProof/>
              <w:kern w:val="2"/>
              <w:szCs w:val="24"/>
              <w14:ligatures w14:val="standardContextual"/>
            </w:rPr>
          </w:pPr>
          <w:hyperlink w:anchor="_Toc161431080" w:history="1">
            <w:r w:rsidR="00E06789" w:rsidRPr="00F906AD">
              <w:rPr>
                <w:rStyle w:val="Hyperlink"/>
                <w:noProof/>
              </w:rPr>
              <w:t>2.1.1 Cimel CE-318</w:t>
            </w:r>
            <w:r w:rsidR="00E06789">
              <w:rPr>
                <w:noProof/>
                <w:webHidden/>
              </w:rPr>
              <w:tab/>
            </w:r>
            <w:r w:rsidR="00E06789">
              <w:rPr>
                <w:noProof/>
                <w:webHidden/>
              </w:rPr>
              <w:fldChar w:fldCharType="begin"/>
            </w:r>
            <w:r w:rsidR="00E06789">
              <w:rPr>
                <w:noProof/>
                <w:webHidden/>
              </w:rPr>
              <w:instrText xml:space="preserve"> PAGEREF _Toc161431080 \h </w:instrText>
            </w:r>
            <w:r w:rsidR="00E06789">
              <w:rPr>
                <w:noProof/>
                <w:webHidden/>
              </w:rPr>
            </w:r>
            <w:r w:rsidR="00E06789">
              <w:rPr>
                <w:noProof/>
                <w:webHidden/>
              </w:rPr>
              <w:fldChar w:fldCharType="separate"/>
            </w:r>
            <w:r w:rsidR="00C54A78">
              <w:rPr>
                <w:noProof/>
                <w:webHidden/>
              </w:rPr>
              <w:t>17</w:t>
            </w:r>
            <w:r w:rsidR="00E06789">
              <w:rPr>
                <w:noProof/>
                <w:webHidden/>
              </w:rPr>
              <w:fldChar w:fldCharType="end"/>
            </w:r>
          </w:hyperlink>
        </w:p>
        <w:p w14:paraId="4EAFCAA7" w14:textId="1E01F4D1" w:rsidR="00E06789" w:rsidRDefault="00000000">
          <w:pPr>
            <w:pStyle w:val="TOC3"/>
            <w:tabs>
              <w:tab w:val="right" w:leader="dot" w:pos="9350"/>
            </w:tabs>
            <w:rPr>
              <w:rFonts w:asciiTheme="minorHAnsi" w:eastAsiaTheme="minorEastAsia" w:hAnsiTheme="minorHAnsi"/>
              <w:noProof/>
              <w:kern w:val="2"/>
              <w:szCs w:val="24"/>
              <w14:ligatures w14:val="standardContextual"/>
            </w:rPr>
          </w:pPr>
          <w:hyperlink w:anchor="_Toc161431081" w:history="1">
            <w:r w:rsidR="00E06789" w:rsidRPr="00F906AD">
              <w:rPr>
                <w:rStyle w:val="Hyperlink"/>
                <w:noProof/>
              </w:rPr>
              <w:t>2.1.2 Terra/Aqua Moderate Resolution Imaging Spectroradiometer (MODIS)</w:t>
            </w:r>
            <w:r w:rsidR="00E06789">
              <w:rPr>
                <w:noProof/>
                <w:webHidden/>
              </w:rPr>
              <w:tab/>
            </w:r>
            <w:r w:rsidR="00E06789">
              <w:rPr>
                <w:noProof/>
                <w:webHidden/>
              </w:rPr>
              <w:fldChar w:fldCharType="begin"/>
            </w:r>
            <w:r w:rsidR="00E06789">
              <w:rPr>
                <w:noProof/>
                <w:webHidden/>
              </w:rPr>
              <w:instrText xml:space="preserve"> PAGEREF _Toc161431081 \h </w:instrText>
            </w:r>
            <w:r w:rsidR="00E06789">
              <w:rPr>
                <w:noProof/>
                <w:webHidden/>
              </w:rPr>
            </w:r>
            <w:r w:rsidR="00E06789">
              <w:rPr>
                <w:noProof/>
                <w:webHidden/>
              </w:rPr>
              <w:fldChar w:fldCharType="separate"/>
            </w:r>
            <w:r w:rsidR="00C54A78">
              <w:rPr>
                <w:noProof/>
                <w:webHidden/>
              </w:rPr>
              <w:t>17</w:t>
            </w:r>
            <w:r w:rsidR="00E06789">
              <w:rPr>
                <w:noProof/>
                <w:webHidden/>
              </w:rPr>
              <w:fldChar w:fldCharType="end"/>
            </w:r>
          </w:hyperlink>
        </w:p>
        <w:p w14:paraId="48FE3BFD" w14:textId="1480ECAC" w:rsidR="00E06789" w:rsidRDefault="00000000">
          <w:pPr>
            <w:pStyle w:val="TOC3"/>
            <w:tabs>
              <w:tab w:val="right" w:leader="dot" w:pos="9350"/>
            </w:tabs>
            <w:rPr>
              <w:rFonts w:asciiTheme="minorHAnsi" w:eastAsiaTheme="minorEastAsia" w:hAnsiTheme="minorHAnsi"/>
              <w:noProof/>
              <w:kern w:val="2"/>
              <w:szCs w:val="24"/>
              <w14:ligatures w14:val="standardContextual"/>
            </w:rPr>
          </w:pPr>
          <w:hyperlink w:anchor="_Toc161431082" w:history="1">
            <w:r w:rsidR="00E06789" w:rsidRPr="00F906AD">
              <w:rPr>
                <w:rStyle w:val="Hyperlink"/>
                <w:noProof/>
              </w:rPr>
              <w:t>2.1.3 Suomi-NPP Visible Infrared Imaging Radiometer Suite (VIIRS)</w:t>
            </w:r>
            <w:r w:rsidR="00E06789">
              <w:rPr>
                <w:noProof/>
                <w:webHidden/>
              </w:rPr>
              <w:tab/>
            </w:r>
            <w:r w:rsidR="00E06789">
              <w:rPr>
                <w:noProof/>
                <w:webHidden/>
              </w:rPr>
              <w:fldChar w:fldCharType="begin"/>
            </w:r>
            <w:r w:rsidR="00E06789">
              <w:rPr>
                <w:noProof/>
                <w:webHidden/>
              </w:rPr>
              <w:instrText xml:space="preserve"> PAGEREF _Toc161431082 \h </w:instrText>
            </w:r>
            <w:r w:rsidR="00E06789">
              <w:rPr>
                <w:noProof/>
                <w:webHidden/>
              </w:rPr>
            </w:r>
            <w:r w:rsidR="00E06789">
              <w:rPr>
                <w:noProof/>
                <w:webHidden/>
              </w:rPr>
              <w:fldChar w:fldCharType="separate"/>
            </w:r>
            <w:r w:rsidR="00C54A78">
              <w:rPr>
                <w:noProof/>
                <w:webHidden/>
              </w:rPr>
              <w:t>18</w:t>
            </w:r>
            <w:r w:rsidR="00E06789">
              <w:rPr>
                <w:noProof/>
                <w:webHidden/>
              </w:rPr>
              <w:fldChar w:fldCharType="end"/>
            </w:r>
          </w:hyperlink>
        </w:p>
        <w:p w14:paraId="5C503226" w14:textId="0B461CA5" w:rsidR="00E06789" w:rsidRDefault="00000000">
          <w:pPr>
            <w:pStyle w:val="TOC2"/>
            <w:tabs>
              <w:tab w:val="right" w:leader="dot" w:pos="9350"/>
            </w:tabs>
            <w:rPr>
              <w:rFonts w:asciiTheme="minorHAnsi" w:eastAsiaTheme="minorEastAsia" w:hAnsiTheme="minorHAnsi"/>
              <w:noProof/>
              <w:kern w:val="2"/>
              <w:szCs w:val="24"/>
              <w14:ligatures w14:val="standardContextual"/>
            </w:rPr>
          </w:pPr>
          <w:hyperlink w:anchor="_Toc161431083" w:history="1">
            <w:r w:rsidR="00E06789" w:rsidRPr="00F906AD">
              <w:rPr>
                <w:rStyle w:val="Hyperlink"/>
                <w:noProof/>
              </w:rPr>
              <w:t>2.2 Datasets</w:t>
            </w:r>
            <w:r w:rsidR="00E06789">
              <w:rPr>
                <w:noProof/>
                <w:webHidden/>
              </w:rPr>
              <w:tab/>
            </w:r>
            <w:r w:rsidR="00E06789">
              <w:rPr>
                <w:noProof/>
                <w:webHidden/>
              </w:rPr>
              <w:fldChar w:fldCharType="begin"/>
            </w:r>
            <w:r w:rsidR="00E06789">
              <w:rPr>
                <w:noProof/>
                <w:webHidden/>
              </w:rPr>
              <w:instrText xml:space="preserve"> PAGEREF _Toc161431083 \h </w:instrText>
            </w:r>
            <w:r w:rsidR="00E06789">
              <w:rPr>
                <w:noProof/>
                <w:webHidden/>
              </w:rPr>
            </w:r>
            <w:r w:rsidR="00E06789">
              <w:rPr>
                <w:noProof/>
                <w:webHidden/>
              </w:rPr>
              <w:fldChar w:fldCharType="separate"/>
            </w:r>
            <w:r w:rsidR="00C54A78">
              <w:rPr>
                <w:noProof/>
                <w:webHidden/>
              </w:rPr>
              <w:t>19</w:t>
            </w:r>
            <w:r w:rsidR="00E06789">
              <w:rPr>
                <w:noProof/>
                <w:webHidden/>
              </w:rPr>
              <w:fldChar w:fldCharType="end"/>
            </w:r>
          </w:hyperlink>
        </w:p>
        <w:p w14:paraId="0BA0C276" w14:textId="05E377D3" w:rsidR="00E06789" w:rsidRDefault="00000000">
          <w:pPr>
            <w:pStyle w:val="TOC3"/>
            <w:tabs>
              <w:tab w:val="right" w:leader="dot" w:pos="9350"/>
            </w:tabs>
            <w:rPr>
              <w:rFonts w:asciiTheme="minorHAnsi" w:eastAsiaTheme="minorEastAsia" w:hAnsiTheme="minorHAnsi"/>
              <w:noProof/>
              <w:kern w:val="2"/>
              <w:szCs w:val="24"/>
              <w14:ligatures w14:val="standardContextual"/>
            </w:rPr>
          </w:pPr>
          <w:hyperlink w:anchor="_Toc161431084" w:history="1">
            <w:r w:rsidR="00E06789" w:rsidRPr="00F906AD">
              <w:rPr>
                <w:rStyle w:val="Hyperlink"/>
                <w:noProof/>
              </w:rPr>
              <w:t>2.2.1 Weather Variables from North American Model (NAM) 12 km</w:t>
            </w:r>
            <w:r w:rsidR="00E06789">
              <w:rPr>
                <w:noProof/>
                <w:webHidden/>
              </w:rPr>
              <w:tab/>
            </w:r>
            <w:r w:rsidR="00E06789">
              <w:rPr>
                <w:noProof/>
                <w:webHidden/>
              </w:rPr>
              <w:fldChar w:fldCharType="begin"/>
            </w:r>
            <w:r w:rsidR="00E06789">
              <w:rPr>
                <w:noProof/>
                <w:webHidden/>
              </w:rPr>
              <w:instrText xml:space="preserve"> PAGEREF _Toc161431084 \h </w:instrText>
            </w:r>
            <w:r w:rsidR="00E06789">
              <w:rPr>
                <w:noProof/>
                <w:webHidden/>
              </w:rPr>
            </w:r>
            <w:r w:rsidR="00E06789">
              <w:rPr>
                <w:noProof/>
                <w:webHidden/>
              </w:rPr>
              <w:fldChar w:fldCharType="separate"/>
            </w:r>
            <w:r w:rsidR="00C54A78">
              <w:rPr>
                <w:noProof/>
                <w:webHidden/>
              </w:rPr>
              <w:t>19</w:t>
            </w:r>
            <w:r w:rsidR="00E06789">
              <w:rPr>
                <w:noProof/>
                <w:webHidden/>
              </w:rPr>
              <w:fldChar w:fldCharType="end"/>
            </w:r>
          </w:hyperlink>
        </w:p>
        <w:p w14:paraId="3150D680" w14:textId="6501C5B6" w:rsidR="00E06789" w:rsidRDefault="00000000">
          <w:pPr>
            <w:pStyle w:val="TOC3"/>
            <w:tabs>
              <w:tab w:val="right" w:leader="dot" w:pos="9350"/>
            </w:tabs>
            <w:rPr>
              <w:rFonts w:asciiTheme="minorHAnsi" w:eastAsiaTheme="minorEastAsia" w:hAnsiTheme="minorHAnsi"/>
              <w:noProof/>
              <w:kern w:val="2"/>
              <w:szCs w:val="24"/>
              <w14:ligatures w14:val="standardContextual"/>
            </w:rPr>
          </w:pPr>
          <w:hyperlink w:anchor="_Toc161431085" w:history="1">
            <w:r w:rsidR="00E06789" w:rsidRPr="00F906AD">
              <w:rPr>
                <w:rStyle w:val="Hyperlink"/>
                <w:noProof/>
              </w:rPr>
              <w:t>2.2.3 Hazard Mapping System (HMS)</w:t>
            </w:r>
            <w:r w:rsidR="00E06789">
              <w:rPr>
                <w:noProof/>
                <w:webHidden/>
              </w:rPr>
              <w:tab/>
            </w:r>
            <w:r w:rsidR="00E06789">
              <w:rPr>
                <w:noProof/>
                <w:webHidden/>
              </w:rPr>
              <w:fldChar w:fldCharType="begin"/>
            </w:r>
            <w:r w:rsidR="00E06789">
              <w:rPr>
                <w:noProof/>
                <w:webHidden/>
              </w:rPr>
              <w:instrText xml:space="preserve"> PAGEREF _Toc161431085 \h </w:instrText>
            </w:r>
            <w:r w:rsidR="00E06789">
              <w:rPr>
                <w:noProof/>
                <w:webHidden/>
              </w:rPr>
            </w:r>
            <w:r w:rsidR="00E06789">
              <w:rPr>
                <w:noProof/>
                <w:webHidden/>
              </w:rPr>
              <w:fldChar w:fldCharType="separate"/>
            </w:r>
            <w:r w:rsidR="00C54A78">
              <w:rPr>
                <w:noProof/>
                <w:webHidden/>
              </w:rPr>
              <w:t>20</w:t>
            </w:r>
            <w:r w:rsidR="00E06789">
              <w:rPr>
                <w:noProof/>
                <w:webHidden/>
              </w:rPr>
              <w:fldChar w:fldCharType="end"/>
            </w:r>
          </w:hyperlink>
        </w:p>
        <w:p w14:paraId="0541B7BB" w14:textId="081EEE0F" w:rsidR="00E06789" w:rsidRDefault="00000000">
          <w:pPr>
            <w:pStyle w:val="TOC3"/>
            <w:tabs>
              <w:tab w:val="right" w:leader="dot" w:pos="9350"/>
            </w:tabs>
            <w:rPr>
              <w:rFonts w:asciiTheme="minorHAnsi" w:eastAsiaTheme="minorEastAsia" w:hAnsiTheme="minorHAnsi"/>
              <w:noProof/>
              <w:kern w:val="2"/>
              <w:szCs w:val="24"/>
              <w14:ligatures w14:val="standardContextual"/>
            </w:rPr>
          </w:pPr>
          <w:hyperlink w:anchor="_Toc161431086" w:history="1">
            <w:r w:rsidR="00E06789" w:rsidRPr="00F906AD">
              <w:rPr>
                <w:rStyle w:val="Hyperlink"/>
                <w:noProof/>
              </w:rPr>
              <w:t>2.2.2 Modern-Era Retrospective Analysis for Research and Applications, version 2  (MERRA-2)</w:t>
            </w:r>
            <w:r w:rsidR="00E06789">
              <w:rPr>
                <w:noProof/>
                <w:webHidden/>
              </w:rPr>
              <w:tab/>
            </w:r>
            <w:r w:rsidR="00E06789">
              <w:rPr>
                <w:noProof/>
                <w:webHidden/>
              </w:rPr>
              <w:fldChar w:fldCharType="begin"/>
            </w:r>
            <w:r w:rsidR="00E06789">
              <w:rPr>
                <w:noProof/>
                <w:webHidden/>
              </w:rPr>
              <w:instrText xml:space="preserve"> PAGEREF _Toc161431086 \h </w:instrText>
            </w:r>
            <w:r w:rsidR="00E06789">
              <w:rPr>
                <w:noProof/>
                <w:webHidden/>
              </w:rPr>
            </w:r>
            <w:r w:rsidR="00E06789">
              <w:rPr>
                <w:noProof/>
                <w:webHidden/>
              </w:rPr>
              <w:fldChar w:fldCharType="separate"/>
            </w:r>
            <w:r w:rsidR="00C54A78">
              <w:rPr>
                <w:noProof/>
                <w:webHidden/>
              </w:rPr>
              <w:t>21</w:t>
            </w:r>
            <w:r w:rsidR="00E06789">
              <w:rPr>
                <w:noProof/>
                <w:webHidden/>
              </w:rPr>
              <w:fldChar w:fldCharType="end"/>
            </w:r>
          </w:hyperlink>
        </w:p>
        <w:p w14:paraId="4532427F" w14:textId="6E838989" w:rsidR="00E06789" w:rsidRDefault="00000000">
          <w:pPr>
            <w:pStyle w:val="TOC3"/>
            <w:tabs>
              <w:tab w:val="right" w:leader="dot" w:pos="9350"/>
            </w:tabs>
            <w:rPr>
              <w:rFonts w:asciiTheme="minorHAnsi" w:eastAsiaTheme="minorEastAsia" w:hAnsiTheme="minorHAnsi"/>
              <w:noProof/>
              <w:kern w:val="2"/>
              <w:szCs w:val="24"/>
              <w14:ligatures w14:val="standardContextual"/>
            </w:rPr>
          </w:pPr>
          <w:hyperlink w:anchor="_Toc161431087" w:history="1">
            <w:r w:rsidR="00E06789" w:rsidRPr="00F906AD">
              <w:rPr>
                <w:rStyle w:val="Hyperlink"/>
                <w:noProof/>
              </w:rPr>
              <w:t>2.2.4 AErosol Robotic NETwork (AERONET)</w:t>
            </w:r>
            <w:r w:rsidR="00E06789">
              <w:rPr>
                <w:noProof/>
                <w:webHidden/>
              </w:rPr>
              <w:tab/>
            </w:r>
            <w:r w:rsidR="00E06789">
              <w:rPr>
                <w:noProof/>
                <w:webHidden/>
              </w:rPr>
              <w:fldChar w:fldCharType="begin"/>
            </w:r>
            <w:r w:rsidR="00E06789">
              <w:rPr>
                <w:noProof/>
                <w:webHidden/>
              </w:rPr>
              <w:instrText xml:space="preserve"> PAGEREF _Toc161431087 \h </w:instrText>
            </w:r>
            <w:r w:rsidR="00E06789">
              <w:rPr>
                <w:noProof/>
                <w:webHidden/>
              </w:rPr>
            </w:r>
            <w:r w:rsidR="00E06789">
              <w:rPr>
                <w:noProof/>
                <w:webHidden/>
              </w:rPr>
              <w:fldChar w:fldCharType="separate"/>
            </w:r>
            <w:r w:rsidR="00C54A78">
              <w:rPr>
                <w:noProof/>
                <w:webHidden/>
              </w:rPr>
              <w:t>22</w:t>
            </w:r>
            <w:r w:rsidR="00E06789">
              <w:rPr>
                <w:noProof/>
                <w:webHidden/>
              </w:rPr>
              <w:fldChar w:fldCharType="end"/>
            </w:r>
          </w:hyperlink>
        </w:p>
        <w:p w14:paraId="342DD981" w14:textId="0779EDEE" w:rsidR="00E06789" w:rsidRDefault="00000000">
          <w:pPr>
            <w:pStyle w:val="TOC3"/>
            <w:tabs>
              <w:tab w:val="right" w:leader="dot" w:pos="9350"/>
            </w:tabs>
            <w:rPr>
              <w:rFonts w:asciiTheme="minorHAnsi" w:eastAsiaTheme="minorEastAsia" w:hAnsiTheme="minorHAnsi"/>
              <w:noProof/>
              <w:kern w:val="2"/>
              <w:szCs w:val="24"/>
              <w14:ligatures w14:val="standardContextual"/>
            </w:rPr>
          </w:pPr>
          <w:hyperlink w:anchor="_Toc161431088" w:history="1">
            <w:r w:rsidR="00E06789" w:rsidRPr="00F906AD">
              <w:rPr>
                <w:rStyle w:val="Hyperlink"/>
                <w:noProof/>
              </w:rPr>
              <w:t>2.2.5 Satellite Remote Sensing of AOD</w:t>
            </w:r>
            <w:r w:rsidR="00E06789">
              <w:rPr>
                <w:noProof/>
                <w:webHidden/>
              </w:rPr>
              <w:tab/>
            </w:r>
            <w:r w:rsidR="00E06789">
              <w:rPr>
                <w:noProof/>
                <w:webHidden/>
              </w:rPr>
              <w:fldChar w:fldCharType="begin"/>
            </w:r>
            <w:r w:rsidR="00E06789">
              <w:rPr>
                <w:noProof/>
                <w:webHidden/>
              </w:rPr>
              <w:instrText xml:space="preserve"> PAGEREF _Toc161431088 \h </w:instrText>
            </w:r>
            <w:r w:rsidR="00E06789">
              <w:rPr>
                <w:noProof/>
                <w:webHidden/>
              </w:rPr>
            </w:r>
            <w:r w:rsidR="00E06789">
              <w:rPr>
                <w:noProof/>
                <w:webHidden/>
              </w:rPr>
              <w:fldChar w:fldCharType="separate"/>
            </w:r>
            <w:r w:rsidR="00C54A78">
              <w:rPr>
                <w:noProof/>
                <w:webHidden/>
              </w:rPr>
              <w:t>23</w:t>
            </w:r>
            <w:r w:rsidR="00E06789">
              <w:rPr>
                <w:noProof/>
                <w:webHidden/>
              </w:rPr>
              <w:fldChar w:fldCharType="end"/>
            </w:r>
          </w:hyperlink>
        </w:p>
        <w:p w14:paraId="5DFDFBC2" w14:textId="61472FB5" w:rsidR="00E06789" w:rsidRDefault="00000000">
          <w:pPr>
            <w:pStyle w:val="TOC3"/>
            <w:tabs>
              <w:tab w:val="right" w:leader="dot" w:pos="9350"/>
            </w:tabs>
            <w:rPr>
              <w:rFonts w:asciiTheme="minorHAnsi" w:eastAsiaTheme="minorEastAsia" w:hAnsiTheme="minorHAnsi"/>
              <w:noProof/>
              <w:kern w:val="2"/>
              <w:szCs w:val="24"/>
              <w14:ligatures w14:val="standardContextual"/>
            </w:rPr>
          </w:pPr>
          <w:hyperlink w:anchor="_Toc161431089" w:history="1">
            <w:r w:rsidR="00E06789" w:rsidRPr="00F906AD">
              <w:rPr>
                <w:rStyle w:val="Hyperlink"/>
                <w:noProof/>
              </w:rPr>
              <w:t>2.2.6 Fire Radiative Power (FRP)</w:t>
            </w:r>
            <w:r w:rsidR="00E06789">
              <w:rPr>
                <w:noProof/>
                <w:webHidden/>
              </w:rPr>
              <w:tab/>
            </w:r>
            <w:r w:rsidR="00E06789">
              <w:rPr>
                <w:noProof/>
                <w:webHidden/>
              </w:rPr>
              <w:fldChar w:fldCharType="begin"/>
            </w:r>
            <w:r w:rsidR="00E06789">
              <w:rPr>
                <w:noProof/>
                <w:webHidden/>
              </w:rPr>
              <w:instrText xml:space="preserve"> PAGEREF _Toc161431089 \h </w:instrText>
            </w:r>
            <w:r w:rsidR="00E06789">
              <w:rPr>
                <w:noProof/>
                <w:webHidden/>
              </w:rPr>
            </w:r>
            <w:r w:rsidR="00E06789">
              <w:rPr>
                <w:noProof/>
                <w:webHidden/>
              </w:rPr>
              <w:fldChar w:fldCharType="separate"/>
            </w:r>
            <w:r w:rsidR="00C54A78">
              <w:rPr>
                <w:noProof/>
                <w:webHidden/>
              </w:rPr>
              <w:t>24</w:t>
            </w:r>
            <w:r w:rsidR="00E06789">
              <w:rPr>
                <w:noProof/>
                <w:webHidden/>
              </w:rPr>
              <w:fldChar w:fldCharType="end"/>
            </w:r>
          </w:hyperlink>
        </w:p>
        <w:p w14:paraId="73B02FC5" w14:textId="6B970273" w:rsidR="00E06789" w:rsidRDefault="00000000">
          <w:pPr>
            <w:pStyle w:val="TOC1"/>
            <w:rPr>
              <w:rFonts w:asciiTheme="minorHAnsi" w:eastAsiaTheme="minorEastAsia" w:hAnsiTheme="minorHAnsi"/>
              <w:noProof/>
              <w:kern w:val="2"/>
              <w:szCs w:val="24"/>
              <w14:ligatures w14:val="standardContextual"/>
            </w:rPr>
          </w:pPr>
          <w:hyperlink w:anchor="_Toc161431090" w:history="1">
            <w:r w:rsidR="00E06789" w:rsidRPr="00F906AD">
              <w:rPr>
                <w:rStyle w:val="Hyperlink"/>
                <w:noProof/>
              </w:rPr>
              <w:t>3. Methods</w:t>
            </w:r>
            <w:r w:rsidR="00E06789">
              <w:rPr>
                <w:noProof/>
                <w:webHidden/>
              </w:rPr>
              <w:tab/>
            </w:r>
            <w:r w:rsidR="00E06789">
              <w:rPr>
                <w:noProof/>
                <w:webHidden/>
              </w:rPr>
              <w:fldChar w:fldCharType="begin"/>
            </w:r>
            <w:r w:rsidR="00E06789">
              <w:rPr>
                <w:noProof/>
                <w:webHidden/>
              </w:rPr>
              <w:instrText xml:space="preserve"> PAGEREF _Toc161431090 \h </w:instrText>
            </w:r>
            <w:r w:rsidR="00E06789">
              <w:rPr>
                <w:noProof/>
                <w:webHidden/>
              </w:rPr>
            </w:r>
            <w:r w:rsidR="00E06789">
              <w:rPr>
                <w:noProof/>
                <w:webHidden/>
              </w:rPr>
              <w:fldChar w:fldCharType="separate"/>
            </w:r>
            <w:r w:rsidR="00C54A78">
              <w:rPr>
                <w:noProof/>
                <w:webHidden/>
              </w:rPr>
              <w:t>25</w:t>
            </w:r>
            <w:r w:rsidR="00E06789">
              <w:rPr>
                <w:noProof/>
                <w:webHidden/>
              </w:rPr>
              <w:fldChar w:fldCharType="end"/>
            </w:r>
          </w:hyperlink>
        </w:p>
        <w:p w14:paraId="492580CB" w14:textId="668480A6" w:rsidR="00E06789" w:rsidRDefault="00000000">
          <w:pPr>
            <w:pStyle w:val="TOC2"/>
            <w:tabs>
              <w:tab w:val="right" w:leader="dot" w:pos="9350"/>
            </w:tabs>
            <w:rPr>
              <w:rFonts w:asciiTheme="minorHAnsi" w:eastAsiaTheme="minorEastAsia" w:hAnsiTheme="minorHAnsi"/>
              <w:noProof/>
              <w:kern w:val="2"/>
              <w:szCs w:val="24"/>
              <w14:ligatures w14:val="standardContextual"/>
            </w:rPr>
          </w:pPr>
          <w:hyperlink w:anchor="_Toc161431091" w:history="1">
            <w:r w:rsidR="00E06789" w:rsidRPr="00F906AD">
              <w:rPr>
                <w:rStyle w:val="Hyperlink"/>
                <w:noProof/>
              </w:rPr>
              <w:t>3.1 Model Selection</w:t>
            </w:r>
            <w:r w:rsidR="00E06789">
              <w:rPr>
                <w:noProof/>
                <w:webHidden/>
              </w:rPr>
              <w:tab/>
            </w:r>
            <w:r w:rsidR="00E06789">
              <w:rPr>
                <w:noProof/>
                <w:webHidden/>
              </w:rPr>
              <w:fldChar w:fldCharType="begin"/>
            </w:r>
            <w:r w:rsidR="00E06789">
              <w:rPr>
                <w:noProof/>
                <w:webHidden/>
              </w:rPr>
              <w:instrText xml:space="preserve"> PAGEREF _Toc161431091 \h </w:instrText>
            </w:r>
            <w:r w:rsidR="00E06789">
              <w:rPr>
                <w:noProof/>
                <w:webHidden/>
              </w:rPr>
            </w:r>
            <w:r w:rsidR="00E06789">
              <w:rPr>
                <w:noProof/>
                <w:webHidden/>
              </w:rPr>
              <w:fldChar w:fldCharType="separate"/>
            </w:r>
            <w:r w:rsidR="00C54A78">
              <w:rPr>
                <w:noProof/>
                <w:webHidden/>
              </w:rPr>
              <w:t>25</w:t>
            </w:r>
            <w:r w:rsidR="00E06789">
              <w:rPr>
                <w:noProof/>
                <w:webHidden/>
              </w:rPr>
              <w:fldChar w:fldCharType="end"/>
            </w:r>
          </w:hyperlink>
        </w:p>
        <w:p w14:paraId="3ECAB8B3" w14:textId="655827AB" w:rsidR="00E06789" w:rsidRDefault="00000000">
          <w:pPr>
            <w:pStyle w:val="TOC2"/>
            <w:tabs>
              <w:tab w:val="right" w:leader="dot" w:pos="9350"/>
            </w:tabs>
            <w:rPr>
              <w:rFonts w:asciiTheme="minorHAnsi" w:eastAsiaTheme="minorEastAsia" w:hAnsiTheme="minorHAnsi"/>
              <w:noProof/>
              <w:kern w:val="2"/>
              <w:szCs w:val="24"/>
              <w14:ligatures w14:val="standardContextual"/>
            </w:rPr>
          </w:pPr>
          <w:hyperlink w:anchor="_Toc161431092" w:history="1">
            <w:r w:rsidR="00E06789" w:rsidRPr="00F906AD">
              <w:rPr>
                <w:rStyle w:val="Hyperlink"/>
                <w:noProof/>
              </w:rPr>
              <w:t>3.2 Spatial/Temporal Projection</w:t>
            </w:r>
            <w:r w:rsidR="00E06789">
              <w:rPr>
                <w:noProof/>
                <w:webHidden/>
              </w:rPr>
              <w:tab/>
            </w:r>
            <w:r w:rsidR="00E06789">
              <w:rPr>
                <w:noProof/>
                <w:webHidden/>
              </w:rPr>
              <w:fldChar w:fldCharType="begin"/>
            </w:r>
            <w:r w:rsidR="00E06789">
              <w:rPr>
                <w:noProof/>
                <w:webHidden/>
              </w:rPr>
              <w:instrText xml:space="preserve"> PAGEREF _Toc161431092 \h </w:instrText>
            </w:r>
            <w:r w:rsidR="00E06789">
              <w:rPr>
                <w:noProof/>
                <w:webHidden/>
              </w:rPr>
            </w:r>
            <w:r w:rsidR="00E06789">
              <w:rPr>
                <w:noProof/>
                <w:webHidden/>
              </w:rPr>
              <w:fldChar w:fldCharType="separate"/>
            </w:r>
            <w:r w:rsidR="00C54A78">
              <w:rPr>
                <w:noProof/>
                <w:webHidden/>
              </w:rPr>
              <w:t>27</w:t>
            </w:r>
            <w:r w:rsidR="00E06789">
              <w:rPr>
                <w:noProof/>
                <w:webHidden/>
              </w:rPr>
              <w:fldChar w:fldCharType="end"/>
            </w:r>
          </w:hyperlink>
        </w:p>
        <w:p w14:paraId="021C736A" w14:textId="6F6DD42A" w:rsidR="00E06789" w:rsidRDefault="00000000">
          <w:pPr>
            <w:pStyle w:val="TOC3"/>
            <w:tabs>
              <w:tab w:val="right" w:leader="dot" w:pos="9350"/>
            </w:tabs>
            <w:rPr>
              <w:rFonts w:asciiTheme="minorHAnsi" w:eastAsiaTheme="minorEastAsia" w:hAnsiTheme="minorHAnsi"/>
              <w:noProof/>
              <w:kern w:val="2"/>
              <w:szCs w:val="24"/>
              <w14:ligatures w14:val="standardContextual"/>
            </w:rPr>
          </w:pPr>
          <w:hyperlink w:anchor="_Toc161431093" w:history="1">
            <w:r w:rsidR="00E06789" w:rsidRPr="00F906AD">
              <w:rPr>
                <w:rStyle w:val="Hyperlink"/>
                <w:noProof/>
              </w:rPr>
              <w:t>3.2.1 Projection and Grid</w:t>
            </w:r>
            <w:r w:rsidR="00E06789">
              <w:rPr>
                <w:noProof/>
                <w:webHidden/>
              </w:rPr>
              <w:tab/>
            </w:r>
            <w:r w:rsidR="00E06789">
              <w:rPr>
                <w:noProof/>
                <w:webHidden/>
              </w:rPr>
              <w:fldChar w:fldCharType="begin"/>
            </w:r>
            <w:r w:rsidR="00E06789">
              <w:rPr>
                <w:noProof/>
                <w:webHidden/>
              </w:rPr>
              <w:instrText xml:space="preserve"> PAGEREF _Toc161431093 \h </w:instrText>
            </w:r>
            <w:r w:rsidR="00E06789">
              <w:rPr>
                <w:noProof/>
                <w:webHidden/>
              </w:rPr>
            </w:r>
            <w:r w:rsidR="00E06789">
              <w:rPr>
                <w:noProof/>
                <w:webHidden/>
              </w:rPr>
              <w:fldChar w:fldCharType="separate"/>
            </w:r>
            <w:r w:rsidR="00C54A78">
              <w:rPr>
                <w:noProof/>
                <w:webHidden/>
              </w:rPr>
              <w:t>27</w:t>
            </w:r>
            <w:r w:rsidR="00E06789">
              <w:rPr>
                <w:noProof/>
                <w:webHidden/>
              </w:rPr>
              <w:fldChar w:fldCharType="end"/>
            </w:r>
          </w:hyperlink>
        </w:p>
        <w:p w14:paraId="18844875" w14:textId="0AE8C2CE" w:rsidR="00E06789" w:rsidRDefault="00000000">
          <w:pPr>
            <w:pStyle w:val="TOC3"/>
            <w:tabs>
              <w:tab w:val="right" w:leader="dot" w:pos="9350"/>
            </w:tabs>
            <w:rPr>
              <w:rFonts w:asciiTheme="minorHAnsi" w:eastAsiaTheme="minorEastAsia" w:hAnsiTheme="minorHAnsi"/>
              <w:noProof/>
              <w:kern w:val="2"/>
              <w:szCs w:val="24"/>
              <w14:ligatures w14:val="standardContextual"/>
            </w:rPr>
          </w:pPr>
          <w:hyperlink w:anchor="_Toc161431094" w:history="1">
            <w:r w:rsidR="00E06789" w:rsidRPr="00F906AD">
              <w:rPr>
                <w:rStyle w:val="Hyperlink"/>
                <w:noProof/>
              </w:rPr>
              <w:t>3.2.2 Temporal Selection</w:t>
            </w:r>
            <w:r w:rsidR="00E06789">
              <w:rPr>
                <w:noProof/>
                <w:webHidden/>
              </w:rPr>
              <w:tab/>
            </w:r>
            <w:r w:rsidR="00E06789">
              <w:rPr>
                <w:noProof/>
                <w:webHidden/>
              </w:rPr>
              <w:fldChar w:fldCharType="begin"/>
            </w:r>
            <w:r w:rsidR="00E06789">
              <w:rPr>
                <w:noProof/>
                <w:webHidden/>
              </w:rPr>
              <w:instrText xml:space="preserve"> PAGEREF _Toc161431094 \h </w:instrText>
            </w:r>
            <w:r w:rsidR="00E06789">
              <w:rPr>
                <w:noProof/>
                <w:webHidden/>
              </w:rPr>
            </w:r>
            <w:r w:rsidR="00E06789">
              <w:rPr>
                <w:noProof/>
                <w:webHidden/>
              </w:rPr>
              <w:fldChar w:fldCharType="separate"/>
            </w:r>
            <w:r w:rsidR="00C54A78">
              <w:rPr>
                <w:noProof/>
                <w:webHidden/>
              </w:rPr>
              <w:t>29</w:t>
            </w:r>
            <w:r w:rsidR="00E06789">
              <w:rPr>
                <w:noProof/>
                <w:webHidden/>
              </w:rPr>
              <w:fldChar w:fldCharType="end"/>
            </w:r>
          </w:hyperlink>
        </w:p>
        <w:p w14:paraId="25DC64A9" w14:textId="17B2C951" w:rsidR="00E06789" w:rsidRDefault="00000000">
          <w:pPr>
            <w:pStyle w:val="TOC3"/>
            <w:tabs>
              <w:tab w:val="right" w:leader="dot" w:pos="9350"/>
            </w:tabs>
            <w:rPr>
              <w:rFonts w:asciiTheme="minorHAnsi" w:eastAsiaTheme="minorEastAsia" w:hAnsiTheme="minorHAnsi"/>
              <w:noProof/>
              <w:kern w:val="2"/>
              <w:szCs w:val="24"/>
              <w14:ligatures w14:val="standardContextual"/>
            </w:rPr>
          </w:pPr>
          <w:hyperlink w:anchor="_Toc161431095" w:history="1">
            <w:r w:rsidR="00E06789" w:rsidRPr="00F906AD">
              <w:rPr>
                <w:rStyle w:val="Hyperlink"/>
                <w:noProof/>
              </w:rPr>
              <w:t>3.2.3 Regridding</w:t>
            </w:r>
            <w:r w:rsidR="00E06789">
              <w:rPr>
                <w:noProof/>
                <w:webHidden/>
              </w:rPr>
              <w:tab/>
            </w:r>
            <w:r w:rsidR="00E06789">
              <w:rPr>
                <w:noProof/>
                <w:webHidden/>
              </w:rPr>
              <w:fldChar w:fldCharType="begin"/>
            </w:r>
            <w:r w:rsidR="00E06789">
              <w:rPr>
                <w:noProof/>
                <w:webHidden/>
              </w:rPr>
              <w:instrText xml:space="preserve"> PAGEREF _Toc161431095 \h </w:instrText>
            </w:r>
            <w:r w:rsidR="00E06789">
              <w:rPr>
                <w:noProof/>
                <w:webHidden/>
              </w:rPr>
            </w:r>
            <w:r w:rsidR="00E06789">
              <w:rPr>
                <w:noProof/>
                <w:webHidden/>
              </w:rPr>
              <w:fldChar w:fldCharType="separate"/>
            </w:r>
            <w:r w:rsidR="00C54A78">
              <w:rPr>
                <w:noProof/>
                <w:webHidden/>
              </w:rPr>
              <w:t>30</w:t>
            </w:r>
            <w:r w:rsidR="00E06789">
              <w:rPr>
                <w:noProof/>
                <w:webHidden/>
              </w:rPr>
              <w:fldChar w:fldCharType="end"/>
            </w:r>
          </w:hyperlink>
        </w:p>
        <w:p w14:paraId="130E5BB3" w14:textId="32A16B65" w:rsidR="00E06789" w:rsidRDefault="00000000">
          <w:pPr>
            <w:pStyle w:val="TOC2"/>
            <w:tabs>
              <w:tab w:val="right" w:leader="dot" w:pos="9350"/>
            </w:tabs>
            <w:rPr>
              <w:rFonts w:asciiTheme="minorHAnsi" w:eastAsiaTheme="minorEastAsia" w:hAnsiTheme="minorHAnsi"/>
              <w:noProof/>
              <w:kern w:val="2"/>
              <w:szCs w:val="24"/>
              <w14:ligatures w14:val="standardContextual"/>
            </w:rPr>
          </w:pPr>
          <w:hyperlink w:anchor="_Toc161431096" w:history="1">
            <w:r w:rsidR="00E06789" w:rsidRPr="00F906AD">
              <w:rPr>
                <w:rStyle w:val="Hyperlink"/>
                <w:noProof/>
              </w:rPr>
              <w:t>3.3 Data Preprocessing</w:t>
            </w:r>
            <w:r w:rsidR="00E06789">
              <w:rPr>
                <w:noProof/>
                <w:webHidden/>
              </w:rPr>
              <w:tab/>
            </w:r>
            <w:r w:rsidR="00E06789">
              <w:rPr>
                <w:noProof/>
                <w:webHidden/>
              </w:rPr>
              <w:fldChar w:fldCharType="begin"/>
            </w:r>
            <w:r w:rsidR="00E06789">
              <w:rPr>
                <w:noProof/>
                <w:webHidden/>
              </w:rPr>
              <w:instrText xml:space="preserve"> PAGEREF _Toc161431096 \h </w:instrText>
            </w:r>
            <w:r w:rsidR="00E06789">
              <w:rPr>
                <w:noProof/>
                <w:webHidden/>
              </w:rPr>
            </w:r>
            <w:r w:rsidR="00E06789">
              <w:rPr>
                <w:noProof/>
                <w:webHidden/>
              </w:rPr>
              <w:fldChar w:fldCharType="separate"/>
            </w:r>
            <w:r w:rsidR="00C54A78">
              <w:rPr>
                <w:noProof/>
                <w:webHidden/>
              </w:rPr>
              <w:t>32</w:t>
            </w:r>
            <w:r w:rsidR="00E06789">
              <w:rPr>
                <w:noProof/>
                <w:webHidden/>
              </w:rPr>
              <w:fldChar w:fldCharType="end"/>
            </w:r>
          </w:hyperlink>
        </w:p>
        <w:p w14:paraId="28E08D43" w14:textId="5B44FB09" w:rsidR="00E06789" w:rsidRDefault="00000000">
          <w:pPr>
            <w:pStyle w:val="TOC3"/>
            <w:tabs>
              <w:tab w:val="right" w:leader="dot" w:pos="9350"/>
            </w:tabs>
            <w:rPr>
              <w:rFonts w:asciiTheme="minorHAnsi" w:eastAsiaTheme="minorEastAsia" w:hAnsiTheme="minorHAnsi"/>
              <w:noProof/>
              <w:kern w:val="2"/>
              <w:szCs w:val="24"/>
              <w14:ligatures w14:val="standardContextual"/>
            </w:rPr>
          </w:pPr>
          <w:hyperlink w:anchor="_Toc161431097" w:history="1">
            <w:r w:rsidR="00E06789" w:rsidRPr="00F906AD">
              <w:rPr>
                <w:rStyle w:val="Hyperlink"/>
                <w:noProof/>
              </w:rPr>
              <w:t>3.3.1 Log Transform</w:t>
            </w:r>
            <w:r w:rsidR="00E06789">
              <w:rPr>
                <w:noProof/>
                <w:webHidden/>
              </w:rPr>
              <w:tab/>
            </w:r>
            <w:r w:rsidR="00E06789">
              <w:rPr>
                <w:noProof/>
                <w:webHidden/>
              </w:rPr>
              <w:fldChar w:fldCharType="begin"/>
            </w:r>
            <w:r w:rsidR="00E06789">
              <w:rPr>
                <w:noProof/>
                <w:webHidden/>
              </w:rPr>
              <w:instrText xml:space="preserve"> PAGEREF _Toc161431097 \h </w:instrText>
            </w:r>
            <w:r w:rsidR="00E06789">
              <w:rPr>
                <w:noProof/>
                <w:webHidden/>
              </w:rPr>
            </w:r>
            <w:r w:rsidR="00E06789">
              <w:rPr>
                <w:noProof/>
                <w:webHidden/>
              </w:rPr>
              <w:fldChar w:fldCharType="separate"/>
            </w:r>
            <w:r w:rsidR="00C54A78">
              <w:rPr>
                <w:noProof/>
                <w:webHidden/>
              </w:rPr>
              <w:t>32</w:t>
            </w:r>
            <w:r w:rsidR="00E06789">
              <w:rPr>
                <w:noProof/>
                <w:webHidden/>
              </w:rPr>
              <w:fldChar w:fldCharType="end"/>
            </w:r>
          </w:hyperlink>
        </w:p>
        <w:p w14:paraId="499815C3" w14:textId="6A6B2DFE" w:rsidR="00E06789" w:rsidRDefault="00000000">
          <w:pPr>
            <w:pStyle w:val="TOC3"/>
            <w:tabs>
              <w:tab w:val="right" w:leader="dot" w:pos="9350"/>
            </w:tabs>
            <w:rPr>
              <w:rFonts w:asciiTheme="minorHAnsi" w:eastAsiaTheme="minorEastAsia" w:hAnsiTheme="minorHAnsi"/>
              <w:noProof/>
              <w:kern w:val="2"/>
              <w:szCs w:val="24"/>
              <w14:ligatures w14:val="standardContextual"/>
            </w:rPr>
          </w:pPr>
          <w:hyperlink w:anchor="_Toc161431098" w:history="1">
            <w:r w:rsidR="00E06789" w:rsidRPr="00F906AD">
              <w:rPr>
                <w:rStyle w:val="Hyperlink"/>
                <w:noProof/>
              </w:rPr>
              <w:t>3.3.2 Normalization</w:t>
            </w:r>
            <w:r w:rsidR="00E06789">
              <w:rPr>
                <w:noProof/>
                <w:webHidden/>
              </w:rPr>
              <w:tab/>
            </w:r>
            <w:r w:rsidR="00E06789">
              <w:rPr>
                <w:noProof/>
                <w:webHidden/>
              </w:rPr>
              <w:fldChar w:fldCharType="begin"/>
            </w:r>
            <w:r w:rsidR="00E06789">
              <w:rPr>
                <w:noProof/>
                <w:webHidden/>
              </w:rPr>
              <w:instrText xml:space="preserve"> PAGEREF _Toc161431098 \h </w:instrText>
            </w:r>
            <w:r w:rsidR="00E06789">
              <w:rPr>
                <w:noProof/>
                <w:webHidden/>
              </w:rPr>
            </w:r>
            <w:r w:rsidR="00E06789">
              <w:rPr>
                <w:noProof/>
                <w:webHidden/>
              </w:rPr>
              <w:fldChar w:fldCharType="separate"/>
            </w:r>
            <w:r w:rsidR="00C54A78">
              <w:rPr>
                <w:noProof/>
                <w:webHidden/>
              </w:rPr>
              <w:t>33</w:t>
            </w:r>
            <w:r w:rsidR="00E06789">
              <w:rPr>
                <w:noProof/>
                <w:webHidden/>
              </w:rPr>
              <w:fldChar w:fldCharType="end"/>
            </w:r>
          </w:hyperlink>
        </w:p>
        <w:p w14:paraId="6A87AC2F" w14:textId="4E0FFF8E" w:rsidR="00E06789" w:rsidRDefault="00000000">
          <w:pPr>
            <w:pStyle w:val="TOC3"/>
            <w:tabs>
              <w:tab w:val="right" w:leader="dot" w:pos="9350"/>
            </w:tabs>
            <w:rPr>
              <w:rFonts w:asciiTheme="minorHAnsi" w:eastAsiaTheme="minorEastAsia" w:hAnsiTheme="minorHAnsi"/>
              <w:noProof/>
              <w:kern w:val="2"/>
              <w:szCs w:val="24"/>
              <w14:ligatures w14:val="standardContextual"/>
            </w:rPr>
          </w:pPr>
          <w:hyperlink w:anchor="_Toc161431099" w:history="1">
            <w:r w:rsidR="00E06789" w:rsidRPr="00F906AD">
              <w:rPr>
                <w:rStyle w:val="Hyperlink"/>
                <w:noProof/>
              </w:rPr>
              <w:t>3.3.3 One-Hot Encoding</w:t>
            </w:r>
            <w:r w:rsidR="00E06789">
              <w:rPr>
                <w:noProof/>
                <w:webHidden/>
              </w:rPr>
              <w:tab/>
            </w:r>
            <w:r w:rsidR="00E06789">
              <w:rPr>
                <w:noProof/>
                <w:webHidden/>
              </w:rPr>
              <w:fldChar w:fldCharType="begin"/>
            </w:r>
            <w:r w:rsidR="00E06789">
              <w:rPr>
                <w:noProof/>
                <w:webHidden/>
              </w:rPr>
              <w:instrText xml:space="preserve"> PAGEREF _Toc161431099 \h </w:instrText>
            </w:r>
            <w:r w:rsidR="00E06789">
              <w:rPr>
                <w:noProof/>
                <w:webHidden/>
              </w:rPr>
            </w:r>
            <w:r w:rsidR="00E06789">
              <w:rPr>
                <w:noProof/>
                <w:webHidden/>
              </w:rPr>
              <w:fldChar w:fldCharType="separate"/>
            </w:r>
            <w:r w:rsidR="00C54A78">
              <w:rPr>
                <w:noProof/>
                <w:webHidden/>
              </w:rPr>
              <w:t>34</w:t>
            </w:r>
            <w:r w:rsidR="00E06789">
              <w:rPr>
                <w:noProof/>
                <w:webHidden/>
              </w:rPr>
              <w:fldChar w:fldCharType="end"/>
            </w:r>
          </w:hyperlink>
        </w:p>
        <w:p w14:paraId="71E578D0" w14:textId="655A7751" w:rsidR="00E06789" w:rsidRDefault="00000000">
          <w:pPr>
            <w:pStyle w:val="TOC3"/>
            <w:tabs>
              <w:tab w:val="right" w:leader="dot" w:pos="9350"/>
            </w:tabs>
            <w:rPr>
              <w:rFonts w:asciiTheme="minorHAnsi" w:eastAsiaTheme="minorEastAsia" w:hAnsiTheme="minorHAnsi"/>
              <w:noProof/>
              <w:kern w:val="2"/>
              <w:szCs w:val="24"/>
              <w14:ligatures w14:val="standardContextual"/>
            </w:rPr>
          </w:pPr>
          <w:hyperlink w:anchor="_Toc161431100" w:history="1">
            <w:r w:rsidR="00E06789" w:rsidRPr="00F906AD">
              <w:rPr>
                <w:rStyle w:val="Hyperlink"/>
                <w:noProof/>
              </w:rPr>
              <w:t>3.3.4 Missing Values</w:t>
            </w:r>
            <w:r w:rsidR="00E06789">
              <w:rPr>
                <w:noProof/>
                <w:webHidden/>
              </w:rPr>
              <w:tab/>
            </w:r>
            <w:r w:rsidR="00E06789">
              <w:rPr>
                <w:noProof/>
                <w:webHidden/>
              </w:rPr>
              <w:fldChar w:fldCharType="begin"/>
            </w:r>
            <w:r w:rsidR="00E06789">
              <w:rPr>
                <w:noProof/>
                <w:webHidden/>
              </w:rPr>
              <w:instrText xml:space="preserve"> PAGEREF _Toc161431100 \h </w:instrText>
            </w:r>
            <w:r w:rsidR="00E06789">
              <w:rPr>
                <w:noProof/>
                <w:webHidden/>
              </w:rPr>
            </w:r>
            <w:r w:rsidR="00E06789">
              <w:rPr>
                <w:noProof/>
                <w:webHidden/>
              </w:rPr>
              <w:fldChar w:fldCharType="separate"/>
            </w:r>
            <w:r w:rsidR="00C54A78">
              <w:rPr>
                <w:noProof/>
                <w:webHidden/>
              </w:rPr>
              <w:t>35</w:t>
            </w:r>
            <w:r w:rsidR="00E06789">
              <w:rPr>
                <w:noProof/>
                <w:webHidden/>
              </w:rPr>
              <w:fldChar w:fldCharType="end"/>
            </w:r>
          </w:hyperlink>
        </w:p>
        <w:p w14:paraId="0B58B96E" w14:textId="50535219" w:rsidR="00E06789" w:rsidRDefault="00000000">
          <w:pPr>
            <w:pStyle w:val="TOC3"/>
            <w:tabs>
              <w:tab w:val="right" w:leader="dot" w:pos="9350"/>
            </w:tabs>
            <w:rPr>
              <w:rFonts w:asciiTheme="minorHAnsi" w:eastAsiaTheme="minorEastAsia" w:hAnsiTheme="minorHAnsi"/>
              <w:noProof/>
              <w:kern w:val="2"/>
              <w:szCs w:val="24"/>
              <w14:ligatures w14:val="standardContextual"/>
            </w:rPr>
          </w:pPr>
          <w:hyperlink w:anchor="_Toc161431101" w:history="1">
            <w:r w:rsidR="00E06789" w:rsidRPr="00F906AD">
              <w:rPr>
                <w:rStyle w:val="Hyperlink"/>
                <w:noProof/>
              </w:rPr>
              <w:t>3.3.5 MERRA-2 Augmentation</w:t>
            </w:r>
            <w:r w:rsidR="00E06789">
              <w:rPr>
                <w:noProof/>
                <w:webHidden/>
              </w:rPr>
              <w:tab/>
            </w:r>
            <w:r w:rsidR="00E06789">
              <w:rPr>
                <w:noProof/>
                <w:webHidden/>
              </w:rPr>
              <w:fldChar w:fldCharType="begin"/>
            </w:r>
            <w:r w:rsidR="00E06789">
              <w:rPr>
                <w:noProof/>
                <w:webHidden/>
              </w:rPr>
              <w:instrText xml:space="preserve"> PAGEREF _Toc161431101 \h </w:instrText>
            </w:r>
            <w:r w:rsidR="00E06789">
              <w:rPr>
                <w:noProof/>
                <w:webHidden/>
              </w:rPr>
            </w:r>
            <w:r w:rsidR="00E06789">
              <w:rPr>
                <w:noProof/>
                <w:webHidden/>
              </w:rPr>
              <w:fldChar w:fldCharType="separate"/>
            </w:r>
            <w:r w:rsidR="00C54A78">
              <w:rPr>
                <w:noProof/>
                <w:webHidden/>
              </w:rPr>
              <w:t>35</w:t>
            </w:r>
            <w:r w:rsidR="00E06789">
              <w:rPr>
                <w:noProof/>
                <w:webHidden/>
              </w:rPr>
              <w:fldChar w:fldCharType="end"/>
            </w:r>
          </w:hyperlink>
        </w:p>
        <w:p w14:paraId="65CE59CB" w14:textId="2A6381E8" w:rsidR="00E06789" w:rsidRDefault="00000000">
          <w:pPr>
            <w:pStyle w:val="TOC2"/>
            <w:tabs>
              <w:tab w:val="right" w:leader="dot" w:pos="9350"/>
            </w:tabs>
            <w:rPr>
              <w:rFonts w:asciiTheme="minorHAnsi" w:eastAsiaTheme="minorEastAsia" w:hAnsiTheme="minorHAnsi"/>
              <w:noProof/>
              <w:kern w:val="2"/>
              <w:szCs w:val="24"/>
              <w14:ligatures w14:val="standardContextual"/>
            </w:rPr>
          </w:pPr>
          <w:hyperlink w:anchor="_Toc161431102" w:history="1">
            <w:r w:rsidR="00E06789" w:rsidRPr="00F906AD">
              <w:rPr>
                <w:rStyle w:val="Hyperlink"/>
                <w:noProof/>
              </w:rPr>
              <w:t>3.4 Model Training</w:t>
            </w:r>
            <w:r w:rsidR="00E06789">
              <w:rPr>
                <w:noProof/>
                <w:webHidden/>
              </w:rPr>
              <w:tab/>
            </w:r>
            <w:r w:rsidR="00E06789">
              <w:rPr>
                <w:noProof/>
                <w:webHidden/>
              </w:rPr>
              <w:fldChar w:fldCharType="begin"/>
            </w:r>
            <w:r w:rsidR="00E06789">
              <w:rPr>
                <w:noProof/>
                <w:webHidden/>
              </w:rPr>
              <w:instrText xml:space="preserve"> PAGEREF _Toc161431102 \h </w:instrText>
            </w:r>
            <w:r w:rsidR="00E06789">
              <w:rPr>
                <w:noProof/>
                <w:webHidden/>
              </w:rPr>
            </w:r>
            <w:r w:rsidR="00E06789">
              <w:rPr>
                <w:noProof/>
                <w:webHidden/>
              </w:rPr>
              <w:fldChar w:fldCharType="separate"/>
            </w:r>
            <w:r w:rsidR="00C54A78">
              <w:rPr>
                <w:noProof/>
                <w:webHidden/>
              </w:rPr>
              <w:t>38</w:t>
            </w:r>
            <w:r w:rsidR="00E06789">
              <w:rPr>
                <w:noProof/>
                <w:webHidden/>
              </w:rPr>
              <w:fldChar w:fldCharType="end"/>
            </w:r>
          </w:hyperlink>
        </w:p>
        <w:p w14:paraId="3857C0B9" w14:textId="08CAB5F9" w:rsidR="00E06789" w:rsidRDefault="00000000">
          <w:pPr>
            <w:pStyle w:val="TOC3"/>
            <w:tabs>
              <w:tab w:val="right" w:leader="dot" w:pos="9350"/>
            </w:tabs>
            <w:rPr>
              <w:rFonts w:asciiTheme="minorHAnsi" w:eastAsiaTheme="minorEastAsia" w:hAnsiTheme="minorHAnsi"/>
              <w:noProof/>
              <w:kern w:val="2"/>
              <w:szCs w:val="24"/>
              <w14:ligatures w14:val="standardContextual"/>
            </w:rPr>
          </w:pPr>
          <w:hyperlink w:anchor="_Toc161431103" w:history="1">
            <w:r w:rsidR="00E06789" w:rsidRPr="00F906AD">
              <w:rPr>
                <w:rStyle w:val="Hyperlink"/>
                <w:noProof/>
              </w:rPr>
              <w:t>3.4.1 Model Inputs</w:t>
            </w:r>
            <w:r w:rsidR="00E06789">
              <w:rPr>
                <w:noProof/>
                <w:webHidden/>
              </w:rPr>
              <w:tab/>
            </w:r>
            <w:r w:rsidR="00E06789">
              <w:rPr>
                <w:noProof/>
                <w:webHidden/>
              </w:rPr>
              <w:fldChar w:fldCharType="begin"/>
            </w:r>
            <w:r w:rsidR="00E06789">
              <w:rPr>
                <w:noProof/>
                <w:webHidden/>
              </w:rPr>
              <w:instrText xml:space="preserve"> PAGEREF _Toc161431103 \h </w:instrText>
            </w:r>
            <w:r w:rsidR="00E06789">
              <w:rPr>
                <w:noProof/>
                <w:webHidden/>
              </w:rPr>
            </w:r>
            <w:r w:rsidR="00E06789">
              <w:rPr>
                <w:noProof/>
                <w:webHidden/>
              </w:rPr>
              <w:fldChar w:fldCharType="separate"/>
            </w:r>
            <w:r w:rsidR="00C54A78">
              <w:rPr>
                <w:noProof/>
                <w:webHidden/>
              </w:rPr>
              <w:t>38</w:t>
            </w:r>
            <w:r w:rsidR="00E06789">
              <w:rPr>
                <w:noProof/>
                <w:webHidden/>
              </w:rPr>
              <w:fldChar w:fldCharType="end"/>
            </w:r>
          </w:hyperlink>
        </w:p>
        <w:p w14:paraId="19895C57" w14:textId="045D0211" w:rsidR="00E06789" w:rsidRDefault="00000000">
          <w:pPr>
            <w:pStyle w:val="TOC3"/>
            <w:tabs>
              <w:tab w:val="right" w:leader="dot" w:pos="9350"/>
            </w:tabs>
            <w:rPr>
              <w:rFonts w:asciiTheme="minorHAnsi" w:eastAsiaTheme="minorEastAsia" w:hAnsiTheme="minorHAnsi"/>
              <w:noProof/>
              <w:kern w:val="2"/>
              <w:szCs w:val="24"/>
              <w14:ligatures w14:val="standardContextual"/>
            </w:rPr>
          </w:pPr>
          <w:hyperlink w:anchor="_Toc161431104" w:history="1">
            <w:r w:rsidR="00E06789" w:rsidRPr="00F906AD">
              <w:rPr>
                <w:rStyle w:val="Hyperlink"/>
                <w:noProof/>
              </w:rPr>
              <w:t>3.4.2 Target Weighting</w:t>
            </w:r>
            <w:r w:rsidR="00E06789">
              <w:rPr>
                <w:noProof/>
                <w:webHidden/>
              </w:rPr>
              <w:tab/>
            </w:r>
            <w:r w:rsidR="00E06789">
              <w:rPr>
                <w:noProof/>
                <w:webHidden/>
              </w:rPr>
              <w:fldChar w:fldCharType="begin"/>
            </w:r>
            <w:r w:rsidR="00E06789">
              <w:rPr>
                <w:noProof/>
                <w:webHidden/>
              </w:rPr>
              <w:instrText xml:space="preserve"> PAGEREF _Toc161431104 \h </w:instrText>
            </w:r>
            <w:r w:rsidR="00E06789">
              <w:rPr>
                <w:noProof/>
                <w:webHidden/>
              </w:rPr>
            </w:r>
            <w:r w:rsidR="00E06789">
              <w:rPr>
                <w:noProof/>
                <w:webHidden/>
              </w:rPr>
              <w:fldChar w:fldCharType="separate"/>
            </w:r>
            <w:r w:rsidR="00C54A78">
              <w:rPr>
                <w:noProof/>
                <w:webHidden/>
              </w:rPr>
              <w:t>39</w:t>
            </w:r>
            <w:r w:rsidR="00E06789">
              <w:rPr>
                <w:noProof/>
                <w:webHidden/>
              </w:rPr>
              <w:fldChar w:fldCharType="end"/>
            </w:r>
          </w:hyperlink>
        </w:p>
        <w:p w14:paraId="45A834FF" w14:textId="48A14C4E" w:rsidR="00E06789" w:rsidRDefault="00000000">
          <w:pPr>
            <w:pStyle w:val="TOC3"/>
            <w:tabs>
              <w:tab w:val="right" w:leader="dot" w:pos="9350"/>
            </w:tabs>
            <w:rPr>
              <w:rFonts w:asciiTheme="minorHAnsi" w:eastAsiaTheme="minorEastAsia" w:hAnsiTheme="minorHAnsi"/>
              <w:noProof/>
              <w:kern w:val="2"/>
              <w:szCs w:val="24"/>
              <w14:ligatures w14:val="standardContextual"/>
            </w:rPr>
          </w:pPr>
          <w:hyperlink w:anchor="_Toc161431105" w:history="1">
            <w:r w:rsidR="00E06789" w:rsidRPr="00F906AD">
              <w:rPr>
                <w:rStyle w:val="Hyperlink"/>
                <w:noProof/>
              </w:rPr>
              <w:t>3.4.3 Selective Backpropagation</w:t>
            </w:r>
            <w:r w:rsidR="00E06789">
              <w:rPr>
                <w:noProof/>
                <w:webHidden/>
              </w:rPr>
              <w:tab/>
            </w:r>
            <w:r w:rsidR="00E06789">
              <w:rPr>
                <w:noProof/>
                <w:webHidden/>
              </w:rPr>
              <w:fldChar w:fldCharType="begin"/>
            </w:r>
            <w:r w:rsidR="00E06789">
              <w:rPr>
                <w:noProof/>
                <w:webHidden/>
              </w:rPr>
              <w:instrText xml:space="preserve"> PAGEREF _Toc161431105 \h </w:instrText>
            </w:r>
            <w:r w:rsidR="00E06789">
              <w:rPr>
                <w:noProof/>
                <w:webHidden/>
              </w:rPr>
            </w:r>
            <w:r w:rsidR="00E06789">
              <w:rPr>
                <w:noProof/>
                <w:webHidden/>
              </w:rPr>
              <w:fldChar w:fldCharType="separate"/>
            </w:r>
            <w:r w:rsidR="00C54A78">
              <w:rPr>
                <w:noProof/>
                <w:webHidden/>
              </w:rPr>
              <w:t>40</w:t>
            </w:r>
            <w:r w:rsidR="00E06789">
              <w:rPr>
                <w:noProof/>
                <w:webHidden/>
              </w:rPr>
              <w:fldChar w:fldCharType="end"/>
            </w:r>
          </w:hyperlink>
        </w:p>
        <w:p w14:paraId="6105E7BC" w14:textId="67FDD539" w:rsidR="00E06789" w:rsidRDefault="00000000">
          <w:pPr>
            <w:pStyle w:val="TOC3"/>
            <w:tabs>
              <w:tab w:val="right" w:leader="dot" w:pos="9350"/>
            </w:tabs>
            <w:rPr>
              <w:rFonts w:asciiTheme="minorHAnsi" w:eastAsiaTheme="minorEastAsia" w:hAnsiTheme="minorHAnsi"/>
              <w:noProof/>
              <w:kern w:val="2"/>
              <w:szCs w:val="24"/>
              <w14:ligatures w14:val="standardContextual"/>
            </w:rPr>
          </w:pPr>
          <w:hyperlink w:anchor="_Toc161431106" w:history="1">
            <w:r w:rsidR="00E06789" w:rsidRPr="00F906AD">
              <w:rPr>
                <w:rStyle w:val="Hyperlink"/>
                <w:noProof/>
              </w:rPr>
              <w:t>3.4.4 Loss Function and Optimizer</w:t>
            </w:r>
            <w:r w:rsidR="00E06789">
              <w:rPr>
                <w:noProof/>
                <w:webHidden/>
              </w:rPr>
              <w:tab/>
            </w:r>
            <w:r w:rsidR="00E06789">
              <w:rPr>
                <w:noProof/>
                <w:webHidden/>
              </w:rPr>
              <w:fldChar w:fldCharType="begin"/>
            </w:r>
            <w:r w:rsidR="00E06789">
              <w:rPr>
                <w:noProof/>
                <w:webHidden/>
              </w:rPr>
              <w:instrText xml:space="preserve"> PAGEREF _Toc161431106 \h </w:instrText>
            </w:r>
            <w:r w:rsidR="00E06789">
              <w:rPr>
                <w:noProof/>
                <w:webHidden/>
              </w:rPr>
            </w:r>
            <w:r w:rsidR="00E06789">
              <w:rPr>
                <w:noProof/>
                <w:webHidden/>
              </w:rPr>
              <w:fldChar w:fldCharType="separate"/>
            </w:r>
            <w:r w:rsidR="00C54A78">
              <w:rPr>
                <w:noProof/>
                <w:webHidden/>
              </w:rPr>
              <w:t>40</w:t>
            </w:r>
            <w:r w:rsidR="00E06789">
              <w:rPr>
                <w:noProof/>
                <w:webHidden/>
              </w:rPr>
              <w:fldChar w:fldCharType="end"/>
            </w:r>
          </w:hyperlink>
        </w:p>
        <w:p w14:paraId="3A9813FA" w14:textId="1A403003" w:rsidR="00E06789" w:rsidRDefault="00000000">
          <w:pPr>
            <w:pStyle w:val="TOC3"/>
            <w:tabs>
              <w:tab w:val="right" w:leader="dot" w:pos="9350"/>
            </w:tabs>
            <w:rPr>
              <w:rFonts w:asciiTheme="minorHAnsi" w:eastAsiaTheme="minorEastAsia" w:hAnsiTheme="minorHAnsi"/>
              <w:noProof/>
              <w:kern w:val="2"/>
              <w:szCs w:val="24"/>
              <w14:ligatures w14:val="standardContextual"/>
            </w:rPr>
          </w:pPr>
          <w:hyperlink w:anchor="_Toc161431107" w:history="1">
            <w:r w:rsidR="00E06789" w:rsidRPr="00F906AD">
              <w:rPr>
                <w:rStyle w:val="Hyperlink"/>
                <w:noProof/>
              </w:rPr>
              <w:t>3.4.5 Training Hyperparameters</w:t>
            </w:r>
            <w:r w:rsidR="00E06789">
              <w:rPr>
                <w:noProof/>
                <w:webHidden/>
              </w:rPr>
              <w:tab/>
            </w:r>
            <w:r w:rsidR="00E06789">
              <w:rPr>
                <w:noProof/>
                <w:webHidden/>
              </w:rPr>
              <w:fldChar w:fldCharType="begin"/>
            </w:r>
            <w:r w:rsidR="00E06789">
              <w:rPr>
                <w:noProof/>
                <w:webHidden/>
              </w:rPr>
              <w:instrText xml:space="preserve"> PAGEREF _Toc161431107 \h </w:instrText>
            </w:r>
            <w:r w:rsidR="00E06789">
              <w:rPr>
                <w:noProof/>
                <w:webHidden/>
              </w:rPr>
            </w:r>
            <w:r w:rsidR="00E06789">
              <w:rPr>
                <w:noProof/>
                <w:webHidden/>
              </w:rPr>
              <w:fldChar w:fldCharType="separate"/>
            </w:r>
            <w:r w:rsidR="00C54A78">
              <w:rPr>
                <w:noProof/>
                <w:webHidden/>
              </w:rPr>
              <w:t>42</w:t>
            </w:r>
            <w:r w:rsidR="00E06789">
              <w:rPr>
                <w:noProof/>
                <w:webHidden/>
              </w:rPr>
              <w:fldChar w:fldCharType="end"/>
            </w:r>
          </w:hyperlink>
        </w:p>
        <w:p w14:paraId="7743413F" w14:textId="3365BEB6" w:rsidR="00E06789" w:rsidRDefault="00000000">
          <w:pPr>
            <w:pStyle w:val="TOC3"/>
            <w:tabs>
              <w:tab w:val="right" w:leader="dot" w:pos="9350"/>
            </w:tabs>
            <w:rPr>
              <w:rFonts w:asciiTheme="minorHAnsi" w:eastAsiaTheme="minorEastAsia" w:hAnsiTheme="minorHAnsi"/>
              <w:noProof/>
              <w:kern w:val="2"/>
              <w:szCs w:val="24"/>
              <w14:ligatures w14:val="standardContextual"/>
            </w:rPr>
          </w:pPr>
          <w:hyperlink w:anchor="_Toc161431108" w:history="1">
            <w:r w:rsidR="00E06789" w:rsidRPr="00F906AD">
              <w:rPr>
                <w:rStyle w:val="Hyperlink"/>
                <w:noProof/>
              </w:rPr>
              <w:t>3.4.6 Input/Output Dimensionality</w:t>
            </w:r>
            <w:r w:rsidR="00E06789">
              <w:rPr>
                <w:noProof/>
                <w:webHidden/>
              </w:rPr>
              <w:tab/>
            </w:r>
            <w:r w:rsidR="00E06789">
              <w:rPr>
                <w:noProof/>
                <w:webHidden/>
              </w:rPr>
              <w:fldChar w:fldCharType="begin"/>
            </w:r>
            <w:r w:rsidR="00E06789">
              <w:rPr>
                <w:noProof/>
                <w:webHidden/>
              </w:rPr>
              <w:instrText xml:space="preserve"> PAGEREF _Toc161431108 \h </w:instrText>
            </w:r>
            <w:r w:rsidR="00E06789">
              <w:rPr>
                <w:noProof/>
                <w:webHidden/>
              </w:rPr>
            </w:r>
            <w:r w:rsidR="00E06789">
              <w:rPr>
                <w:noProof/>
                <w:webHidden/>
              </w:rPr>
              <w:fldChar w:fldCharType="separate"/>
            </w:r>
            <w:r w:rsidR="00C54A78">
              <w:rPr>
                <w:noProof/>
                <w:webHidden/>
              </w:rPr>
              <w:t>42</w:t>
            </w:r>
            <w:r w:rsidR="00E06789">
              <w:rPr>
                <w:noProof/>
                <w:webHidden/>
              </w:rPr>
              <w:fldChar w:fldCharType="end"/>
            </w:r>
          </w:hyperlink>
        </w:p>
        <w:p w14:paraId="6A2B0F83" w14:textId="239EA6AF" w:rsidR="00E06789" w:rsidRDefault="00000000">
          <w:pPr>
            <w:pStyle w:val="TOC2"/>
            <w:tabs>
              <w:tab w:val="right" w:leader="dot" w:pos="9350"/>
            </w:tabs>
            <w:rPr>
              <w:rFonts w:asciiTheme="minorHAnsi" w:eastAsiaTheme="minorEastAsia" w:hAnsiTheme="minorHAnsi"/>
              <w:noProof/>
              <w:kern w:val="2"/>
              <w:szCs w:val="24"/>
              <w14:ligatures w14:val="standardContextual"/>
            </w:rPr>
          </w:pPr>
          <w:hyperlink w:anchor="_Toc161431109" w:history="1">
            <w:r w:rsidR="00E06789" w:rsidRPr="00F906AD">
              <w:rPr>
                <w:rStyle w:val="Hyperlink"/>
                <w:noProof/>
              </w:rPr>
              <w:t>3.5 Metrics</w:t>
            </w:r>
            <w:r w:rsidR="00E06789">
              <w:rPr>
                <w:noProof/>
                <w:webHidden/>
              </w:rPr>
              <w:tab/>
            </w:r>
            <w:r w:rsidR="00E06789">
              <w:rPr>
                <w:noProof/>
                <w:webHidden/>
              </w:rPr>
              <w:fldChar w:fldCharType="begin"/>
            </w:r>
            <w:r w:rsidR="00E06789">
              <w:rPr>
                <w:noProof/>
                <w:webHidden/>
              </w:rPr>
              <w:instrText xml:space="preserve"> PAGEREF _Toc161431109 \h </w:instrText>
            </w:r>
            <w:r w:rsidR="00E06789">
              <w:rPr>
                <w:noProof/>
                <w:webHidden/>
              </w:rPr>
            </w:r>
            <w:r w:rsidR="00E06789">
              <w:rPr>
                <w:noProof/>
                <w:webHidden/>
              </w:rPr>
              <w:fldChar w:fldCharType="separate"/>
            </w:r>
            <w:r w:rsidR="00C54A78">
              <w:rPr>
                <w:noProof/>
                <w:webHidden/>
              </w:rPr>
              <w:t>43</w:t>
            </w:r>
            <w:r w:rsidR="00E06789">
              <w:rPr>
                <w:noProof/>
                <w:webHidden/>
              </w:rPr>
              <w:fldChar w:fldCharType="end"/>
            </w:r>
          </w:hyperlink>
        </w:p>
        <w:p w14:paraId="10FEF7B9" w14:textId="33A15AD3" w:rsidR="00E06789" w:rsidRDefault="00000000">
          <w:pPr>
            <w:pStyle w:val="TOC1"/>
            <w:rPr>
              <w:rFonts w:asciiTheme="minorHAnsi" w:eastAsiaTheme="minorEastAsia" w:hAnsiTheme="minorHAnsi"/>
              <w:noProof/>
              <w:kern w:val="2"/>
              <w:szCs w:val="24"/>
              <w14:ligatures w14:val="standardContextual"/>
            </w:rPr>
          </w:pPr>
          <w:hyperlink w:anchor="_Toc161431110" w:history="1">
            <w:r w:rsidR="00E06789" w:rsidRPr="00F906AD">
              <w:rPr>
                <w:rStyle w:val="Hyperlink"/>
                <w:noProof/>
              </w:rPr>
              <w:t>4. Results and Discussion</w:t>
            </w:r>
            <w:r w:rsidR="00E06789">
              <w:rPr>
                <w:noProof/>
                <w:webHidden/>
              </w:rPr>
              <w:tab/>
            </w:r>
            <w:r w:rsidR="00E06789">
              <w:rPr>
                <w:noProof/>
                <w:webHidden/>
              </w:rPr>
              <w:fldChar w:fldCharType="begin"/>
            </w:r>
            <w:r w:rsidR="00E06789">
              <w:rPr>
                <w:noProof/>
                <w:webHidden/>
              </w:rPr>
              <w:instrText xml:space="preserve"> PAGEREF _Toc161431110 \h </w:instrText>
            </w:r>
            <w:r w:rsidR="00E06789">
              <w:rPr>
                <w:noProof/>
                <w:webHidden/>
              </w:rPr>
            </w:r>
            <w:r w:rsidR="00E06789">
              <w:rPr>
                <w:noProof/>
                <w:webHidden/>
              </w:rPr>
              <w:fldChar w:fldCharType="separate"/>
            </w:r>
            <w:r w:rsidR="00C54A78">
              <w:rPr>
                <w:noProof/>
                <w:webHidden/>
              </w:rPr>
              <w:t>45</w:t>
            </w:r>
            <w:r w:rsidR="00E06789">
              <w:rPr>
                <w:noProof/>
                <w:webHidden/>
              </w:rPr>
              <w:fldChar w:fldCharType="end"/>
            </w:r>
          </w:hyperlink>
        </w:p>
        <w:p w14:paraId="20723399" w14:textId="60CC1161" w:rsidR="00E06789" w:rsidRDefault="00000000">
          <w:pPr>
            <w:pStyle w:val="TOC2"/>
            <w:tabs>
              <w:tab w:val="right" w:leader="dot" w:pos="9350"/>
            </w:tabs>
            <w:rPr>
              <w:rFonts w:asciiTheme="minorHAnsi" w:eastAsiaTheme="minorEastAsia" w:hAnsiTheme="minorHAnsi"/>
              <w:noProof/>
              <w:kern w:val="2"/>
              <w:szCs w:val="24"/>
              <w14:ligatures w14:val="standardContextual"/>
            </w:rPr>
          </w:pPr>
          <w:hyperlink w:anchor="_Toc161431111" w:history="1">
            <w:r w:rsidR="00E06789" w:rsidRPr="00F906AD">
              <w:rPr>
                <w:rStyle w:val="Hyperlink"/>
                <w:noProof/>
              </w:rPr>
              <w:t>4.1 Quantitative Results</w:t>
            </w:r>
            <w:r w:rsidR="00E06789">
              <w:rPr>
                <w:noProof/>
                <w:webHidden/>
              </w:rPr>
              <w:tab/>
            </w:r>
            <w:r w:rsidR="00E06789">
              <w:rPr>
                <w:noProof/>
                <w:webHidden/>
              </w:rPr>
              <w:fldChar w:fldCharType="begin"/>
            </w:r>
            <w:r w:rsidR="00E06789">
              <w:rPr>
                <w:noProof/>
                <w:webHidden/>
              </w:rPr>
              <w:instrText xml:space="preserve"> PAGEREF _Toc161431111 \h </w:instrText>
            </w:r>
            <w:r w:rsidR="00E06789">
              <w:rPr>
                <w:noProof/>
                <w:webHidden/>
              </w:rPr>
            </w:r>
            <w:r w:rsidR="00E06789">
              <w:rPr>
                <w:noProof/>
                <w:webHidden/>
              </w:rPr>
              <w:fldChar w:fldCharType="separate"/>
            </w:r>
            <w:r w:rsidR="00C54A78">
              <w:rPr>
                <w:noProof/>
                <w:webHidden/>
              </w:rPr>
              <w:t>45</w:t>
            </w:r>
            <w:r w:rsidR="00E06789">
              <w:rPr>
                <w:noProof/>
                <w:webHidden/>
              </w:rPr>
              <w:fldChar w:fldCharType="end"/>
            </w:r>
          </w:hyperlink>
        </w:p>
        <w:p w14:paraId="583241AF" w14:textId="5D94D443" w:rsidR="00E06789" w:rsidRDefault="00000000">
          <w:pPr>
            <w:pStyle w:val="TOC3"/>
            <w:tabs>
              <w:tab w:val="right" w:leader="dot" w:pos="9350"/>
            </w:tabs>
            <w:rPr>
              <w:rFonts w:asciiTheme="minorHAnsi" w:eastAsiaTheme="minorEastAsia" w:hAnsiTheme="minorHAnsi"/>
              <w:noProof/>
              <w:kern w:val="2"/>
              <w:szCs w:val="24"/>
              <w14:ligatures w14:val="standardContextual"/>
            </w:rPr>
          </w:pPr>
          <w:hyperlink w:anchor="_Toc161431112" w:history="1">
            <w:r w:rsidR="00E06789" w:rsidRPr="00F906AD">
              <w:rPr>
                <w:rStyle w:val="Hyperlink"/>
                <w:noProof/>
              </w:rPr>
              <w:t>4.1.1 Comparison With AERONET</w:t>
            </w:r>
            <w:r w:rsidR="00E06789">
              <w:rPr>
                <w:noProof/>
                <w:webHidden/>
              </w:rPr>
              <w:tab/>
            </w:r>
            <w:r w:rsidR="00E06789">
              <w:rPr>
                <w:noProof/>
                <w:webHidden/>
              </w:rPr>
              <w:fldChar w:fldCharType="begin"/>
            </w:r>
            <w:r w:rsidR="00E06789">
              <w:rPr>
                <w:noProof/>
                <w:webHidden/>
              </w:rPr>
              <w:instrText xml:space="preserve"> PAGEREF _Toc161431112 \h </w:instrText>
            </w:r>
            <w:r w:rsidR="00E06789">
              <w:rPr>
                <w:noProof/>
                <w:webHidden/>
              </w:rPr>
            </w:r>
            <w:r w:rsidR="00E06789">
              <w:rPr>
                <w:noProof/>
                <w:webHidden/>
              </w:rPr>
              <w:fldChar w:fldCharType="separate"/>
            </w:r>
            <w:r w:rsidR="00C54A78">
              <w:rPr>
                <w:noProof/>
                <w:webHidden/>
              </w:rPr>
              <w:t>45</w:t>
            </w:r>
            <w:r w:rsidR="00E06789">
              <w:rPr>
                <w:noProof/>
                <w:webHidden/>
              </w:rPr>
              <w:fldChar w:fldCharType="end"/>
            </w:r>
          </w:hyperlink>
        </w:p>
        <w:p w14:paraId="1B0EACE5" w14:textId="61415FDC" w:rsidR="00E06789" w:rsidRDefault="00000000">
          <w:pPr>
            <w:pStyle w:val="TOC3"/>
            <w:tabs>
              <w:tab w:val="right" w:leader="dot" w:pos="9350"/>
            </w:tabs>
            <w:rPr>
              <w:rFonts w:asciiTheme="minorHAnsi" w:eastAsiaTheme="minorEastAsia" w:hAnsiTheme="minorHAnsi"/>
              <w:noProof/>
              <w:kern w:val="2"/>
              <w:szCs w:val="24"/>
              <w14:ligatures w14:val="standardContextual"/>
            </w:rPr>
          </w:pPr>
          <w:hyperlink w:anchor="_Toc161431113" w:history="1">
            <w:r w:rsidR="00E06789" w:rsidRPr="00F906AD">
              <w:rPr>
                <w:rStyle w:val="Hyperlink"/>
                <w:noProof/>
              </w:rPr>
              <w:t>4.1.2 Spatial Evaluation</w:t>
            </w:r>
            <w:r w:rsidR="00E06789">
              <w:rPr>
                <w:noProof/>
                <w:webHidden/>
              </w:rPr>
              <w:tab/>
            </w:r>
            <w:r w:rsidR="00E06789">
              <w:rPr>
                <w:noProof/>
                <w:webHidden/>
              </w:rPr>
              <w:fldChar w:fldCharType="begin"/>
            </w:r>
            <w:r w:rsidR="00E06789">
              <w:rPr>
                <w:noProof/>
                <w:webHidden/>
              </w:rPr>
              <w:instrText xml:space="preserve"> PAGEREF _Toc161431113 \h </w:instrText>
            </w:r>
            <w:r w:rsidR="00E06789">
              <w:rPr>
                <w:noProof/>
                <w:webHidden/>
              </w:rPr>
            </w:r>
            <w:r w:rsidR="00E06789">
              <w:rPr>
                <w:noProof/>
                <w:webHidden/>
              </w:rPr>
              <w:fldChar w:fldCharType="separate"/>
            </w:r>
            <w:r w:rsidR="00C54A78">
              <w:rPr>
                <w:noProof/>
                <w:webHidden/>
              </w:rPr>
              <w:t>47</w:t>
            </w:r>
            <w:r w:rsidR="00E06789">
              <w:rPr>
                <w:noProof/>
                <w:webHidden/>
              </w:rPr>
              <w:fldChar w:fldCharType="end"/>
            </w:r>
          </w:hyperlink>
        </w:p>
        <w:p w14:paraId="1D0B8A43" w14:textId="4BF4A45A" w:rsidR="00E06789" w:rsidRDefault="00000000">
          <w:pPr>
            <w:pStyle w:val="TOC3"/>
            <w:tabs>
              <w:tab w:val="right" w:leader="dot" w:pos="9350"/>
            </w:tabs>
            <w:rPr>
              <w:rFonts w:asciiTheme="minorHAnsi" w:eastAsiaTheme="minorEastAsia" w:hAnsiTheme="minorHAnsi"/>
              <w:noProof/>
              <w:kern w:val="2"/>
              <w:szCs w:val="24"/>
              <w14:ligatures w14:val="standardContextual"/>
            </w:rPr>
          </w:pPr>
          <w:hyperlink w:anchor="_Toc161431114" w:history="1">
            <w:r w:rsidR="00E06789" w:rsidRPr="00F906AD">
              <w:rPr>
                <w:rStyle w:val="Hyperlink"/>
                <w:noProof/>
              </w:rPr>
              <w:t>4.1.3 Comparison with Existing Methods</w:t>
            </w:r>
            <w:r w:rsidR="00E06789">
              <w:rPr>
                <w:noProof/>
                <w:webHidden/>
              </w:rPr>
              <w:tab/>
            </w:r>
            <w:r w:rsidR="00E06789">
              <w:rPr>
                <w:noProof/>
                <w:webHidden/>
              </w:rPr>
              <w:fldChar w:fldCharType="begin"/>
            </w:r>
            <w:r w:rsidR="00E06789">
              <w:rPr>
                <w:noProof/>
                <w:webHidden/>
              </w:rPr>
              <w:instrText xml:space="preserve"> PAGEREF _Toc161431114 \h </w:instrText>
            </w:r>
            <w:r w:rsidR="00E06789">
              <w:rPr>
                <w:noProof/>
                <w:webHidden/>
              </w:rPr>
            </w:r>
            <w:r w:rsidR="00E06789">
              <w:rPr>
                <w:noProof/>
                <w:webHidden/>
              </w:rPr>
              <w:fldChar w:fldCharType="separate"/>
            </w:r>
            <w:r w:rsidR="00C54A78">
              <w:rPr>
                <w:noProof/>
                <w:webHidden/>
              </w:rPr>
              <w:t>60</w:t>
            </w:r>
            <w:r w:rsidR="00E06789">
              <w:rPr>
                <w:noProof/>
                <w:webHidden/>
              </w:rPr>
              <w:fldChar w:fldCharType="end"/>
            </w:r>
          </w:hyperlink>
        </w:p>
        <w:p w14:paraId="5EC3E13D" w14:textId="78715D82" w:rsidR="00E06789" w:rsidRDefault="00000000">
          <w:pPr>
            <w:pStyle w:val="TOC2"/>
            <w:tabs>
              <w:tab w:val="right" w:leader="dot" w:pos="9350"/>
            </w:tabs>
            <w:rPr>
              <w:rFonts w:asciiTheme="minorHAnsi" w:eastAsiaTheme="minorEastAsia" w:hAnsiTheme="minorHAnsi"/>
              <w:noProof/>
              <w:kern w:val="2"/>
              <w:szCs w:val="24"/>
              <w14:ligatures w14:val="standardContextual"/>
            </w:rPr>
          </w:pPr>
          <w:hyperlink w:anchor="_Toc161431115" w:history="1">
            <w:r w:rsidR="00E06789" w:rsidRPr="00F906AD">
              <w:rPr>
                <w:rStyle w:val="Hyperlink"/>
                <w:noProof/>
              </w:rPr>
              <w:t>4.2 Qualitative Results</w:t>
            </w:r>
            <w:r w:rsidR="00E06789">
              <w:rPr>
                <w:noProof/>
                <w:webHidden/>
              </w:rPr>
              <w:tab/>
            </w:r>
            <w:r w:rsidR="00E06789">
              <w:rPr>
                <w:noProof/>
                <w:webHidden/>
              </w:rPr>
              <w:fldChar w:fldCharType="begin"/>
            </w:r>
            <w:r w:rsidR="00E06789">
              <w:rPr>
                <w:noProof/>
                <w:webHidden/>
              </w:rPr>
              <w:instrText xml:space="preserve"> PAGEREF _Toc161431115 \h </w:instrText>
            </w:r>
            <w:r w:rsidR="00E06789">
              <w:rPr>
                <w:noProof/>
                <w:webHidden/>
              </w:rPr>
            </w:r>
            <w:r w:rsidR="00E06789">
              <w:rPr>
                <w:noProof/>
                <w:webHidden/>
              </w:rPr>
              <w:fldChar w:fldCharType="separate"/>
            </w:r>
            <w:r w:rsidR="00C54A78">
              <w:rPr>
                <w:noProof/>
                <w:webHidden/>
              </w:rPr>
              <w:t>62</w:t>
            </w:r>
            <w:r w:rsidR="00E06789">
              <w:rPr>
                <w:noProof/>
                <w:webHidden/>
              </w:rPr>
              <w:fldChar w:fldCharType="end"/>
            </w:r>
          </w:hyperlink>
        </w:p>
        <w:p w14:paraId="1BA4C425" w14:textId="6C27EC08" w:rsidR="00E06789" w:rsidRDefault="00000000">
          <w:pPr>
            <w:pStyle w:val="TOC3"/>
            <w:tabs>
              <w:tab w:val="right" w:leader="dot" w:pos="9350"/>
            </w:tabs>
            <w:rPr>
              <w:rFonts w:asciiTheme="minorHAnsi" w:eastAsiaTheme="minorEastAsia" w:hAnsiTheme="minorHAnsi"/>
              <w:noProof/>
              <w:kern w:val="2"/>
              <w:szCs w:val="24"/>
              <w14:ligatures w14:val="standardContextual"/>
            </w:rPr>
          </w:pPr>
          <w:hyperlink w:anchor="_Toc161431116" w:history="1">
            <w:r w:rsidR="00E06789" w:rsidRPr="00F906AD">
              <w:rPr>
                <w:rStyle w:val="Hyperlink"/>
                <w:noProof/>
              </w:rPr>
              <w:t>4.2.1 Temperature Inversions</w:t>
            </w:r>
            <w:r w:rsidR="00E06789">
              <w:rPr>
                <w:noProof/>
                <w:webHidden/>
              </w:rPr>
              <w:tab/>
            </w:r>
            <w:r w:rsidR="00E06789">
              <w:rPr>
                <w:noProof/>
                <w:webHidden/>
              </w:rPr>
              <w:fldChar w:fldCharType="begin"/>
            </w:r>
            <w:r w:rsidR="00E06789">
              <w:rPr>
                <w:noProof/>
                <w:webHidden/>
              </w:rPr>
              <w:instrText xml:space="preserve"> PAGEREF _Toc161431116 \h </w:instrText>
            </w:r>
            <w:r w:rsidR="00E06789">
              <w:rPr>
                <w:noProof/>
                <w:webHidden/>
              </w:rPr>
            </w:r>
            <w:r w:rsidR="00E06789">
              <w:rPr>
                <w:noProof/>
                <w:webHidden/>
              </w:rPr>
              <w:fldChar w:fldCharType="separate"/>
            </w:r>
            <w:r w:rsidR="00C54A78">
              <w:rPr>
                <w:noProof/>
                <w:webHidden/>
              </w:rPr>
              <w:t>62</w:t>
            </w:r>
            <w:r w:rsidR="00E06789">
              <w:rPr>
                <w:noProof/>
                <w:webHidden/>
              </w:rPr>
              <w:fldChar w:fldCharType="end"/>
            </w:r>
          </w:hyperlink>
        </w:p>
        <w:p w14:paraId="1B0570E6" w14:textId="02997FEC" w:rsidR="00E06789" w:rsidRDefault="00000000">
          <w:pPr>
            <w:pStyle w:val="TOC3"/>
            <w:tabs>
              <w:tab w:val="right" w:leader="dot" w:pos="9350"/>
            </w:tabs>
            <w:rPr>
              <w:rFonts w:asciiTheme="minorHAnsi" w:eastAsiaTheme="minorEastAsia" w:hAnsiTheme="minorHAnsi"/>
              <w:noProof/>
              <w:kern w:val="2"/>
              <w:szCs w:val="24"/>
              <w14:ligatures w14:val="standardContextual"/>
            </w:rPr>
          </w:pPr>
          <w:hyperlink w:anchor="_Toc161431117" w:history="1">
            <w:r w:rsidR="00E06789" w:rsidRPr="00F906AD">
              <w:rPr>
                <w:rStyle w:val="Hyperlink"/>
                <w:noProof/>
              </w:rPr>
              <w:t>4.2.2 Wildfire Smoke</w:t>
            </w:r>
            <w:r w:rsidR="00E06789">
              <w:rPr>
                <w:noProof/>
                <w:webHidden/>
              </w:rPr>
              <w:tab/>
            </w:r>
            <w:r w:rsidR="00E06789">
              <w:rPr>
                <w:noProof/>
                <w:webHidden/>
              </w:rPr>
              <w:fldChar w:fldCharType="begin"/>
            </w:r>
            <w:r w:rsidR="00E06789">
              <w:rPr>
                <w:noProof/>
                <w:webHidden/>
              </w:rPr>
              <w:instrText xml:space="preserve"> PAGEREF _Toc161431117 \h </w:instrText>
            </w:r>
            <w:r w:rsidR="00E06789">
              <w:rPr>
                <w:noProof/>
                <w:webHidden/>
              </w:rPr>
            </w:r>
            <w:r w:rsidR="00E06789">
              <w:rPr>
                <w:noProof/>
                <w:webHidden/>
              </w:rPr>
              <w:fldChar w:fldCharType="separate"/>
            </w:r>
            <w:r w:rsidR="00C54A78">
              <w:rPr>
                <w:noProof/>
                <w:webHidden/>
              </w:rPr>
              <w:t>64</w:t>
            </w:r>
            <w:r w:rsidR="00E06789">
              <w:rPr>
                <w:noProof/>
                <w:webHidden/>
              </w:rPr>
              <w:fldChar w:fldCharType="end"/>
            </w:r>
          </w:hyperlink>
        </w:p>
        <w:p w14:paraId="3AC8D689" w14:textId="3AFCFCF1" w:rsidR="00E06789" w:rsidRDefault="00000000">
          <w:pPr>
            <w:pStyle w:val="TOC2"/>
            <w:tabs>
              <w:tab w:val="right" w:leader="dot" w:pos="9350"/>
            </w:tabs>
            <w:rPr>
              <w:rFonts w:asciiTheme="minorHAnsi" w:eastAsiaTheme="minorEastAsia" w:hAnsiTheme="minorHAnsi"/>
              <w:noProof/>
              <w:kern w:val="2"/>
              <w:szCs w:val="24"/>
              <w14:ligatures w14:val="standardContextual"/>
            </w:rPr>
          </w:pPr>
          <w:hyperlink w:anchor="_Toc161431118" w:history="1">
            <w:r w:rsidR="00E06789" w:rsidRPr="00F906AD">
              <w:rPr>
                <w:rStyle w:val="Hyperlink"/>
                <w:noProof/>
              </w:rPr>
              <w:t>4.3 Future Work</w:t>
            </w:r>
            <w:r w:rsidR="00E06789">
              <w:rPr>
                <w:noProof/>
                <w:webHidden/>
              </w:rPr>
              <w:tab/>
            </w:r>
            <w:r w:rsidR="00E06789">
              <w:rPr>
                <w:noProof/>
                <w:webHidden/>
              </w:rPr>
              <w:fldChar w:fldCharType="begin"/>
            </w:r>
            <w:r w:rsidR="00E06789">
              <w:rPr>
                <w:noProof/>
                <w:webHidden/>
              </w:rPr>
              <w:instrText xml:space="preserve"> PAGEREF _Toc161431118 \h </w:instrText>
            </w:r>
            <w:r w:rsidR="00E06789">
              <w:rPr>
                <w:noProof/>
                <w:webHidden/>
              </w:rPr>
            </w:r>
            <w:r w:rsidR="00E06789">
              <w:rPr>
                <w:noProof/>
                <w:webHidden/>
              </w:rPr>
              <w:fldChar w:fldCharType="separate"/>
            </w:r>
            <w:r w:rsidR="00C54A78">
              <w:rPr>
                <w:noProof/>
                <w:webHidden/>
              </w:rPr>
              <w:t>66</w:t>
            </w:r>
            <w:r w:rsidR="00E06789">
              <w:rPr>
                <w:noProof/>
                <w:webHidden/>
              </w:rPr>
              <w:fldChar w:fldCharType="end"/>
            </w:r>
          </w:hyperlink>
        </w:p>
        <w:p w14:paraId="45DB1B56" w14:textId="58DC006A" w:rsidR="00E06789" w:rsidRDefault="00000000">
          <w:pPr>
            <w:pStyle w:val="TOC1"/>
            <w:rPr>
              <w:rFonts w:asciiTheme="minorHAnsi" w:eastAsiaTheme="minorEastAsia" w:hAnsiTheme="minorHAnsi"/>
              <w:noProof/>
              <w:kern w:val="2"/>
              <w:szCs w:val="24"/>
              <w14:ligatures w14:val="standardContextual"/>
            </w:rPr>
          </w:pPr>
          <w:hyperlink w:anchor="_Toc161431119" w:history="1">
            <w:r w:rsidR="00E06789" w:rsidRPr="00F906AD">
              <w:rPr>
                <w:rStyle w:val="Hyperlink"/>
                <w:noProof/>
              </w:rPr>
              <w:t>5. Summary</w:t>
            </w:r>
            <w:r w:rsidR="00E06789">
              <w:rPr>
                <w:noProof/>
                <w:webHidden/>
              </w:rPr>
              <w:tab/>
            </w:r>
            <w:r w:rsidR="00E06789">
              <w:rPr>
                <w:noProof/>
                <w:webHidden/>
              </w:rPr>
              <w:fldChar w:fldCharType="begin"/>
            </w:r>
            <w:r w:rsidR="00E06789">
              <w:rPr>
                <w:noProof/>
                <w:webHidden/>
              </w:rPr>
              <w:instrText xml:space="preserve"> PAGEREF _Toc161431119 \h </w:instrText>
            </w:r>
            <w:r w:rsidR="00E06789">
              <w:rPr>
                <w:noProof/>
                <w:webHidden/>
              </w:rPr>
            </w:r>
            <w:r w:rsidR="00E06789">
              <w:rPr>
                <w:noProof/>
                <w:webHidden/>
              </w:rPr>
              <w:fldChar w:fldCharType="separate"/>
            </w:r>
            <w:r w:rsidR="00C54A78">
              <w:rPr>
                <w:noProof/>
                <w:webHidden/>
              </w:rPr>
              <w:t>69</w:t>
            </w:r>
            <w:r w:rsidR="00E06789">
              <w:rPr>
                <w:noProof/>
                <w:webHidden/>
              </w:rPr>
              <w:fldChar w:fldCharType="end"/>
            </w:r>
          </w:hyperlink>
        </w:p>
        <w:p w14:paraId="01B49CB8" w14:textId="6D8F8190" w:rsidR="00E06789" w:rsidRDefault="00000000">
          <w:pPr>
            <w:pStyle w:val="TOC1"/>
            <w:rPr>
              <w:rFonts w:asciiTheme="minorHAnsi" w:eastAsiaTheme="minorEastAsia" w:hAnsiTheme="minorHAnsi"/>
              <w:noProof/>
              <w:kern w:val="2"/>
              <w:szCs w:val="24"/>
              <w14:ligatures w14:val="standardContextual"/>
            </w:rPr>
          </w:pPr>
          <w:hyperlink w:anchor="_Toc161431120" w:history="1">
            <w:r w:rsidR="00E06789" w:rsidRPr="00F906AD">
              <w:rPr>
                <w:rStyle w:val="Hyperlink"/>
                <w:noProof/>
              </w:rPr>
              <w:t>Bibliography</w:t>
            </w:r>
            <w:r w:rsidR="00E06789">
              <w:rPr>
                <w:noProof/>
                <w:webHidden/>
              </w:rPr>
              <w:tab/>
            </w:r>
            <w:r w:rsidR="00E06789">
              <w:rPr>
                <w:noProof/>
                <w:webHidden/>
              </w:rPr>
              <w:fldChar w:fldCharType="begin"/>
            </w:r>
            <w:r w:rsidR="00E06789">
              <w:rPr>
                <w:noProof/>
                <w:webHidden/>
              </w:rPr>
              <w:instrText xml:space="preserve"> PAGEREF _Toc161431120 \h </w:instrText>
            </w:r>
            <w:r w:rsidR="00E06789">
              <w:rPr>
                <w:noProof/>
                <w:webHidden/>
              </w:rPr>
            </w:r>
            <w:r w:rsidR="00E06789">
              <w:rPr>
                <w:noProof/>
                <w:webHidden/>
              </w:rPr>
              <w:fldChar w:fldCharType="separate"/>
            </w:r>
            <w:r w:rsidR="00C54A78">
              <w:rPr>
                <w:noProof/>
                <w:webHidden/>
              </w:rPr>
              <w:t>73</w:t>
            </w:r>
            <w:r w:rsidR="00E06789">
              <w:rPr>
                <w:noProof/>
                <w:webHidden/>
              </w:rPr>
              <w:fldChar w:fldCharType="end"/>
            </w:r>
          </w:hyperlink>
        </w:p>
        <w:p w14:paraId="7A82B719" w14:textId="08ECF698" w:rsidR="005D5114" w:rsidRDefault="005D5114">
          <w:r>
            <w:rPr>
              <w:b/>
              <w:bCs/>
              <w:noProof/>
            </w:rPr>
            <w:fldChar w:fldCharType="end"/>
          </w:r>
        </w:p>
      </w:sdtContent>
    </w:sdt>
    <w:p w14:paraId="3F843E22" w14:textId="1B6E2B2A" w:rsidR="00894643" w:rsidRPr="009E6F5D" w:rsidRDefault="00894643" w:rsidP="00A97E45">
      <w:pPr>
        <w:spacing w:line="259" w:lineRule="auto"/>
        <w:contextualSpacing w:val="0"/>
        <w:rPr>
          <w:noProof/>
          <w:sz w:val="28"/>
          <w:szCs w:val="28"/>
        </w:rPr>
      </w:pPr>
      <w:r w:rsidRPr="009E6F5D">
        <w:rPr>
          <w:noProof/>
          <w:sz w:val="28"/>
          <w:szCs w:val="28"/>
        </w:rPr>
        <w:br w:type="page"/>
      </w:r>
    </w:p>
    <w:p w14:paraId="4389F057" w14:textId="77777777" w:rsidR="000F55B9" w:rsidRDefault="000F55B9" w:rsidP="000F55B9">
      <w:pPr>
        <w:pStyle w:val="Heading1"/>
        <w:rPr>
          <w:noProof/>
        </w:rPr>
      </w:pPr>
      <w:bookmarkStart w:id="3" w:name="_Toc161431067"/>
      <w:r>
        <w:rPr>
          <w:noProof/>
        </w:rPr>
        <w:lastRenderedPageBreak/>
        <w:t>Abstract</w:t>
      </w:r>
      <w:bookmarkEnd w:id="3"/>
    </w:p>
    <w:p w14:paraId="1DD6031D" w14:textId="3A37A817" w:rsidR="000F55B9" w:rsidRDefault="000F55B9" w:rsidP="000F55B9">
      <w:pPr>
        <w:rPr>
          <w:noProof/>
        </w:rPr>
        <w:sectPr w:rsidR="000F55B9" w:rsidSect="00E65486">
          <w:footerReference w:type="default" r:id="rId8"/>
          <w:pgSz w:w="12240" w:h="15840" w:code="1"/>
          <w:pgMar w:top="1440" w:right="1440" w:bottom="1440" w:left="1440" w:header="720" w:footer="720" w:gutter="0"/>
          <w:pgNumType w:fmt="lowerRoman" w:start="4"/>
          <w:cols w:space="720"/>
          <w:docGrid w:linePitch="360"/>
        </w:sectPr>
      </w:pPr>
      <w:r>
        <w:rPr>
          <w:noProof/>
        </w:rPr>
        <w:tab/>
        <w:t>Due to sensor and algorithmic constraints, satellite aerosol optical depth (AOD) retrievals are spatially incomplete over clouds, deserts, and other bright surfaces. These gaps in satellite AOD datasets represent a significant challenge in characterizing aerosol distributions at a daily temporal resolution. These challenges are essential to overcome due to aerosol impacts on human health, the economy, weather, and climate. The task of filling these gaps in AOD datasets is known as AOD gap-filling. In this study, we propose using a deep learning (DL) architecture called UNet 3+ to perform this task. The model is trained on Deep Blue (DB) AOD retrievals from Terra, Aqua, and S-NPP, MERRA-2 reanalysis AOD, meteorological and land-use variables from NAM, and HMS smoke polygons. Through spatial evaluations against AERONET and DB AOD, we show that such an approach is feasible over CONUS, even in the semi-arid western U.S. where historically, topography, bright surfaces, and snowpacks have made AOD gap-filling a challenging problem. We created spatiotemporal datasets of daily gap-filled DB AOD from 2012-2022 over CONUS at a 12 x 12 km</w:t>
      </w:r>
      <w:r>
        <w:rPr>
          <w:noProof/>
          <w:vertAlign w:val="superscript"/>
        </w:rPr>
        <w:t>2</w:t>
      </w:r>
      <w:r>
        <w:rPr>
          <w:noProof/>
        </w:rPr>
        <w:t xml:space="preserve"> resolution with </w:t>
      </w:r>
      <w:r w:rsidR="00C815B5">
        <w:rPr>
          <w:noProof/>
        </w:rPr>
        <w:t xml:space="preserve">statistical evaluations of </w:t>
      </w:r>
      <w:r>
        <w:rPr>
          <w:noProof/>
        </w:rPr>
        <w:t>RMSE~0.08 and r~0.84 against collocated AERONET retrievals. This dataset will be a starting point for future aerosol-related studies, such as acute daily PM</w:t>
      </w:r>
      <w:r>
        <w:rPr>
          <w:noProof/>
          <w:vertAlign w:val="superscript"/>
        </w:rPr>
        <w:softHyphen/>
      </w:r>
      <w:r>
        <w:rPr>
          <w:noProof/>
          <w:vertAlign w:val="subscript"/>
        </w:rPr>
        <w:t>2.5</w:t>
      </w:r>
      <w:r>
        <w:rPr>
          <w:noProof/>
        </w:rPr>
        <w:t xml:space="preserve"> (particulate matter with an aerodynamic diameter smaller than 2.5 </w:t>
      </w:r>
      <w:r>
        <w:rPr>
          <w:rFonts w:cs="Times New Roman"/>
          <w:noProof/>
        </w:rPr>
        <w:t>µ</w:t>
      </w:r>
      <w:r>
        <w:rPr>
          <w:noProof/>
        </w:rPr>
        <w:t xml:space="preserve">m) exposure studies. </w:t>
      </w:r>
      <w:r w:rsidRPr="00212873">
        <w:rPr>
          <w:noProof/>
        </w:rPr>
        <w:t xml:space="preserve">Some potential challenges exist with the suggested approaches and, more generally, in estimating AOD and </w:t>
      </w:r>
      <w:r>
        <w:rPr>
          <w:noProof/>
        </w:rPr>
        <w:t>PM</w:t>
      </w:r>
      <w:r>
        <w:rPr>
          <w:noProof/>
          <w:vertAlign w:val="superscript"/>
        </w:rPr>
        <w:softHyphen/>
      </w:r>
      <w:r>
        <w:rPr>
          <w:noProof/>
          <w:vertAlign w:val="subscript"/>
        </w:rPr>
        <w:t>2.5</w:t>
      </w:r>
      <w:r w:rsidRPr="00212873">
        <w:rPr>
          <w:noProof/>
        </w:rPr>
        <w:t xml:space="preserve">. The first is the sampling bias that naturally arises from AOD retrievals, whether from ground- or satellite-based sensors. As no retrievals are performed in cloudy pixels, any model trained on this data is only aware of the dynamics of clear-sky AOD, and we cannot directly validate estimations over cloudy-sky areas (not even with ground truth AERONET). However, because this research aims </w:t>
      </w:r>
      <w:r w:rsidRPr="00212873">
        <w:rPr>
          <w:noProof/>
        </w:rPr>
        <w:lastRenderedPageBreak/>
        <w:t xml:space="preserve">to use AOD to estimate </w:t>
      </w:r>
      <w:r>
        <w:rPr>
          <w:noProof/>
        </w:rPr>
        <w:t>PM</w:t>
      </w:r>
      <w:r>
        <w:rPr>
          <w:noProof/>
          <w:vertAlign w:val="superscript"/>
        </w:rPr>
        <w:softHyphen/>
      </w:r>
      <w:r>
        <w:rPr>
          <w:noProof/>
          <w:vertAlign w:val="subscript"/>
        </w:rPr>
        <w:t>2.5</w:t>
      </w:r>
      <w:r>
        <w:rPr>
          <w:noProof/>
        </w:rPr>
        <w:t xml:space="preserve"> </w:t>
      </w:r>
      <w:r w:rsidRPr="00212873">
        <w:rPr>
          <w:noProof/>
        </w:rPr>
        <w:t xml:space="preserve"> and hydrological effects tend to lower aerosol concentrations (e.g., washout from precipitation), the methods can be justified as providing an upper-bound (acute) estimate for exposure.</w:t>
      </w:r>
    </w:p>
    <w:p w14:paraId="3A33C339" w14:textId="643AF290" w:rsidR="000E0388" w:rsidRPr="00CC7320" w:rsidRDefault="000E00EF" w:rsidP="000E0AB7">
      <w:pPr>
        <w:pStyle w:val="Heading1"/>
      </w:pPr>
      <w:bookmarkStart w:id="4" w:name="_Toc161431068"/>
      <w:r w:rsidRPr="00CC7320">
        <w:lastRenderedPageBreak/>
        <w:t>1. Background and Introduction</w:t>
      </w:r>
      <w:bookmarkEnd w:id="4"/>
    </w:p>
    <w:p w14:paraId="3B1CB30D" w14:textId="1E799AC9" w:rsidR="00D33965" w:rsidRPr="0060156C" w:rsidRDefault="00CA031D" w:rsidP="0060156C">
      <w:pPr>
        <w:pStyle w:val="Heading2"/>
        <w:rPr>
          <w:rFonts w:cs="Times New Roman"/>
          <w:szCs w:val="40"/>
        </w:rPr>
      </w:pPr>
      <w:bookmarkStart w:id="5" w:name="_Toc161431069"/>
      <w:r w:rsidRPr="0060156C">
        <w:rPr>
          <w:rFonts w:cs="Times New Roman"/>
          <w:szCs w:val="40"/>
        </w:rPr>
        <w:t xml:space="preserve">1.1 Aerosol </w:t>
      </w:r>
      <w:r w:rsidR="006F171E" w:rsidRPr="0060156C">
        <w:rPr>
          <w:rFonts w:cs="Times New Roman"/>
          <w:szCs w:val="40"/>
        </w:rPr>
        <w:t>Definition</w:t>
      </w:r>
      <w:bookmarkEnd w:id="5"/>
    </w:p>
    <w:p w14:paraId="13541D24" w14:textId="28F5940E" w:rsidR="00495300" w:rsidRDefault="003B45DF" w:rsidP="00E92844">
      <w:pPr>
        <w:spacing w:after="0"/>
        <w:ind w:firstLine="720"/>
        <w:rPr>
          <w:rFonts w:eastAsia="Times New Roman" w:cs="Times New Roman"/>
          <w:color w:val="000000"/>
          <w:szCs w:val="24"/>
        </w:rPr>
      </w:pPr>
      <w:r>
        <w:rPr>
          <w:rFonts w:eastAsia="Times New Roman" w:cs="Times New Roman"/>
          <w:color w:val="000000"/>
          <w:szCs w:val="24"/>
        </w:rPr>
        <w:t xml:space="preserve">Atmospheric aerosols </w:t>
      </w:r>
      <w:r w:rsidR="00516115">
        <w:rPr>
          <w:rFonts w:eastAsia="Times New Roman" w:cs="Times New Roman"/>
          <w:color w:val="000000"/>
          <w:szCs w:val="24"/>
        </w:rPr>
        <w:t xml:space="preserve">are </w:t>
      </w:r>
      <w:r w:rsidR="00F818E5">
        <w:rPr>
          <w:rFonts w:eastAsia="Times New Roman" w:cs="Times New Roman"/>
          <w:color w:val="000000"/>
          <w:szCs w:val="24"/>
        </w:rPr>
        <w:t>small</w:t>
      </w:r>
      <w:r w:rsidR="00516115">
        <w:rPr>
          <w:rFonts w:eastAsia="Times New Roman" w:cs="Times New Roman"/>
          <w:color w:val="000000"/>
          <w:szCs w:val="24"/>
        </w:rPr>
        <w:t xml:space="preserve"> airborne solid and liquid particles </w:t>
      </w:r>
      <w:r w:rsidR="002C6829">
        <w:rPr>
          <w:rFonts w:eastAsia="Times New Roman" w:cs="Times New Roman"/>
          <w:color w:val="000000"/>
          <w:szCs w:val="24"/>
        </w:rPr>
        <w:t xml:space="preserve">that range </w:t>
      </w:r>
      <w:r w:rsidR="00E05B4F">
        <w:rPr>
          <w:rFonts w:eastAsia="Times New Roman" w:cs="Times New Roman"/>
          <w:color w:val="000000"/>
          <w:szCs w:val="24"/>
        </w:rPr>
        <w:t xml:space="preserve">in size </w:t>
      </w:r>
      <w:r w:rsidR="002C6829">
        <w:rPr>
          <w:rFonts w:eastAsia="Times New Roman" w:cs="Times New Roman"/>
          <w:color w:val="000000"/>
          <w:szCs w:val="24"/>
        </w:rPr>
        <w:t xml:space="preserve">from </w:t>
      </w:r>
      <w:r w:rsidR="00E05B4F">
        <w:rPr>
          <w:rFonts w:eastAsia="Times New Roman" w:cs="Times New Roman"/>
          <w:color w:val="000000"/>
          <w:szCs w:val="24"/>
        </w:rPr>
        <w:t>nanometers to micrometers</w:t>
      </w:r>
      <w:r w:rsidR="00192C3F">
        <w:rPr>
          <w:rFonts w:eastAsia="Times New Roman" w:cs="Times New Roman"/>
          <w:color w:val="000000"/>
          <w:szCs w:val="24"/>
        </w:rPr>
        <w:t xml:space="preserve"> </w:t>
      </w:r>
      <w:r w:rsidR="0083331F">
        <w:rPr>
          <w:rFonts w:eastAsia="Times New Roman" w:cs="Times New Roman"/>
          <w:color w:val="000000"/>
          <w:szCs w:val="24"/>
        </w:rPr>
        <w:fldChar w:fldCharType="begin"/>
      </w:r>
      <w:r w:rsidR="00BB6527">
        <w:rPr>
          <w:rFonts w:eastAsia="Times New Roman" w:cs="Times New Roman"/>
          <w:color w:val="000000"/>
          <w:szCs w:val="24"/>
        </w:rPr>
        <w:instrText xml:space="preserve"> ADDIN ZOTERO_ITEM CSL_CITATION {"citationID":"GZUTkmIJ","properties":{"formattedCitation":"(P\\uc0\\u246{}schl, 2005)","plainCitation":"(Pöschl, 2005)","noteIndex":0},"citationItems":[{"id":603,"uris":["http://zotero.org/groups/4584967/items/G7IKAQZ7"],"itemData":{"id":603,"type":"article-journal","abstract":"Aerosols are of central importance for atmospheric chemistry and physics, the biosphere, climate, and public health. The airborne solid and liquid particles in the nanometer to micrometer size range influence the energy balance of the Earth, the hydrological cycle, atmospheric circulation, and the abundance of greenhouse and reactive trace gases. Moreover, they play important roles in the reproduction of biological organisms and can cause or enhance diseases. The primary parameters that determine the environmental and health effects of aerosol particles are their concentration, size, structure, and chemical composition. These parameters, however, are spatially and temporally highly variable. The quantification and identification of biological particles and carbonaceous components of fine particulate matter in the air (organic compounds and black or elemental carbon, respectively) represent demanding analytical challenges. This Review outlines the current state of knowledge, major open questions, and research perspectives on the properties and interactions of atmospheric aerosols and their effects on climate and human health.","container-title":"Angewandte Chemie International Edition","DOI":"10.1002/anie.200501122","ISSN":"1521-3773","issue":"46","language":"en","license":"Copyright © 2005 WILEY-VCH Verlag GmbH &amp; Co. KGaA, Weinheim","note":"_eprint: https://onlinelibrary.wiley.com/doi/pdf/10.1002/anie.200501122","page":"7520-7540","source":"Wiley Online Library","title":"Atmospheric Aerosols: Composition, Transformation, Climate and Health Effects","title-short":"Atmospheric Aerosols","volume":"44","author":[{"family":"Pöschl","given":"Ulrich"}],"issued":{"date-parts":[["2005"]]},"citation-key":"poschlAtmosphericAerosolsComposition2005"}}],"schema":"https://github.com/citation-style-language/schema/raw/master/csl-citation.json"} </w:instrText>
      </w:r>
      <w:r w:rsidR="0083331F">
        <w:rPr>
          <w:rFonts w:eastAsia="Times New Roman" w:cs="Times New Roman"/>
          <w:color w:val="000000"/>
          <w:szCs w:val="24"/>
        </w:rPr>
        <w:fldChar w:fldCharType="separate"/>
      </w:r>
      <w:r w:rsidR="0083331F" w:rsidRPr="0083331F">
        <w:rPr>
          <w:rFonts w:cs="Times New Roman"/>
          <w:szCs w:val="24"/>
        </w:rPr>
        <w:t>(Pöschl, 2005)</w:t>
      </w:r>
      <w:r w:rsidR="0083331F">
        <w:rPr>
          <w:rFonts w:eastAsia="Times New Roman" w:cs="Times New Roman"/>
          <w:color w:val="000000"/>
          <w:szCs w:val="24"/>
        </w:rPr>
        <w:fldChar w:fldCharType="end"/>
      </w:r>
      <w:r w:rsidR="00D9219D" w:rsidRPr="00D9219D">
        <w:rPr>
          <w:rFonts w:eastAsia="Times New Roman" w:cs="Times New Roman"/>
          <w:color w:val="000000"/>
          <w:szCs w:val="24"/>
        </w:rPr>
        <w:t>. These aerosols come in diverse forms (everything from dust, sea salt, ash, smoke, pollen, etc.) and are emitted from various sources, both natural and anthropogenic</w:t>
      </w:r>
      <w:r w:rsidR="00CE691A">
        <w:rPr>
          <w:rFonts w:eastAsia="Times New Roman" w:cs="Times New Roman"/>
          <w:color w:val="000000"/>
          <w:szCs w:val="24"/>
        </w:rPr>
        <w:t xml:space="preserve"> </w:t>
      </w:r>
      <w:r w:rsidR="00CE691A">
        <w:rPr>
          <w:rFonts w:eastAsia="Times New Roman" w:cs="Times New Roman"/>
          <w:color w:val="000000"/>
          <w:szCs w:val="24"/>
        </w:rPr>
        <w:fldChar w:fldCharType="begin"/>
      </w:r>
      <w:r w:rsidR="00BB6527">
        <w:rPr>
          <w:rFonts w:eastAsia="Times New Roman" w:cs="Times New Roman"/>
          <w:color w:val="000000"/>
          <w:szCs w:val="24"/>
        </w:rPr>
        <w:instrText xml:space="preserve"> ADDIN ZOTERO_ITEM CSL_CITATION {"citationID":"2IhlNvdb","properties":{"formattedCitation":"(Andreae &amp; Rosenfeld, 2008; Jacobson et al., 2000)","plainCitation":"(Andreae &amp; Rosenfeld, 2008; Jacobson et al., 2000)","noteIndex":0},"citationItems":[{"id":640,"uris":["http://zotero.org/groups/4584967/items/CZEYJSNT"],"itemData":{"id":640,"type":"article-journal","abstract":"Atmospheric aerosol particles serve as condensation nuclei for the formation of both, cloud droplets and atmospheric ice particles. As a result, they exert a substantial influence on the microphysical properties of water and ice clouds, which in turn affect the processes that lead to the formation of rain, snow, hail, and other forms of precipitation. In recent years, considerable progress has been made in understanding the chemical composition of aerosols, their microphysical properties, and the factors that enable them to act as cloud condensation nuclei (CCN) and ice nuclei (IN). The first part of this review article will focus on the nature and sources of CCN and IN. We discuss the fundamentals of the cloud droplet and ice nucleation processes, and the role that the chemical composition and particle size play in this process. We show that, in many instances, the influence of chemical composition can be represented by a simple parameterization, which leaves particle size as the main variable controlling CCN efficiency. Aerosol particles are produced either directly by anthropogenic and natural sources (dust, sea salt, soot, biological particles, etc.), or they are formed in the atmosphere by condensation of low-volatility compounds (e.g., sulfuric acid or oxidized organic compounds). We discuss the magnitude of these sources, and the CCN and IN characteristics of the particles they produce. In contrast to previous assessments, which focused on the aerosol mass, we are emphasizing the number of particles being produced, as this is the key variable in cloud microphysics. Large uncertainties still exist for many aerosol sources, e.g., the submicron part of the seaspray aerosol, the particles produced by the biosphere, and the secondary organic aerosol. We conclude with a discussion on what particle concentrations may have been in the pristine atmosphere, before the onset on anthropogenic pollution. Model calculations and observations in remote continental regions consistently suggest that CCN concentrations over the pristine continents were similar to those now prevailing over the remote oceans, suggesting that human activities have modified cloud microphysics more than what is reflected in conventional wisdom. The second part of this review will address the effects of changing CCN and IN abundances on precipitation processes, the water cycle, and climate.","container-title":"Earth-Science Reviews","DOI":"10.1016/j.earscirev.2008.03.001","ISSN":"0012-8252","issue":"1","journalAbbreviation":"Earth-Science Reviews","page":"13-41","source":"ScienceDirect","title":"Aerosol–cloud–precipitation interactions. Part 1. The nature and sources of cloud-active aerosols","volume":"89","author":[{"family":"Andreae","given":"M. O."},{"family":"Rosenfeld","given":"D."}],"issued":{"date-parts":[["2008",7,1]]},"citation-key":"andreaeAerosolCloudPrecipitation2008"}},{"id":642,"uris":["http://zotero.org/groups/4584967/items/W7W48TGQ"],"itemData":{"id":642,"type":"article-journal","abstract":"Atmospheric aerosol particles are known to contain organic carbon material in variable amounts, depending on their location. In some parts of the world, organic compounds make up the majority of the total suspended particle mass. This class of particulate matter is important in a wide range of geophysical and environmental problems, ranging from local issues (e.g., pollution toxicity) to the global scale (e.g., climate change). Unfortunately, the richness of organic chemistry and the highly variable physical properties associated with both natural and anthropogenic organic particles lead to great difficulties in sampling and obtaining complete chemical information on these materials. These obstacles result in an incomplete picture of a potentially significant part of atmospheric chemistry and a correspondingly poor understanding of the geophysical and environmental effects of this aerosol. Given the paucity of quantitative molecular data, the purpose of this paper is not to quantitatively describe the importance of organic aerosols in environmental issues, but rather to present a basis for defining what data are needed. With this goal in mind, we begin with an overview of the major environmental issues known to be affected by organic aerosols, followed by a description of the distribution, sources, and chemical and physical properties of organic aerosols as they are currently understood. Methods used to collect and study organic aerosols are provided, followed by a list of outstanding scientific questions and suggestions for future research priorities.","container-title":"Reviews of Geophysics","DOI":"10.1029/1998RG000045","ISSN":"1944-9208","issue":"2","language":"en","license":"Copyright 2000 by the American Geophysical Union.","note":"_eprint: https://onlinelibrary.wiley.com/doi/pdf/10.1029/1998RG000045","page":"267-294","source":"Wiley Online Library","title":"Organic atmospheric aerosols: Review and state of the science","title-short":"Organic atmospheric aerosols","volume":"38","author":[{"family":"Jacobson","given":"M. C."},{"family":"Hansson","given":"H. -C."},{"family":"Noone","given":"K. J."},{"family":"Charlson","given":"R. J."}],"issued":{"date-parts":[["2000"]]},"citation-key":"jacobsonOrganicAtmosphericAerosols2000a"}}],"schema":"https://github.com/citation-style-language/schema/raw/master/csl-citation.json"} </w:instrText>
      </w:r>
      <w:r w:rsidR="00CE691A">
        <w:rPr>
          <w:rFonts w:eastAsia="Times New Roman" w:cs="Times New Roman"/>
          <w:color w:val="000000"/>
          <w:szCs w:val="24"/>
        </w:rPr>
        <w:fldChar w:fldCharType="separate"/>
      </w:r>
      <w:r w:rsidR="00CE691A" w:rsidRPr="00CE691A">
        <w:rPr>
          <w:rFonts w:cs="Times New Roman"/>
        </w:rPr>
        <w:t>(Andreae &amp; Rosenfeld, 2008; Jacobson et al., 2000)</w:t>
      </w:r>
      <w:r w:rsidR="00CE691A">
        <w:rPr>
          <w:rFonts w:eastAsia="Times New Roman" w:cs="Times New Roman"/>
          <w:color w:val="000000"/>
          <w:szCs w:val="24"/>
        </w:rPr>
        <w:fldChar w:fldCharType="end"/>
      </w:r>
      <w:r w:rsidR="00D9219D" w:rsidRPr="00D9219D">
        <w:rPr>
          <w:rFonts w:eastAsia="Times New Roman" w:cs="Times New Roman"/>
          <w:color w:val="000000"/>
          <w:szCs w:val="24"/>
        </w:rPr>
        <w:t>. Man-made contributions to global aerosol emissions have steadily increased since the Industrial Revolution</w:t>
      </w:r>
      <w:r w:rsidR="00C6073A">
        <w:rPr>
          <w:rFonts w:eastAsia="Times New Roman" w:cs="Times New Roman"/>
          <w:color w:val="000000"/>
          <w:szCs w:val="24"/>
        </w:rPr>
        <w:t xml:space="preserve"> </w:t>
      </w:r>
      <w:r w:rsidR="00620B30">
        <w:rPr>
          <w:rFonts w:eastAsia="Times New Roman" w:cs="Times New Roman"/>
          <w:color w:val="000000"/>
          <w:szCs w:val="24"/>
        </w:rPr>
        <w:fldChar w:fldCharType="begin"/>
      </w:r>
      <w:r w:rsidR="00BB6527">
        <w:rPr>
          <w:rFonts w:eastAsia="Times New Roman" w:cs="Times New Roman"/>
          <w:color w:val="000000"/>
          <w:szCs w:val="24"/>
        </w:rPr>
        <w:instrText xml:space="preserve"> ADDIN ZOTERO_ITEM CSL_CITATION {"citationID":"J76OgyNK","properties":{"formattedCitation":"(Bond et al., 2007)","plainCitation":"(Bond et al., 2007)","noteIndex":0},"citationItems":[{"id":609,"uris":["http://zotero.org/groups/4584967/items/6J62KVLF"],"itemData":{"id":609,"type":"article-journal","abstract":"We present an emission inventory of primary black carbon (BC) and primary organic carbon (OC) aerosols from fossil fuel and biofuel combustion between 1850 and 2000. We reconstruct fossil fuel consumption and represent changes in technology on a national and sectoral basis. Our estimates rely on new estimates of biofuel consumption, and updated emission factors for old technologies. Emissions of black carbon increase almost linearly, totaling about 1000 Gg in 1850, 2200 Gg in 1900, 3000 Gg in 1950, and 4400 Gg in 2000. Primary organic carbon shows a similar pattern, with emissions of 4100 Gg, 5800 Gg, 6700 Gg, and 8700 Gg in 1850, 1900, 1950, and 2000, respectively. Biofuel is responsible for over half of BC emission until about 1890, and dominates energy-related primary OC emission throughout the entire period. Coal contributes the greatest fraction of BC emission between 1880 and 1975, and is overtaken by emissions from biofuel around 1975, and by diesel engines around 1990. Previous work suggests a rapid rise in BC emissions between 1950 and 2000. This work supports a more gradual increase between 1950 and 2000, similar to the increase between 1850 and 1925; implementation of clean technology is a primary reason.","container-title":"Global Biogeochemical Cycles","DOI":"10.1029/2006GB002840","ISSN":"1944-9224","issue":"2","language":"en","license":"Copyright 2007 by the American Geophysical Union.","note":"_eprint: https://onlinelibrary.wiley.com/doi/pdf/10.1029/2006GB002840","source":"Wiley Online Library","title":"Historical emissions of black and organic carbon aerosol from energy-related combustion, 1850–2000","URL":"https://onlinelibrary.wiley.com/doi/abs/10.1029/2006GB002840","volume":"21","author":[{"family":"Bond","given":"Tami C."},{"family":"Bhardwaj","given":"Ekta"},{"family":"Dong","given":"Rong"},{"family":"Jogani","given":"Rahil"},{"family":"Jung","given":"Soonkyu"},{"family":"Roden","given":"Christoph"},{"family":"Streets","given":"David G."},{"family":"Trautmann","given":"Nina M."}],"accessed":{"date-parts":[["2024",2,10]]},"issued":{"date-parts":[["2007"]]},"citation-key":"bondHistoricalEmissionsBlack2007"}}],"schema":"https://github.com/citation-style-language/schema/raw/master/csl-citation.json"} </w:instrText>
      </w:r>
      <w:r w:rsidR="00620B30">
        <w:rPr>
          <w:rFonts w:eastAsia="Times New Roman" w:cs="Times New Roman"/>
          <w:color w:val="000000"/>
          <w:szCs w:val="24"/>
        </w:rPr>
        <w:fldChar w:fldCharType="separate"/>
      </w:r>
      <w:r w:rsidR="00620B30" w:rsidRPr="00620B30">
        <w:rPr>
          <w:rFonts w:cs="Times New Roman"/>
        </w:rPr>
        <w:t>(Bond et al., 2007)</w:t>
      </w:r>
      <w:r w:rsidR="00620B30">
        <w:rPr>
          <w:rFonts w:eastAsia="Times New Roman" w:cs="Times New Roman"/>
          <w:color w:val="000000"/>
          <w:szCs w:val="24"/>
        </w:rPr>
        <w:fldChar w:fldCharType="end"/>
      </w:r>
      <w:r w:rsidR="00D9219D" w:rsidRPr="00D9219D">
        <w:rPr>
          <w:rFonts w:eastAsia="Times New Roman" w:cs="Times New Roman"/>
          <w:color w:val="000000"/>
          <w:szCs w:val="24"/>
        </w:rPr>
        <w:t xml:space="preserve">, a factor that plays a </w:t>
      </w:r>
      <w:r w:rsidR="00666F47">
        <w:rPr>
          <w:rFonts w:eastAsia="Times New Roman" w:cs="Times New Roman"/>
          <w:color w:val="000000"/>
          <w:szCs w:val="24"/>
        </w:rPr>
        <w:t>prominent</w:t>
      </w:r>
      <w:r w:rsidR="00666F47" w:rsidRPr="00D9219D">
        <w:rPr>
          <w:rFonts w:eastAsia="Times New Roman" w:cs="Times New Roman"/>
          <w:color w:val="000000"/>
          <w:szCs w:val="24"/>
        </w:rPr>
        <w:t xml:space="preserve"> </w:t>
      </w:r>
      <w:r w:rsidR="00D9219D" w:rsidRPr="00D9219D">
        <w:rPr>
          <w:rFonts w:eastAsia="Times New Roman" w:cs="Times New Roman"/>
          <w:color w:val="000000"/>
          <w:szCs w:val="24"/>
        </w:rPr>
        <w:t>role in today’s changing climate</w:t>
      </w:r>
      <w:r w:rsidR="00C95082">
        <w:rPr>
          <w:rFonts w:eastAsia="Times New Roman" w:cs="Times New Roman"/>
          <w:color w:val="000000"/>
          <w:szCs w:val="24"/>
        </w:rPr>
        <w:t xml:space="preserve"> </w:t>
      </w:r>
      <w:r w:rsidR="00C95082">
        <w:rPr>
          <w:rFonts w:eastAsia="Times New Roman" w:cs="Times New Roman"/>
          <w:color w:val="000000"/>
          <w:szCs w:val="24"/>
        </w:rPr>
        <w:fldChar w:fldCharType="begin"/>
      </w:r>
      <w:r w:rsidR="00BB6527">
        <w:rPr>
          <w:rFonts w:eastAsia="Times New Roman" w:cs="Times New Roman"/>
          <w:color w:val="000000"/>
          <w:szCs w:val="24"/>
        </w:rPr>
        <w:instrText xml:space="preserve"> ADDIN ZOTERO_ITEM CSL_CITATION {"citationID":"BdA08iJE","properties":{"formattedCitation":"(Charlson et al., 1992; Hoesung Lee et al., 2023; Leibensperger et al., 2012; Wilcox et al., 2013)","plainCitation":"(Charlson et al., 1992; Hoesung Lee et al., 2023; Leibensperger et al., 2012; Wilcox et al., 2013)","dontUpdate":true,"noteIndex":0},"citationItems":[{"id":607,"uris":["http://zotero.org/groups/4584967/items/THBFKV84"],"itemData":{"id":607,"type":"article-journal","abstract":"Although long considered to be of marginal importance to global climate change, tropospheric aerosol contributes substantially to radiative forcing, and anthropogenic sulfate aerosol in particular has imposed a major perturbation to this forcing. Both the direct scattering of short-wavelength solar radiation and the modification of the shortwave reflective properties of clouds by sulfate aerosol particles increase planetary albedo, thereby exerting a cooling influence on the planet. Current climate forcing due to anthropogenic sulfate is estimated to be –1 to –2 watts per square meter, globally averaged. This perturbation is comparable in magnitude to current anthropogenic greenhouse gas forcing but opposite in sign. Thus, the aerosol forcing has likely offset global greenhouse warming to a substantial degree. However, differences in geographical and seasonal distributions of these forcings preclude any simple compensation. Aerosol effects must be taken into account in evaluating anthropogenic influences on past, current, and projected future climate and in formulating policy regarding controls on emission of greenhouse gases and sulfur dioxide. Resolution of such policy issues requires integrated research on the magnitude and geographical distribution of aerosol climate forcing and on the controlling chemical and physical processes.","container-title":"Science","DOI":"10.1126/science.255.5043.423","issue":"5043","note":"publisher: American Association for the Advancement of Science","page":"423-430","source":"science.org (Atypon)","title":"Climate Forcing by Anthropogenic Aerosols","volume":"255","author":[{"family":"Charlson","given":"R. J."},{"family":"Schwartz","given":"S. E."},{"family":"Hales","given":"J. M."},{"family":"Cess","given":"R. D."},{"family":"Coakley","given":"J. A."},{"family":"Hansen","given":"J. E."},{"family":"Hofmann","given":"D. J."}],"issued":{"date-parts":[["1992",1,24]]},"citation-key":"charlsonClimateForcingAnthropogenic1992"}},{"id":695,"uris":["http://zotero.org/groups/4584967/items/LN9GDJBM"],"itemData":{"id":695,"type":"report","abstract":"Digital Collections","genre":"Report","language":"en","license":"© 2023 Intergovernmental Panel on Climate Change","note":"Accepted: 2023-09-18T23:44:55Z\nISBN: 9789291691647\nLast Modified: 2022-11-17\ncontainer-title: https://www.ipcc.ch/\nDOI: 10.59327/IPCC/AR6-9789291691647","publisher":"The Australian National University","source":"openresearch-repository.anu.edu.au","title":"Climate Change 2023: Synthesis Report. Contribution of Working Groups I, II and III to the Sixth Assessment Report of the Intergovernmental Panel on Climate Change","title-short":"Climate Change 2023","URL":"https://openresearch-repository.anu.edu.au/handle/1885/299630","author":[{"family":"Lee","given":"Hoesung"},{"family":"Calvin","given":"Katherine"},{"family":"Dasgupta","given":"Dipak"},{"family":"Krinner","given":"Gerhard"},{"family":"Mukherji","given":"Aditi"},{"family":"Thorne","given":"Peter"},{"family":"Trisos","given":"Christopher"},{"family":"Romero","given":"José"},{"family":"Aldunce","given":"Paulina"},{"family":"Barrett","given":"Ko"},{"family":"Blanco","given":"Gabriel"},{"family":"Cheung","given":"William W. L."},{"family":"Connors","given":"Sarah L."},{"family":"Denton","given":"Fatima"},{"family":"Diongue-Niang","given":"Aïda"},{"family":"Dodman","given":"David"},{"family":"Garschagen","given":"Matthias"},{"family":"Geden","given":"Oliver"},{"family":"Hayward","given":"Bronwyn"},{"family":"Jones","given":"Christopher"},{"family":"Jotzo","given":"Frank"},{"family":"Krug","given":"Thelma"},{"family":"Lasco","given":"Rodel"},{"family":"Lee","given":"June-Yi"},{"family":"Masson-Delmotte","given":"Valérie"},{"family":"Meinshausen","given":"Malte"},{"family":"Mintenbeck","given":"Katja"},{"family":"Mokssit","given":"Abdalah"},{"family":"Otto","given":"Friederike E. L."},{"family":"Pathak","given":"Minal"},{"family":"Pirani","given":"Anna"},{"family":"Poloczanska","given":"Elvira"},{"family":"Pörtner","given":"Hans-Otto"},{"family":"Revi","given":"Aromar"},{"family":"Roberts","given":"Debra C."},{"family":"Romero","given":"Jose"},{"family":"Roy","given":"Joyashree"},{"family":"Ruane","given":"Alex C."},{"family":"Skea","given":"Jim"},{"family":"Shukla","given":"Priyadarshi R."},{"family":"Slade","given":"Raphael"},{"family":"Slangen","given":"Aimée"},{"family":"Sokona","given":"Youba"},{"family":"Sörensson","given":"Anna A."},{"family":"Tignor","given":"Melinda"},{"family":"Vuuren","given":"Detlef","non-dropping-particle":"van"},{"family":"Wei","given":"Yi-Ming"},{"family":"Winkler","given":"Harald"},{"family":"Zhai","given":"Panmao"},{"family":"Zommers","given":"Zinta"}],"accessed":{"date-parts":[["2024",2,21]]},"issued":{"date-parts":[["2023",3]]},"citation-key":"leeClimateChange20232023"}},{"id":604,"uris":["http://zotero.org/groups/4584967/items/MHKE29G5"],"itemData":{"id":604,"type":"article-journal","abstract":"We calculate decadal aerosol direct and indirect (warm cloud) radiative forcings from US anthropogenic sources over the 1950–2050 period. Past and future aerosol distributions are constructed using GEOS-Chem and historical emission inventories and future projections from the IPCC A1B scenario. Aerosol simulations are evaluated with observed spatial distributions and 1980–2010 trends of aerosol concentrations and wet deposition in the contiguous US. Direct and indirect radiative forcing is calculated using the GISS general circulation model and monthly mean aerosol distributions from GEOS-Chem. The radiative forcing from US anthropogenic aerosols is strongly localized over the eastern US. We find that its magnitude peaked in 1970–1990, with values over the eastern US (east of 100° W) of −2.0 W m−2 for direct forcing including contributions from sulfate (−2.0 W m−2), nitrate (−0.2 W m−2), organic carbon (−0.2 W m−2), and black carbon (+0.4 W m−2). The uncertainties in radiative forcing due to aerosol radiative properties are estimated to be about 50%. The aerosol indirect effect is estimated to be of comparable magnitude to the direct forcing. We find that the magnitude of the forcing declined sharply from 1990 to 2010 (by 0.8 W m−2 direct and 1.0 W m−2 indirect), mainly reflecting decreases in SO2 emissions, and project that it will continue declining post-2010 but at a much slower rate since US SO2 emissions have already declined by almost 60% from their peak. This suggests that much of the warming effect of reducing US anthropogenic aerosol sources has already been realized. The small positive radiative forcing from US BC emissions (+0.3 W m−2 over the eastern US in 2010; 5% of the global forcing from anthropogenic BC emissions worldwide) suggests that a US emission control strategy focused on BC would have only limited climate benefit.","container-title":"Atmospheric Chemistry and Physics","DOI":"10.5194/acp-12-3333-2012","ISSN":"1680-7316","issue":"7","language":"English","note":"publisher: Copernicus GmbH","page":"3333-3348","source":"Copernicus Online Journals","title":"Climatic effects of 1950&amp;ndash;2050 changes in US anthropogenic aerosols &amp;ndash; Part 1: Aerosol trends and radiative forcing","title-short":"Climatic effects of 1950&amp;ndash;2050 changes in US anthropogenic aerosols &amp;ndash; Part 1","volume":"12","author":[{"family":"Leibensperger","given":"E. M."},{"family":"Mickley","given":"L. J."},{"family":"Jacob","given":"D. J."},{"family":"Chen","given":"W.-T."},{"family":"Seinfeld","given":"J. H."},{"family":"Nenes","given":"A."},{"family":"Adams","given":"P. J."},{"family":"Streets","given":"D. G."},{"family":"Kumar","given":"N."},{"family":"Rind","given":"D."}],"issued":{"date-parts":[["2012",4,10]]},"citation-key":"leibenspergerClimaticEffects19502012"}},{"id":605,"uris":["http://zotero.org/groups/4584967/items/27I2NB26"],"itemData":{"id":605,"type":"article-journal","abstract":"Analysis of single forcing runs from CMIP5 (the fifth Coupled Model Intercomparison Project) simulations shows that the mid-twentieth century temperature hiatus, and the coincident decrease in precipitation, is likely to have been influenced strongly by anthropogenic aerosol forcing. Models that include a representation of the indirect effect of aerosol better reproduce inter-decadal variability in historical global-mean near-surface temperatures, particularly the cooling in the 1950s and 1960s, compared to models with representation of the aerosol direct effect only. Models with the indirect effect also show a more pronounced decrease in precipitation during this period, which is in better agreement with observations, and greater inter-decadal variability in the inter-hemispheric temperature difference. This study demonstrates the importance of representing aerosols, and their indirect effects, in general circulation models, and suggests that inter-model diversity in aerosol burden and representation of aerosol–cloud interaction can produce substantial variation in simulations of climate variability on multi-decadal timescales.","container-title":"Environmental Research Letters","DOI":"10.1088/1748-9326/8/2/024033","ISSN":"1748-9326","issue":"2","journalAbbreviation":"Environ. Res. Lett.","language":"en","note":"publisher: IOP Publishing","page":"024033","source":"Institute of Physics","title":"The influence of anthropogenic aerosol on multi-decadal variations of historical global climate","volume":"8","author":[{"family":"Wilcox","given":"L. J."},{"family":"Highwood","given":"E. J."},{"family":"Dunstone","given":"N. J."}],"issued":{"date-parts":[["2013",6]]},"citation-key":"wilcoxInfluenceAnthropogenicAerosol2013"}}],"schema":"https://github.com/citation-style-language/schema/raw/master/csl-citation.json"} </w:instrText>
      </w:r>
      <w:r w:rsidR="00C95082">
        <w:rPr>
          <w:rFonts w:eastAsia="Times New Roman" w:cs="Times New Roman"/>
          <w:color w:val="000000"/>
          <w:szCs w:val="24"/>
        </w:rPr>
        <w:fldChar w:fldCharType="separate"/>
      </w:r>
      <w:r w:rsidR="0099603D" w:rsidRPr="0099603D">
        <w:rPr>
          <w:rFonts w:cs="Times New Roman"/>
        </w:rPr>
        <w:t>(Charlson et al., 1992;</w:t>
      </w:r>
      <w:r w:rsidR="00362B42">
        <w:rPr>
          <w:rFonts w:cs="Times New Roman"/>
        </w:rPr>
        <w:t xml:space="preserve"> </w:t>
      </w:r>
      <w:r w:rsidR="0099603D" w:rsidRPr="0099603D">
        <w:rPr>
          <w:rFonts w:cs="Times New Roman"/>
        </w:rPr>
        <w:t>Lee et al., 2023; Leibensperger et al., 2012; Wilcox et al., 2013)</w:t>
      </w:r>
      <w:r w:rsidR="00C95082">
        <w:rPr>
          <w:rFonts w:eastAsia="Times New Roman" w:cs="Times New Roman"/>
          <w:color w:val="000000"/>
          <w:szCs w:val="24"/>
        </w:rPr>
        <w:fldChar w:fldCharType="end"/>
      </w:r>
      <w:r w:rsidR="00D9219D" w:rsidRPr="00D9219D">
        <w:rPr>
          <w:rFonts w:eastAsia="Times New Roman" w:cs="Times New Roman"/>
          <w:color w:val="000000"/>
          <w:szCs w:val="24"/>
        </w:rPr>
        <w:t xml:space="preserve">. </w:t>
      </w:r>
      <w:r w:rsidR="00FE6302">
        <w:rPr>
          <w:rFonts w:eastAsia="Times New Roman" w:cs="Times New Roman"/>
          <w:color w:val="000000"/>
          <w:szCs w:val="24"/>
        </w:rPr>
        <w:t xml:space="preserve">Aerosols </w:t>
      </w:r>
      <w:r w:rsidR="00E10BA0">
        <w:rPr>
          <w:rFonts w:eastAsia="Times New Roman" w:cs="Times New Roman"/>
          <w:color w:val="000000"/>
          <w:szCs w:val="24"/>
        </w:rPr>
        <w:t xml:space="preserve">may be small but have a </w:t>
      </w:r>
      <w:r w:rsidR="00BC3C68">
        <w:rPr>
          <w:rFonts w:eastAsia="Times New Roman" w:cs="Times New Roman"/>
          <w:color w:val="000000"/>
          <w:szCs w:val="24"/>
        </w:rPr>
        <w:t>significant</w:t>
      </w:r>
      <w:r w:rsidR="00E10BA0">
        <w:rPr>
          <w:rFonts w:eastAsia="Times New Roman" w:cs="Times New Roman"/>
          <w:color w:val="000000"/>
          <w:szCs w:val="24"/>
        </w:rPr>
        <w:t xml:space="preserve"> impact on the Earth. </w:t>
      </w:r>
      <w:r w:rsidR="00A52EB9">
        <w:rPr>
          <w:rFonts w:eastAsia="Times New Roman" w:cs="Times New Roman"/>
          <w:color w:val="000000"/>
          <w:szCs w:val="24"/>
        </w:rPr>
        <w:t xml:space="preserve">For instance, </w:t>
      </w:r>
      <w:r w:rsidR="00510B36">
        <w:rPr>
          <w:rFonts w:eastAsia="Times New Roman" w:cs="Times New Roman"/>
          <w:color w:val="000000"/>
          <w:szCs w:val="24"/>
        </w:rPr>
        <w:t xml:space="preserve">they can cause health complications when inhaled </w:t>
      </w:r>
      <w:r w:rsidR="00146B9E">
        <w:rPr>
          <w:rFonts w:eastAsia="Times New Roman" w:cs="Times New Roman"/>
          <w:color w:val="000000"/>
          <w:szCs w:val="24"/>
        </w:rPr>
        <w:t xml:space="preserve"> and</w:t>
      </w:r>
      <w:r w:rsidR="00AC06B8">
        <w:rPr>
          <w:rFonts w:eastAsia="Times New Roman" w:cs="Times New Roman"/>
          <w:color w:val="000000"/>
          <w:szCs w:val="24"/>
        </w:rPr>
        <w:t xml:space="preserve"> </w:t>
      </w:r>
      <w:r w:rsidR="0042291D">
        <w:rPr>
          <w:rFonts w:eastAsia="Times New Roman" w:cs="Times New Roman"/>
          <w:color w:val="000000"/>
          <w:szCs w:val="24"/>
        </w:rPr>
        <w:t>alter</w:t>
      </w:r>
      <w:r w:rsidR="001407C6">
        <w:rPr>
          <w:rFonts w:eastAsia="Times New Roman" w:cs="Times New Roman"/>
          <w:color w:val="000000"/>
          <w:szCs w:val="24"/>
        </w:rPr>
        <w:t xml:space="preserve"> the weather and climate through their light </w:t>
      </w:r>
      <w:r w:rsidR="00146B9E">
        <w:rPr>
          <w:rFonts w:eastAsia="Times New Roman" w:cs="Times New Roman"/>
          <w:color w:val="000000"/>
          <w:szCs w:val="24"/>
        </w:rPr>
        <w:t>absorption</w:t>
      </w:r>
      <w:r w:rsidR="00921D25">
        <w:rPr>
          <w:rFonts w:eastAsia="Times New Roman" w:cs="Times New Roman"/>
          <w:color w:val="000000"/>
          <w:szCs w:val="24"/>
        </w:rPr>
        <w:t>/</w:t>
      </w:r>
      <w:r w:rsidR="00146B9E">
        <w:rPr>
          <w:rFonts w:eastAsia="Times New Roman" w:cs="Times New Roman"/>
          <w:color w:val="000000"/>
          <w:szCs w:val="24"/>
        </w:rPr>
        <w:t xml:space="preserve">scattering properties </w:t>
      </w:r>
      <w:r w:rsidR="00921D25">
        <w:rPr>
          <w:rFonts w:eastAsia="Times New Roman" w:cs="Times New Roman"/>
          <w:color w:val="000000"/>
          <w:szCs w:val="24"/>
        </w:rPr>
        <w:t>and cloud interactions</w:t>
      </w:r>
      <w:r w:rsidR="00911E6F">
        <w:rPr>
          <w:rFonts w:eastAsia="Times New Roman" w:cs="Times New Roman"/>
          <w:color w:val="000000"/>
          <w:szCs w:val="24"/>
        </w:rPr>
        <w:t>.</w:t>
      </w:r>
    </w:p>
    <w:p w14:paraId="120CAB06" w14:textId="0298BD2B" w:rsidR="00BB2E0A" w:rsidRDefault="00D9219D" w:rsidP="00444CBE">
      <w:pPr>
        <w:spacing w:after="0"/>
        <w:ind w:firstLine="720"/>
        <w:rPr>
          <w:rFonts w:eastAsia="Times New Roman" w:cs="Times New Roman"/>
          <w:color w:val="000000"/>
          <w:szCs w:val="24"/>
        </w:rPr>
      </w:pPr>
      <w:r w:rsidRPr="00D9219D">
        <w:rPr>
          <w:rFonts w:eastAsia="Times New Roman" w:cs="Times New Roman"/>
          <w:color w:val="000000"/>
          <w:szCs w:val="24"/>
        </w:rPr>
        <w:t xml:space="preserve">Unfortunately, the mechanisms behind the effects of aerosols on the climate are complicated and not yet well-characterized . </w:t>
      </w:r>
      <w:r w:rsidR="00E92844">
        <w:rPr>
          <w:rFonts w:eastAsia="Times New Roman" w:cs="Times New Roman"/>
          <w:color w:val="000000"/>
          <w:szCs w:val="24"/>
        </w:rPr>
        <w:t>T</w:t>
      </w:r>
      <w:r w:rsidR="00137F3B">
        <w:rPr>
          <w:rFonts w:eastAsia="Times New Roman" w:cs="Times New Roman"/>
          <w:color w:val="000000"/>
          <w:szCs w:val="24"/>
        </w:rPr>
        <w:t xml:space="preserve">he largest uncertainty </w:t>
      </w:r>
      <w:r w:rsidR="00823861">
        <w:rPr>
          <w:rFonts w:eastAsia="Times New Roman" w:cs="Times New Roman"/>
          <w:color w:val="000000"/>
          <w:szCs w:val="24"/>
        </w:rPr>
        <w:t xml:space="preserve">for radiative forcings </w:t>
      </w:r>
      <w:r w:rsidR="00137F3B">
        <w:rPr>
          <w:rFonts w:eastAsia="Times New Roman" w:cs="Times New Roman"/>
          <w:color w:val="000000"/>
          <w:szCs w:val="24"/>
        </w:rPr>
        <w:t xml:space="preserve">in </w:t>
      </w:r>
      <w:r w:rsidR="0006048A">
        <w:rPr>
          <w:rFonts w:eastAsia="Times New Roman" w:cs="Times New Roman"/>
          <w:color w:val="000000"/>
          <w:szCs w:val="24"/>
        </w:rPr>
        <w:t>c</w:t>
      </w:r>
      <w:r w:rsidR="008370AD">
        <w:rPr>
          <w:rFonts w:eastAsia="Times New Roman" w:cs="Times New Roman"/>
          <w:color w:val="000000"/>
          <w:szCs w:val="24"/>
        </w:rPr>
        <w:t>limate models</w:t>
      </w:r>
      <w:r w:rsidR="00823861">
        <w:rPr>
          <w:rFonts w:eastAsia="Times New Roman" w:cs="Times New Roman"/>
          <w:color w:val="000000"/>
          <w:szCs w:val="24"/>
        </w:rPr>
        <w:t xml:space="preserve"> </w:t>
      </w:r>
      <w:r w:rsidR="002D58BE">
        <w:rPr>
          <w:rFonts w:eastAsia="Times New Roman" w:cs="Times New Roman"/>
          <w:color w:val="000000"/>
          <w:szCs w:val="24"/>
        </w:rPr>
        <w:t xml:space="preserve">lies with aerosols </w:t>
      </w:r>
      <w:r w:rsidR="002D58BE">
        <w:rPr>
          <w:rFonts w:eastAsia="Times New Roman" w:cs="Times New Roman"/>
          <w:color w:val="000000"/>
          <w:szCs w:val="24"/>
        </w:rPr>
        <w:fldChar w:fldCharType="begin"/>
      </w:r>
      <w:r w:rsidR="00BB6527">
        <w:rPr>
          <w:rFonts w:eastAsia="Times New Roman" w:cs="Times New Roman"/>
          <w:color w:val="000000"/>
          <w:szCs w:val="24"/>
        </w:rPr>
        <w:instrText xml:space="preserve"> ADDIN ZOTERO_ITEM CSL_CITATION {"citationID":"XT0Epoz3","properties":{"formattedCitation":"(Hoesung Lee et al., 2023)","plainCitation":"(Hoesung Lee et al., 2023)","dontUpdate":true,"noteIndex":0},"citationItems":[{"id":695,"uris":["http://zotero.org/groups/4584967/items/LN9GDJBM"],"itemData":{"id":695,"type":"report","abstract":"Digital Collections","genre":"Report","language":"en","license":"© 2023 Intergovernmental Panel on Climate Change","note":"Accepted: 2023-09-18T23:44:55Z\nISBN: 9789291691647\nLast Modified: 2022-11-17\ncontainer-title: https://www.ipcc.ch/\nDOI: 10.59327/IPCC/AR6-9789291691647","publisher":"The Australian National University","source":"openresearch-repository.anu.edu.au","title":"Climate Change 2023: Synthesis Report. Contribution of Working Groups I, II and III to the Sixth Assessment Report of the Intergovernmental Panel on Climate Change","title-short":"Climate Change 2023","URL":"https://openresearch-repository.anu.edu.au/handle/1885/299630","author":[{"family":"Lee","given":"Hoesung"},{"family":"Calvin","given":"Katherine"},{"family":"Dasgupta","given":"Dipak"},{"family":"Krinner","given":"Gerhard"},{"family":"Mukherji","given":"Aditi"},{"family":"Thorne","given":"Peter"},{"family":"Trisos","given":"Christopher"},{"family":"Romero","given":"José"},{"family":"Aldunce","given":"Paulina"},{"family":"Barrett","given":"Ko"},{"family":"Blanco","given":"Gabriel"},{"family":"Cheung","given":"William W. L."},{"family":"Connors","given":"Sarah L."},{"family":"Denton","given":"Fatima"},{"family":"Diongue-Niang","given":"Aïda"},{"family":"Dodman","given":"David"},{"family":"Garschagen","given":"Matthias"},{"family":"Geden","given":"Oliver"},{"family":"Hayward","given":"Bronwyn"},{"family":"Jones","given":"Christopher"},{"family":"Jotzo","given":"Frank"},{"family":"Krug","given":"Thelma"},{"family":"Lasco","given":"Rodel"},{"family":"Lee","given":"June-Yi"},{"family":"Masson-Delmotte","given":"Valérie"},{"family":"Meinshausen","given":"Malte"},{"family":"Mintenbeck","given":"Katja"},{"family":"Mokssit","given":"Abdalah"},{"family":"Otto","given":"Friederike E. L."},{"family":"Pathak","given":"Minal"},{"family":"Pirani","given":"Anna"},{"family":"Poloczanska","given":"Elvira"},{"family":"Pörtner","given":"Hans-Otto"},{"family":"Revi","given":"Aromar"},{"family":"Roberts","given":"Debra C."},{"family":"Romero","given":"Jose"},{"family":"Roy","given":"Joyashree"},{"family":"Ruane","given":"Alex C."},{"family":"Skea","given":"Jim"},{"family":"Shukla","given":"Priyadarshi R."},{"family":"Slade","given":"Raphael"},{"family":"Slangen","given":"Aimée"},{"family":"Sokona","given":"Youba"},{"family":"Sörensson","given":"Anna A."},{"family":"Tignor","given":"Melinda"},{"family":"Vuuren","given":"Detlef","non-dropping-particle":"van"},{"family":"Wei","given":"Yi-Ming"},{"family":"Winkler","given":"Harald"},{"family":"Zhai","given":"Panmao"},{"family":"Zommers","given":"Zinta"}],"accessed":{"date-parts":[["2024",2,21]]},"issued":{"date-parts":[["2023",3]]},"citation-key":"leeClimateChange20232023"}}],"schema":"https://github.com/citation-style-language/schema/raw/master/csl-citation.json"} </w:instrText>
      </w:r>
      <w:r w:rsidR="002D58BE">
        <w:rPr>
          <w:rFonts w:eastAsia="Times New Roman" w:cs="Times New Roman"/>
          <w:color w:val="000000"/>
          <w:szCs w:val="24"/>
        </w:rPr>
        <w:fldChar w:fldCharType="separate"/>
      </w:r>
      <w:r w:rsidR="00AB0EC7" w:rsidRPr="00AB0EC7">
        <w:rPr>
          <w:rFonts w:cs="Times New Roman"/>
        </w:rPr>
        <w:t>(Lee et al., 2023)</w:t>
      </w:r>
      <w:r w:rsidR="002D58BE">
        <w:rPr>
          <w:rFonts w:eastAsia="Times New Roman" w:cs="Times New Roman"/>
          <w:color w:val="000000"/>
          <w:szCs w:val="24"/>
        </w:rPr>
        <w:fldChar w:fldCharType="end"/>
      </w:r>
      <w:r w:rsidR="002D58BE">
        <w:rPr>
          <w:rFonts w:eastAsia="Times New Roman" w:cs="Times New Roman"/>
          <w:color w:val="000000"/>
          <w:szCs w:val="24"/>
        </w:rPr>
        <w:t>.</w:t>
      </w:r>
      <w:r w:rsidR="00BB2E0A">
        <w:rPr>
          <w:rFonts w:eastAsia="Times New Roman" w:cs="Times New Roman"/>
          <w:color w:val="000000"/>
          <w:szCs w:val="24"/>
        </w:rPr>
        <w:t xml:space="preserve"> </w:t>
      </w:r>
      <w:r w:rsidR="004539F8">
        <w:rPr>
          <w:rFonts w:eastAsia="Times New Roman" w:cs="Times New Roman"/>
          <w:color w:val="000000"/>
          <w:szCs w:val="24"/>
        </w:rPr>
        <w:t xml:space="preserve">These uncertainties </w:t>
      </w:r>
      <w:r w:rsidR="00A11671">
        <w:rPr>
          <w:rFonts w:eastAsia="Times New Roman" w:cs="Times New Roman"/>
          <w:color w:val="000000"/>
          <w:szCs w:val="24"/>
        </w:rPr>
        <w:t xml:space="preserve">can be attributed to the difficulty in </w:t>
      </w:r>
      <w:r w:rsidR="0027218E">
        <w:rPr>
          <w:rFonts w:eastAsia="Times New Roman" w:cs="Times New Roman"/>
          <w:color w:val="000000"/>
          <w:szCs w:val="24"/>
        </w:rPr>
        <w:t xml:space="preserve">characterizing aerosol </w:t>
      </w:r>
      <w:r w:rsidR="00013871">
        <w:rPr>
          <w:rFonts w:eastAsia="Times New Roman" w:cs="Times New Roman"/>
          <w:color w:val="000000"/>
          <w:szCs w:val="24"/>
        </w:rPr>
        <w:t xml:space="preserve">chemical and physical properties, evolution, </w:t>
      </w:r>
      <w:r w:rsidR="00CA2129">
        <w:rPr>
          <w:rFonts w:eastAsia="Times New Roman" w:cs="Times New Roman"/>
          <w:color w:val="000000"/>
          <w:szCs w:val="24"/>
        </w:rPr>
        <w:t xml:space="preserve">cloud interactions, and transport </w:t>
      </w:r>
      <w:r w:rsidR="00CA2129">
        <w:rPr>
          <w:rFonts w:eastAsia="Times New Roman" w:cs="Times New Roman"/>
          <w:color w:val="000000"/>
          <w:szCs w:val="24"/>
        </w:rPr>
        <w:fldChar w:fldCharType="begin"/>
      </w:r>
      <w:r w:rsidR="00BB6527">
        <w:rPr>
          <w:rFonts w:eastAsia="Times New Roman" w:cs="Times New Roman"/>
          <w:color w:val="000000"/>
          <w:szCs w:val="24"/>
        </w:rPr>
        <w:instrText xml:space="preserve"> ADDIN ZOTERO_ITEM CSL_CITATION {"citationID":"97bvJbGx","properties":{"formattedCitation":"(Altaratz et al., 2014; Barbaro et al., 2013; Rosenfeld et al., 2014; Y. Wang et al., 2013; R. Zhang et al., 2015)","plainCitation":"(Altaratz et al., 2014; Barbaro et al., 2013; Rosenfeld et al., 2014; Y. Wang et al., 2013; R. Zhang et al., 2015)","dontUpdate":true,"noteIndex":0},"citationItems":[{"id":631,"uris":["http://zotero.org/groups/4584967/items/6FRXESYP"],"itemData":{"id":631,"type":"article-journal","abstract":"The cloud invigoration effect refers here to the link between an increase in aerosol loading and deepening of convective clouds. The effect can be reflected also in a larger cloud fraction and an increase in the condensate mass that is distributed higher in the atmospheric column. Identifying the invigoration effect by aerosols requires attributing certain changes in cloud dynamics to changes in cloud microphysics. More than 10years of extensive research using data collected in field experiments, analysis of satellite measurements and the employment of state-of-the-art numerical models have been used in an attempt to study this elusive phenomenon. Despite these intensive efforts, the validity of the invigoration effect and the possibility of climate responses to this effect are still considered to be open questions. In this review observational evidence and modeling results for cloud invigoration are discussed. Studies that indicate convective cloud invigoration effects, as well as studies that suggest no or even opposite effects are summarized. A coherent physical mechanism that describes a chain of processes that takes place under the proper conditions in the core of a convective cloud provides explanation for the “ideal” case of invigoration reported by observations and numerical modeling, while the competition between core-based vs. margin-based processes explains the cases that deviate from the “ideal”. Because convective clouds play a key role in the Earth's radiation balance, in the water cycle and atmospheric circulations, invigoration implies possible consequences at scales ranging from a single cloud up to the global.","container-title":"Atmospheric Research","DOI":"10.1016/j.atmosres.2014.01.009","ISSN":"0169-8095","journalAbbreviation":"Atmospheric Research","page":"38-60","source":"ScienceDirect","title":"Review: Cloud invigoration by aerosols—Coupling between microphysics and dynamics","title-short":"Review","volume":"140-141","author":[{"family":"Altaratz","given":"O."},{"family":"Koren","given":"I."},{"family":"Remer","given":"L. A."},{"family":"Hirsch","given":"E."}],"issued":{"date-parts":[["2014",4,1]]},"citation-key":"altaratzReviewCloudInvigoration2014"}},{"id":98,"uris":["http://zotero.org/groups/4584967/items/5WSS7RNZ"],"itemData":{"id":98,"type":"article-journal","abstract":"We investigated the impact of aerosol heat absorption on convective atmospheric boundary-layer (CBL) dynamics. Numerical experiments using a large-eddy simulation model enabled us to study the changes in the structure of a dry and shearless CBL in depth-equilibrium for different vertical profiles of aerosol heating rates. Our results indicated that aerosol heat absorption decreased the depth of the CBL due to a combination of factors: (i) surface shadowing, reducing the sensible heat flux at the surface and, (ii) the development of a deeper inversion layer, stabilizing the upper CBL depending on the vertical aerosol distribution. Steady-state analytical solutions for CBL depth and potential temperature jump, derived using zero-order mixed-layer theory, agreed well with the large-eddy simulations. An analysis of the entrainment zone heat budget showed that, although the entrainment flux was controlled by the reduction in surface flux, the entrainment zone became deeper and less stably stratified. Therefore, the vertical profile of the aerosol heating rate promoted changes in both the structure and evolution of the CBL. More specifically, when absorbing aerosols were present only at the top of the CBL, we found that stratification at lower levels was the mechanism responsible for a reduction in the vertical velocity and a steeper decay of the turbulent kinetic energy throughout the CBL. The increase in the depth of the inversion layer also modified the potential temperature variance. When aerosols were present we observed that the potential temperature variance became significant already around $$0.7z_i$$(where $$z_i$$is the CBL height) but less intense at the entrainment zone due to the smoother potential temperature vertical gradient.","container-title":"Boundary-Layer Meteorology","DOI":"10.1007/s10546-013-9800-7","ISSN":"1573-1472","issue":"1","journalAbbreviation":"Boundary-Layer Meteorol","language":"en","page":"31-49","source":"Springer Link","title":"Impacts of Aerosol Shortwave Radiation Absorption on the Dynamics of an Idealized Convective Atmospheric Boundary Layer","volume":"148","author":[{"family":"Barbaro","given":"E."},{"family":"Vilà-Guerau de Arellano","given":"J."},{"family":"Krol","given":"M. C."},{"family":"Holtslag","given":"A. A. M."}],"issued":{"date-parts":[["2013",7,1]]},"citation-key":"barbaroImpactsAerosolShortwave2013"}},{"id":632,"uris":["http://zotero.org/groups/4584967/items/H6T7T53F"],"itemData":{"id":632,"type":"article-journal","abstract":"Cloud drop condensation nuclei (CCN) and ice nuclei (IN) particles determine to a large extent cloud microstructure and, consequently, cloud albedo and the dynamic response of clouds to aerosol-induced changes to precipitation. This can modify the reflected solar radiation and the thermal radiation emitted to space. Measurements of tropospheric CCN and IN over large areas have not been possible and can be only roughly approximated from satellite-sensor-based estimates of optical properties of aerosols. Our lack of ability to measure both CCN and cloud updrafts precludes disentangling the effects of meteorology from those of aerosols and represents the largest component in our uncertainty in anthropogenic climate forcing. Ways to improve the retrieval accuracy include multiangle and multipolarimetric passive measurements of the optical signal and multispectral lidar polarimetric measurements. Indirect methods include proxies of trace gases, as retrieved by hyperspectral sensors. Perhaps the most promising emerging direction is retrieving the CCN properties by simultaneously retrieving convective cloud drop number concentrations and updraft speeds, which amounts to using clouds as natural CCN chambers. These satellite observations have to be constrained by in situ observations of aerosol-cloud-precipitation-climate (ACPC) interactions, which in turn constrain a hierarchy of model simulations of ACPC. Since the essence of a general circulation model is an accurate quantification of the energy and mass fluxes in all forms between the surface, atmosphere and outer space, a route to progress is proposed here in the form of a series of box flux closure experiments in the various climate regimes. A roadmap is provided for quantifying the ACPC interactions and thereby reducing the uncertainty in anthropogenic climate forcing.","container-title":"Reviews of Geophysics","DOI":"10.1002/2013RG000441","ISSN":"1944-9208","issue":"4","language":"en","license":"©2014. American Geophysical Union. All Rights Reserved.","note":"_eprint: https://onlinelibrary.wiley.com/doi/pdf/10.1002/2013RG000441","page":"750-808","source":"Wiley Online Library","title":"Global observations of aerosol-cloud-precipitation-climate interactions","volume":"52","author":[{"family":"Rosenfeld","given":"Daniel"},{"family":"Andreae","given":"Meinrat O."},{"family":"Asmi","given":"Ari"},{"family":"Chin","given":"Mian"},{"family":"Leeuw","given":"Gerrit","non-dropping-particle":"de"},{"family":"Donovan","given":"David P."},{"family":"Kahn","given":"Ralph"},{"family":"Kinne","given":"Stefan"},{"family":"Kivekäs","given":"Niku"},{"family":"Kulmala","given":"Markku"},{"family":"Lau","given":"William"},{"family":"Schmidt","given":"K. Sebastian"},{"family":"Suni","given":"Tanja"},{"family":"Wagner","given":"Thomas"},{"family":"Wild","given":"Martin"},{"family":"Quaas","given":"Johannes"}],"issued":{"date-parts":[["2014"]]},"citation-key":"rosenfeldGlobalObservationsAerosolcloudprecipitationclimate2014"}},{"id":633,"uris":["http://zotero.org/groups/4584967/items/HWVKZN5P"],"itemData":{"id":633,"type":"article-journal","container-title":"Atmospheric Environment","DOI":"10.1016/j.atmosenv.2013.09.034","ISSN":"1352-2310","journalAbbreviation":"ATMOS ENVIRON.","language":"English (US)","note":"publisher: Elsevier Limited","page":"713-715","source":"researchwith.njit.edu","title":"New Directions: Light absorbing aerosols and their atmospheric impacts","title-short":"New Directions","volume":"81","author":[{"family":"Wang","given":"Yuan"},{"family":"Khalizov","given":"Alexei"},{"family":"Levy","given":"Misti"},{"family":"Zhang","given":"Renyi"}],"issued":{"date-parts":[["2013",12]]},"citation-key":"wangNewDirectionsLight2013"}},{"id":634,"uris":["http://zotero.org/groups/4584967/items/YRRI4XBP"],"itemData":{"id":634,"type":"article-journal","container-title":"Chemical Reviews","DOI":"10.1021/acs.chemrev.5b00067","ISSN":"0009-2665","issue":"10","journalAbbreviation":"Chem. Rev.","note":"publisher: American Chemical Society","page":"3803-3855","source":"ACS Publications","title":"Formation of Urban Fine Particulate Matter","volume":"115","author":[{"family":"Zhang","given":"Renyi"},{"family":"Wang","given":"Gehui"},{"family":"Guo","given":"Song"},{"family":"Zamora","given":"Misti L."},{"family":"Ying","given":"Qi"},{"family":"Lin","given":"Yun"},{"family":"Wang","given":"Weigang"},{"family":"Hu","given":"Min"},{"family":"Wang","given":"Yuan"}],"issued":{"date-parts":[["2015",5,27]]},"citation-key":"zhangFormationUrbanFine2015"}}],"schema":"https://github.com/citation-style-language/schema/raw/master/csl-citation.json"} </w:instrText>
      </w:r>
      <w:r w:rsidR="00CA2129">
        <w:rPr>
          <w:rFonts w:eastAsia="Times New Roman" w:cs="Times New Roman"/>
          <w:color w:val="000000"/>
          <w:szCs w:val="24"/>
        </w:rPr>
        <w:fldChar w:fldCharType="separate"/>
      </w:r>
      <w:r w:rsidR="00B12218" w:rsidRPr="00B12218">
        <w:rPr>
          <w:rFonts w:cs="Times New Roman"/>
        </w:rPr>
        <w:t>(Altaratz et al., 2014; Barbaro et al., 2013; Rosenfeld et al., 2014; Wang et al., 2013; Zhang et al., 2015)</w:t>
      </w:r>
      <w:r w:rsidR="00CA2129">
        <w:rPr>
          <w:rFonts w:eastAsia="Times New Roman" w:cs="Times New Roman"/>
          <w:color w:val="000000"/>
          <w:szCs w:val="24"/>
        </w:rPr>
        <w:fldChar w:fldCharType="end"/>
      </w:r>
      <w:r w:rsidR="00845FD8">
        <w:rPr>
          <w:rFonts w:eastAsia="Times New Roman" w:cs="Times New Roman"/>
          <w:color w:val="000000"/>
          <w:szCs w:val="24"/>
        </w:rPr>
        <w:t>.</w:t>
      </w:r>
    </w:p>
    <w:p w14:paraId="7575F03A" w14:textId="1A2445EF" w:rsidR="00C86098" w:rsidRDefault="009F6EF6" w:rsidP="00C86098">
      <w:pPr>
        <w:keepNext/>
        <w:spacing w:after="0"/>
        <w:ind w:firstLine="720"/>
      </w:pPr>
      <w:r>
        <w:rPr>
          <w:rFonts w:eastAsia="Times New Roman" w:cs="Times New Roman"/>
          <w:color w:val="000000"/>
          <w:szCs w:val="24"/>
        </w:rPr>
        <w:t>A</w:t>
      </w:r>
      <w:r w:rsidR="00D9219D" w:rsidRPr="00D9219D">
        <w:rPr>
          <w:rFonts w:eastAsia="Times New Roman" w:cs="Times New Roman"/>
          <w:color w:val="000000"/>
          <w:szCs w:val="24"/>
        </w:rPr>
        <w:t xml:space="preserve"> growing body of research </w:t>
      </w:r>
      <w:r w:rsidR="00E272E4">
        <w:rPr>
          <w:rFonts w:eastAsia="Times New Roman" w:cs="Times New Roman"/>
          <w:color w:val="000000"/>
          <w:szCs w:val="24"/>
        </w:rPr>
        <w:t>has</w:t>
      </w:r>
      <w:r w:rsidR="00E272E4" w:rsidRPr="00D9219D">
        <w:rPr>
          <w:rFonts w:eastAsia="Times New Roman" w:cs="Times New Roman"/>
          <w:color w:val="000000"/>
          <w:szCs w:val="24"/>
        </w:rPr>
        <w:t xml:space="preserve"> </w:t>
      </w:r>
      <w:r w:rsidR="00D9219D" w:rsidRPr="00D9219D">
        <w:rPr>
          <w:rFonts w:eastAsia="Times New Roman" w:cs="Times New Roman"/>
          <w:color w:val="000000"/>
          <w:szCs w:val="24"/>
        </w:rPr>
        <w:t>demonstrat</w:t>
      </w:r>
      <w:r w:rsidR="00E272E4">
        <w:rPr>
          <w:rFonts w:eastAsia="Times New Roman" w:cs="Times New Roman"/>
          <w:color w:val="000000"/>
          <w:szCs w:val="24"/>
        </w:rPr>
        <w:t>ed</w:t>
      </w:r>
      <w:r w:rsidR="00D9219D" w:rsidRPr="00D9219D">
        <w:rPr>
          <w:rFonts w:eastAsia="Times New Roman" w:cs="Times New Roman"/>
          <w:color w:val="000000"/>
          <w:szCs w:val="24"/>
        </w:rPr>
        <w:t xml:space="preserve"> a link between aerosol inhalation and health problems</w:t>
      </w:r>
      <w:r w:rsidR="00926ADD">
        <w:rPr>
          <w:rFonts w:eastAsia="Times New Roman" w:cs="Times New Roman"/>
          <w:color w:val="000000"/>
          <w:szCs w:val="24"/>
        </w:rPr>
        <w:t xml:space="preserve"> </w:t>
      </w:r>
      <w:r w:rsidR="00BD64A3">
        <w:rPr>
          <w:rFonts w:eastAsia="Times New Roman" w:cs="Times New Roman"/>
          <w:color w:val="000000"/>
          <w:szCs w:val="24"/>
        </w:rPr>
        <w:fldChar w:fldCharType="begin"/>
      </w:r>
      <w:r w:rsidR="00BB6527">
        <w:rPr>
          <w:rFonts w:eastAsia="Times New Roman" w:cs="Times New Roman"/>
          <w:color w:val="000000"/>
          <w:szCs w:val="24"/>
        </w:rPr>
        <w:instrText xml:space="preserve"> ADDIN ZOTERO_ITEM CSL_CITATION {"citationID":"HHOoygZ1","properties":{"formattedCitation":"(Anderson et al., 2020; I. M. Kennedy, 2007; Mauderly &amp; Chow, 2008; P\\uc0\\u246{}schl, 2005; Schraufnagel, 2020; Shiraiwa et al., 2017)","plainCitation":"(Anderson et al., 2020; I. M. Kennedy, 2007; Mauderly &amp; Chow, 2008; Pöschl, 2005; Schraufnagel, 2020; Shiraiwa et al., 2017)","noteIndex":0},"citationItems":[{"id":635,"uris":["http://zotero.org/groups/4584967/items/YCUPQMRD"],"itemData":{"id":635,"type":"article-journal","abstract":"This article analyzes the available evidence to address airborne, aerosol transmission of the SARS-CoV-2. We review and present three lines of evidence: case reports of transmission for asymptomatic individuals in association with studies that show that normal breathing and talking produce predominantly small droplets of the size that are subject to aerosol transport; limited empirical data that have recorded aerosolized SARS-CoV-2 particles that remain suspended in the air for hours and are subject to transport over distances including outside of rooms and intrabuilding, and the broader literature that further supports the importance of aerosol transmission of infectious diseases. The weight of the available evidence warrants immediate attention to address the significance of aerosols and implications for public health protection.","container-title":"Risk Analysis","DOI":"10.1111/risa.13500","ISSN":"1539-6924","issue":"5","language":"en","license":"© 2020 Society for Risk Analysis","note":"_eprint: https://onlinelibrary.wiley.com/doi/pdf/10.1111/risa.13500","page":"902-907","source":"Wiley Online Library","title":"Consideration of the Aerosol Transmission for COVID-19 and Public Health","volume":"40","author":[{"family":"Anderson","given":"Elizabeth L."},{"family":"Turnham","given":"Paul"},{"family":"Griffin","given":"John R."},{"family":"Clarke","given":"Chester C."}],"issued":{"date-parts":[["2020"]]},"citation-key":"andersonConsiderationAerosolTransmission2020"}},{"id":600,"uris":["http://zotero.org/groups/4584967/items/2IEDDFMV"],"itemData":{"id":600,"type":"article-journal","abstract":"The link between exposure to fine particles in the atmosphere and adverse health effects has been well-established by epidemiological studies. Most of the fine and ultrafine material of concern derives from combustion sources and is largely a mixture of elemental and organic carbon, metals, and inorganic compounds such as sulfates. When inhaled by people, the particles can be taken-up by cells in the lung. The particles can also penetrate into the circulatory system and lodge in organs such as the liver and heart. The mechanism for their impact on health is not entirely understood although the generation of reactive oxygen species such as the OH radical is a major focus. The inflammation that can be caused by these reactive species can exacerbate pre-existing ailments. Combustion conditions in mobile and stationary sources can affect the reactivity of aerosols and their ability to generate reactive oxygen species. Combustion conditions can also affect the speciation of transition metals, the morphology of particles and their composition, and their size, all parameters that may lead to adverse health effects.","container-title":"Proceedings of the Combustion Institute","DOI":"10.1016/j.proci.2006.08.116","ISSN":"1540-7489","issue":"2","journalAbbreviation":"Proceedings of the Combustion Institute","page":"2757-2770","source":"ScienceDirect","title":"The health effects of combustion-generated aerosols","volume":"31","author":[{"family":"Kennedy","given":"Ian M."}],"issued":{"date-parts":[["2007",1,1]]},"citation-key":"kennedyHealthEffectsCombustiongenerated2007"}},{"id":601,"uris":["http://zotero.org/groups/4584967/items/885FPZ6M"],"itemData":{"id":601,"type":"article-journal","abstract":"Carbonaceous aerosol, a major component of particulate matter (PM), gases, and vapors in the atmosphere, has been associated with natural and anthropogenic air pollution, reduced visibility, climate modulation, material and ecosystem damage, and adverse health effects. More recently, epidemiological studies have indicated associations between organic fractions of ambient PM and adverse respiratory and cardiovascular health outcomes. The effects of the non-PM components of the organic aerosol have received less attention because their measurement in the general environment is not mandated. This article summarizes current knowledge of the nature, prevalence, and health effects of organic aerosols encountered in the outdoor environment, identifies key information gaps, and presents a conceptual framework for research priorities for resolving those gaps. The broad, diverse class of air contaminants comprising organic aerosols may be more important to public health than the modest attention given to them. This review focuses on hazard identification and exposure assessment for evaluating risks to public health from ambient organic aerosols. Current knowledge is insufficient to support a quantitative characterization of the aggregate risk from organic air contaminants. Assessments should be done for individual species or mixtures. Efforts should be taken to assemble and evaluate a common set of standard reference materials for both organic speciation and health response assays. A greater standardization of approaches across studies and laboratories would be useful to achieve uniformity in assessing health effects. Multidisciplinary research efforts are needed to improve the current regulatory-driven air quality monitoring networks for epidemiological studies. The limited array of biomarkers linking organic aerosols to health effects needs to be expanded and specific organic compounds or classes that are associated with biological effects in human cells or animal studies need to be tested for better understanding of the exposure-response relationship.","container-title":"Inhalation Toxicology","DOI":"10.1080/08958370701866008","ISSN":"0895-8378","issue":"3","note":"publisher: Taylor &amp; Francis\n_eprint: https://doi.org/10.1080/08958370701866008\nPMID: 18300047","page":"257-288","source":"Taylor and Francis+NEJM","title":"Health Effects of Organic Aerosols","volume":"20","author":[{"family":"Mauderly","given":"Joe L."},{"family":"Chow","given":"Judith C."}],"issued":{"date-parts":[["2008",1,1]]},"citation-key":"mauderlyHealthEffectsOrganic2008"}},{"id":603,"uris":["http://zotero.org/groups/4584967/items/G7IKAQZ7"],"itemData":{"id":603,"type":"article-journal","abstract":"Aerosols are of central importance for atmospheric chemistry and physics, the biosphere, climate, and public health. The airborne solid and liquid particles in the nanometer to micrometer size range influence the energy balance of the Earth, the hydrological cycle, atmospheric circulation, and the abundance of greenhouse and reactive trace gases. Moreover, they play important roles in the reproduction of biological organisms and can cause or enhance diseases. The primary parameters that determine the environmental and health effects of aerosol particles are their concentration, size, structure, and chemical composition. These parameters, however, are spatially and temporally highly variable. The quantification and identification of biological particles and carbonaceous components of fine particulate matter in the air (organic compounds and black or elemental carbon, respectively) represent demanding analytical challenges. This Review outlines the current state of knowledge, major open questions, and research perspectives on the properties and interactions of atmospheric aerosols and their effects on climate and human health.","container-title":"Angewandte Chemie International Edition","DOI":"10.1002/anie.200501122","ISSN":"1521-3773","issue":"46","language":"en","license":"Copyright © 2005 WILEY-VCH Verlag GmbH &amp; Co. KGaA, Weinheim","note":"_eprint: https://onlinelibrary.wiley.com/doi/pdf/10.1002/anie.200501122","page":"7520-7540","source":"Wiley Online Library","title":"Atmospheric Aerosols: Composition, Transformation, Climate and Health Effects","title-short":"Atmospheric Aerosols","volume":"44","author":[{"family":"Pöschl","given":"Ulrich"}],"issued":{"date-parts":[["2005"]]},"citation-key":"poschlAtmosphericAerosolsComposition2005"}},{"id":636,"uris":["http://zotero.org/groups/4584967/items/XXFZY486"],"itemData":{"id":636,"type":"article-journal","abstract":"Ultrafine particles (PM0.1), which are present in the air in large numbers, pose a health risk. They generally enter the body through the lungs but translocate to essentially all organs. Compared to fine particles (PM2.5), they cause more pulmonary inflammation and are retained longer in the lung. Their toxicity is increased with smaller size, larger surface area, adsorbed surface material, and the physical characteristics of the particles. Exposure to PM0.1 induces cough and worsens asthma. Metal fume fever is a systemic disease of lung inflammation most likely caused by PM0.1. The disease is manifested by systemic symptoms hours after exposure to metal fumes, usually through welding. PM0.1 cause systemic inflammation, endothelial dysfunction, and coagulation changes that predispose individuals to ischemic cardiovascular disease and hypertension. PM0.1 are also linked to diabetes and cancer. PM0.1 can travel up the olfactory nerves to the brain and cause cerebral and autonomic dysfunction. Moreover, in utero exposure increases the risk of low birthweight. Although exposure is commonly attributed to traffic exhaust, monitored students in Ghana showed the highest exposures in a home near a trash burning site, in a bedroom with burning coils employed to abate mosquitos, in a home of an adult smoker, and in home kitchens during domestic cooking. The high point-source production and rapid redistribution make incidental exposure common, confound general population studies and are compounded by the lack of global standards and national reporting. The potential for PM0.1 to cause harm to health is great, but their precise role in many illnesses is still unknown and calls for more research.","container-title":"Experimental &amp; Molecular Medicine","DOI":"10.1038/s12276-020-0403-3","ISSN":"2092-6413","issue":"3","journalAbbreviation":"Exp Mol Med","language":"en","license":"2020 The Author(s)","note":"number: 3\npublisher: Nature Publishing Group","page":"311-317","source":"www.nature.com","title":"The health effects of ultrafine particles","volume":"52","author":[{"family":"Schraufnagel","given":"Dean E."}],"issued":{"date-parts":[["2020",3]]},"citation-key":"schraufnagelHealthEffectsUltrafine2020"}},{"id":167,"uris":["http://zotero.org/groups/4584967/items/69CAK6RT"],"itemData":{"id":167,"type":"article-journal","abstract":"Poor air quality is globally the largest environmental health risk. Epidemiological studies have uncovered clear relationships of gaseous pollutants and particulate matter (PM) with adverse health outcomes, including mortality by cardiovascular and respiratory diseases. Studies of health impacts by aerosols are highly multidisciplinary with a broad range of scales in space and time. We assess recent advances and future challenges regarding aerosol effects on health from molecular to global scales through epidemiological studies, field measurements, health-related properties of PM, and multiphase interactions of oxidants and PM upon respiratory deposition. Global modeling combined with epidemiological exposure-response functions indicates that ambient air pollution causes more than four million premature deaths per year. Epidemiological studies usually refer to PM mass concentrations, but some health effects may relate to specific constituents such as bioaerosols, polycyclic aromatic compounds, and transition metals. Various analytical techniques and cellular and molecular assays are applied to assess the redox activity of PM and the formation of reactive oxygen species. Multiphase chemical interactions of lung antioxidants with atmospheric pollutants are crucial to the mechanistic and molecular understanding of oxidative stress upon respiratory deposition. The role of distinct PM components in health impacts and mortality needs to be clarified by integrated research on various spatiotemporal scales for better evaluation and mitigation of aerosol effects on public health in the Anthropocene.","container-title":"Environmental Science &amp; Technology","DOI":"10.1021/acs.est.7b04417","ISSN":"0013-936X","issue":"23","journalAbbreviation":"Environ. Sci. Technol.","note":"publisher: American Chemical Society","page":"13545-13567","source":"ACS Publications","title":"Aerosol Health Effects from Molecular to Global Scales","volume":"51","author":[{"family":"Shiraiwa","given":"Manabu"},{"family":"Ueda","given":"Kayo"},{"family":"Pozzer","given":"Andrea"},{"family":"Lammel","given":"Gerhard"},{"family":"Kampf","given":"Christopher J."},{"family":"Fushimi","given":"Akihiro"},{"family":"Enami","given":"Shinichi"},{"family":"Arangio","given":"Andrea M."},{"family":"Fröhlich-Nowoisky","given":"Janine"},{"family":"Fujitani","given":"Yuji"},{"family":"Furuyama","given":"Akiko"},{"family":"Lakey","given":"Pascale S. J."},{"family":"Lelieveld","given":"Jos"},{"family":"Lucas","given":"Kurt"},{"family":"Morino","given":"Yu"},{"family":"Pöschl","given":"Ulrich"},{"family":"Takahama","given":"Satoshi"},{"family":"Takami","given":"Akinori"},{"family":"Tong","given":"Haijie"},{"family":"Weber","given":"Bettina"},{"family":"Yoshino","given":"Ayako"},{"family":"Sato","given":"Kei"}],"issued":{"date-parts":[["2017",12,5]]},"citation-key":"shiraiwaAerosolHealthEffects2017"}}],"schema":"https://github.com/citation-style-language/schema/raw/master/csl-citation.json"} </w:instrText>
      </w:r>
      <w:r w:rsidR="00BD64A3">
        <w:rPr>
          <w:rFonts w:eastAsia="Times New Roman" w:cs="Times New Roman"/>
          <w:color w:val="000000"/>
          <w:szCs w:val="24"/>
        </w:rPr>
        <w:fldChar w:fldCharType="separate"/>
      </w:r>
      <w:r w:rsidR="0052552C" w:rsidRPr="0052552C">
        <w:rPr>
          <w:rFonts w:cs="Times New Roman"/>
          <w:szCs w:val="24"/>
        </w:rPr>
        <w:t>(Anderson et al., 2020; I. M. Kennedy, 2007; Mauderly &amp; Chow, 2008; Pöschl, 2005; Schraufnagel, 2020; Shiraiwa et al., 2017)</w:t>
      </w:r>
      <w:r w:rsidR="00BD64A3">
        <w:rPr>
          <w:rFonts w:eastAsia="Times New Roman" w:cs="Times New Roman"/>
          <w:color w:val="000000"/>
          <w:szCs w:val="24"/>
        </w:rPr>
        <w:fldChar w:fldCharType="end"/>
      </w:r>
      <w:r w:rsidR="00D9219D" w:rsidRPr="00D9219D">
        <w:rPr>
          <w:rFonts w:eastAsia="Times New Roman" w:cs="Times New Roman"/>
          <w:color w:val="000000"/>
          <w:szCs w:val="24"/>
        </w:rPr>
        <w:t xml:space="preserve">. </w:t>
      </w:r>
      <w:r w:rsidR="002E09A1">
        <w:rPr>
          <w:rFonts w:eastAsia="Times New Roman" w:cs="Times New Roman"/>
          <w:color w:val="000000"/>
          <w:szCs w:val="24"/>
        </w:rPr>
        <w:t xml:space="preserve">This is </w:t>
      </w:r>
      <w:r w:rsidR="003D3565">
        <w:rPr>
          <w:rFonts w:eastAsia="Times New Roman" w:cs="Times New Roman"/>
          <w:color w:val="000000"/>
          <w:szCs w:val="24"/>
        </w:rPr>
        <w:t xml:space="preserve">because some aerosols are small enough to </w:t>
      </w:r>
      <w:r w:rsidR="006716E7">
        <w:rPr>
          <w:rFonts w:eastAsia="Times New Roman" w:cs="Times New Roman"/>
          <w:color w:val="000000"/>
          <w:szCs w:val="24"/>
        </w:rPr>
        <w:t xml:space="preserve">pass through the nasal passages and </w:t>
      </w:r>
      <w:r w:rsidR="00DF4E6A">
        <w:rPr>
          <w:rFonts w:eastAsia="Times New Roman" w:cs="Times New Roman"/>
          <w:color w:val="000000"/>
          <w:szCs w:val="24"/>
        </w:rPr>
        <w:t>into the lungs</w:t>
      </w:r>
      <w:r w:rsidR="006B74D7">
        <w:rPr>
          <w:rFonts w:eastAsia="Times New Roman" w:cs="Times New Roman"/>
          <w:color w:val="000000"/>
          <w:szCs w:val="24"/>
        </w:rPr>
        <w:t xml:space="preserve">, as shown in </w:t>
      </w:r>
      <w:r w:rsidR="006B74D7">
        <w:rPr>
          <w:rFonts w:eastAsia="Times New Roman" w:cs="Times New Roman"/>
          <w:color w:val="000000"/>
          <w:szCs w:val="24"/>
        </w:rPr>
        <w:fldChar w:fldCharType="begin"/>
      </w:r>
      <w:r w:rsidR="006B74D7">
        <w:rPr>
          <w:rFonts w:eastAsia="Times New Roman" w:cs="Times New Roman"/>
          <w:color w:val="000000"/>
          <w:szCs w:val="24"/>
        </w:rPr>
        <w:instrText xml:space="preserve"> REF _Ref158626352 \h </w:instrText>
      </w:r>
      <w:r w:rsidR="006B74D7">
        <w:rPr>
          <w:rFonts w:eastAsia="Times New Roman" w:cs="Times New Roman"/>
          <w:color w:val="000000"/>
          <w:szCs w:val="24"/>
        </w:rPr>
      </w:r>
      <w:r w:rsidR="006B74D7">
        <w:rPr>
          <w:rFonts w:eastAsia="Times New Roman" w:cs="Times New Roman"/>
          <w:color w:val="000000"/>
          <w:szCs w:val="24"/>
        </w:rPr>
        <w:fldChar w:fldCharType="separate"/>
      </w:r>
      <w:r w:rsidR="00C54A78" w:rsidRPr="00C86098">
        <w:t xml:space="preserve">Figure </w:t>
      </w:r>
      <w:r w:rsidR="00C54A78">
        <w:rPr>
          <w:noProof/>
        </w:rPr>
        <w:t>1</w:t>
      </w:r>
      <w:r w:rsidR="006B74D7">
        <w:rPr>
          <w:rFonts w:eastAsia="Times New Roman" w:cs="Times New Roman"/>
          <w:color w:val="000000"/>
          <w:szCs w:val="24"/>
        </w:rPr>
        <w:fldChar w:fldCharType="end"/>
      </w:r>
      <w:r w:rsidR="00DF4E6A">
        <w:rPr>
          <w:rFonts w:eastAsia="Times New Roman" w:cs="Times New Roman"/>
          <w:color w:val="000000"/>
          <w:szCs w:val="24"/>
        </w:rPr>
        <w:t>,</w:t>
      </w:r>
      <w:r w:rsidR="006A0EA0">
        <w:rPr>
          <w:rFonts w:eastAsia="Times New Roman" w:cs="Times New Roman"/>
          <w:color w:val="000000"/>
          <w:szCs w:val="24"/>
        </w:rPr>
        <w:t xml:space="preserve"> which can potentially </w:t>
      </w:r>
      <w:r w:rsidR="006A0EA0">
        <w:rPr>
          <w:rFonts w:eastAsia="Times New Roman" w:cs="Times New Roman"/>
          <w:color w:val="000000"/>
          <w:szCs w:val="24"/>
        </w:rPr>
        <w:lastRenderedPageBreak/>
        <w:t xml:space="preserve">lead to cardiovascular complications </w:t>
      </w:r>
      <w:r w:rsidR="006A0EA0">
        <w:rPr>
          <w:rFonts w:eastAsia="Times New Roman" w:cs="Times New Roman"/>
          <w:color w:val="000000"/>
          <w:szCs w:val="24"/>
        </w:rPr>
        <w:fldChar w:fldCharType="begin"/>
      </w:r>
      <w:r w:rsidR="00BB6527">
        <w:rPr>
          <w:rFonts w:eastAsia="Times New Roman" w:cs="Times New Roman"/>
          <w:color w:val="000000"/>
          <w:szCs w:val="24"/>
        </w:rPr>
        <w:instrText xml:space="preserve"> ADDIN ZOTERO_ITEM CSL_CITATION {"citationID":"2tCIN83b","properties":{"formattedCitation":"(K.-H. Kim et al., 2015)","plainCitation":"(K.-H. Kim et al., 2015)","dontUpdate":true,"noteIndex":0},"citationItems":[{"id":389,"uris":["http://zotero.org/groups/4584967/items/I7V9Z68J"],"itemData":{"id":389,"type":"article-journal","abstract":"Particulate matter (PM) is a key indicator of air pollution brought into the air by a variety of natural and human activities. As it can be suspended over long time and travel over long distances in the atmosphere, it can cause a wide range of diseases that lead to a significant reduction of human life. The size of particles has been directly linked to their potential for causing health problems. Small particles of concern include “inhalable coarse particles” with a diameter of 2.5 to 10μm and “fine particles” smaller than 2.5μm in diameter. As the source–effect relationship of PM remains unclear, it is not easy to define such effects from individual sources such as long-range transport of pollution. Because of the potent role of PM and its associated pollutants, detailed knowledge of their human health impacts is of primary importance. This paper summarizes the basic evidence on the health effects of particulate matter. An in-depth analysis is provided to address the implications for policy-makers so that more stringent strategies can be implemented to reduce air pollution and its health effects.","container-title":"Environment International","DOI":"10.1016/j.envint.2014.10.005","ISSN":"0160-4120","journalAbbreviation":"Environment International","language":"en","page":"136-143","source":"ScienceDirect","title":"A review on the human health impact of airborne particulate matter","volume":"74","author":[{"family":"Kim","given":"Ki-Hyun"},{"family":"Kabir","given":"Ehsanul"},{"family":"Kabir","given":"Shamin"}],"issued":{"date-parts":[["2015",1,1]]},"citation-key":"kimReviewHumanHealth2015"}}],"schema":"https://github.com/citation-style-language/schema/raw/master/csl-citation.json"} </w:instrText>
      </w:r>
      <w:r w:rsidR="006A0EA0">
        <w:rPr>
          <w:rFonts w:eastAsia="Times New Roman" w:cs="Times New Roman"/>
          <w:color w:val="000000"/>
          <w:szCs w:val="24"/>
        </w:rPr>
        <w:fldChar w:fldCharType="separate"/>
      </w:r>
      <w:r w:rsidR="006A0EA0" w:rsidRPr="006A0EA0">
        <w:rPr>
          <w:rFonts w:cs="Times New Roman"/>
        </w:rPr>
        <w:t>(Kim et al., 2015)</w:t>
      </w:r>
      <w:r w:rsidR="006A0EA0">
        <w:rPr>
          <w:rFonts w:eastAsia="Times New Roman" w:cs="Times New Roman"/>
          <w:color w:val="000000"/>
          <w:szCs w:val="24"/>
        </w:rPr>
        <w:fldChar w:fldCharType="end"/>
      </w:r>
      <w:r w:rsidR="00DF4E6A">
        <w:rPr>
          <w:rFonts w:eastAsia="Times New Roman" w:cs="Times New Roman"/>
          <w:color w:val="000000"/>
          <w:szCs w:val="24"/>
        </w:rPr>
        <w:t>.</w:t>
      </w:r>
      <w:r w:rsidR="007E6632">
        <w:rPr>
          <w:rFonts w:eastAsia="Times New Roman" w:cs="Times New Roman"/>
          <w:noProof/>
          <w:color w:val="000000"/>
          <w:szCs w:val="24"/>
        </w:rPr>
        <w:drawing>
          <wp:inline distT="0" distB="0" distL="0" distR="0" wp14:anchorId="3BED4736" wp14:editId="08007B29">
            <wp:extent cx="4850130" cy="4380865"/>
            <wp:effectExtent l="0" t="0" r="7620" b="635"/>
            <wp:docPr id="1139597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850130" cy="4380865"/>
                    </a:xfrm>
                    <a:prstGeom prst="rect">
                      <a:avLst/>
                    </a:prstGeom>
                    <a:noFill/>
                    <a:ln>
                      <a:noFill/>
                    </a:ln>
                  </pic:spPr>
                </pic:pic>
              </a:graphicData>
            </a:graphic>
          </wp:inline>
        </w:drawing>
      </w:r>
    </w:p>
    <w:p w14:paraId="5401AEE8" w14:textId="0DB85FAB" w:rsidR="00D9219D" w:rsidRPr="00C86098" w:rsidRDefault="00C86098" w:rsidP="00D52313">
      <w:pPr>
        <w:pStyle w:val="Caption"/>
        <w:rPr>
          <w:rFonts w:eastAsia="Times New Roman"/>
          <w:color w:val="000000"/>
        </w:rPr>
      </w:pPr>
      <w:bookmarkStart w:id="6" w:name="_Ref158626352"/>
      <w:bookmarkStart w:id="7" w:name="_Toc159825963"/>
      <w:r w:rsidRPr="00C86098">
        <w:t xml:space="preserve">Figure </w:t>
      </w:r>
      <w:r>
        <w:fldChar w:fldCharType="begin"/>
      </w:r>
      <w:r>
        <w:instrText xml:space="preserve"> SEQ Figure \* ARABIC </w:instrText>
      </w:r>
      <w:r>
        <w:fldChar w:fldCharType="separate"/>
      </w:r>
      <w:r w:rsidR="00C54A78">
        <w:rPr>
          <w:noProof/>
        </w:rPr>
        <w:t>1</w:t>
      </w:r>
      <w:r>
        <w:rPr>
          <w:noProof/>
        </w:rPr>
        <w:fldChar w:fldCharType="end"/>
      </w:r>
      <w:bookmarkEnd w:id="6"/>
      <w:r w:rsidRPr="00C86098">
        <w:t>: The size of aerosols, or particulate matter (PM), that can penetrate the human body</w:t>
      </w:r>
      <w:r>
        <w:t xml:space="preserve"> </w:t>
      </w:r>
      <w:r>
        <w:fldChar w:fldCharType="begin"/>
      </w:r>
      <w:r w:rsidR="00BB6527">
        <w:instrText xml:space="preserve"> ADDIN ZOTERO_ITEM CSL_CITATION {"citationID":"0pVSJ2fe","properties":{"formattedCitation":"(K.-H. Kim et al., 2015)","plainCitation":"(K.-H. Kim et al., 2015)","dontUpdate":true,"noteIndex":0},"citationItems":[{"id":389,"uris":["http://zotero.org/groups/4584967/items/I7V9Z68J"],"itemData":{"id":389,"type":"article-journal","abstract":"Particulate matter (PM) is a key indicator of air pollution brought into the air by a variety of natural and human activities. As it can be suspended over long time and travel over long distances in the atmosphere, it can cause a wide range of diseases that lead to a significant reduction of human life. The size of particles has been directly linked to their potential for causing health problems. Small particles of concern include “inhalable coarse particles” with a diameter of 2.5 to 10μm and “fine particles” smaller than 2.5μm in diameter. As the source–effect relationship of PM remains unclear, it is not easy to define such effects from individual sources such as long-range transport of pollution. Because of the potent role of PM and its associated pollutants, detailed knowledge of their human health impacts is of primary importance. This paper summarizes the basic evidence on the health effects of particulate matter. An in-depth analysis is provided to address the implications for policy-makers so that more stringent strategies can be implemented to reduce air pollution and its health effects.","container-title":"Environment International","DOI":"10.1016/j.envint.2014.10.005","ISSN":"0160-4120","journalAbbreviation":"Environment International","language":"en","page":"136-143","source":"ScienceDirect","title":"A review on the human health impact of airborne particulate matter","volume":"74","author":[{"family":"Kim","given":"Ki-Hyun"},{"family":"Kabir","given":"Ehsanul"},{"family":"Kabir","given":"Shamin"}],"issued":{"date-parts":[["2015",1,1]]},"citation-key":"kimReviewHumanHealth2015"}}],"schema":"https://github.com/citation-style-language/schema/raw/master/csl-citation.json"} </w:instrText>
      </w:r>
      <w:r>
        <w:fldChar w:fldCharType="separate"/>
      </w:r>
      <w:r w:rsidRPr="00C86098">
        <w:t>(Kim et al., 2015)</w:t>
      </w:r>
      <w:r>
        <w:fldChar w:fldCharType="end"/>
      </w:r>
      <w:r w:rsidRPr="00C86098">
        <w:t>.</w:t>
      </w:r>
      <w:bookmarkEnd w:id="7"/>
    </w:p>
    <w:p w14:paraId="704603F2" w14:textId="77C335CC" w:rsidR="00D9219D" w:rsidRDefault="006A7477" w:rsidP="00D9219D">
      <w:pPr>
        <w:spacing w:after="0"/>
        <w:ind w:firstLine="720"/>
        <w:rPr>
          <w:rFonts w:eastAsia="Times New Roman" w:cs="Times New Roman"/>
          <w:color w:val="000000"/>
          <w:szCs w:val="24"/>
        </w:rPr>
      </w:pPr>
      <w:r>
        <w:rPr>
          <w:rFonts w:eastAsia="Times New Roman" w:cs="Times New Roman"/>
          <w:color w:val="000000"/>
          <w:szCs w:val="24"/>
        </w:rPr>
        <w:t xml:space="preserve">One example of a </w:t>
      </w:r>
      <w:r w:rsidR="00BB39A7">
        <w:rPr>
          <w:rFonts w:eastAsia="Times New Roman" w:cs="Times New Roman"/>
          <w:color w:val="000000"/>
          <w:szCs w:val="24"/>
        </w:rPr>
        <w:t>source of aerosols with high societal impact is wildfires</w:t>
      </w:r>
      <w:r w:rsidR="00D9219D" w:rsidRPr="00D9219D">
        <w:rPr>
          <w:rFonts w:eastAsia="Times New Roman" w:cs="Times New Roman"/>
          <w:color w:val="000000"/>
          <w:szCs w:val="24"/>
        </w:rPr>
        <w:t xml:space="preserve">. In North America have been occurring more frequently and are common </w:t>
      </w:r>
      <w:r w:rsidR="00025864">
        <w:rPr>
          <w:rFonts w:eastAsia="Times New Roman" w:cs="Times New Roman"/>
          <w:color w:val="000000"/>
          <w:szCs w:val="24"/>
        </w:rPr>
        <w:t xml:space="preserve">in </w:t>
      </w:r>
      <w:r w:rsidR="00D9219D" w:rsidRPr="00D9219D">
        <w:rPr>
          <w:rFonts w:eastAsia="Times New Roman" w:cs="Times New Roman"/>
          <w:color w:val="000000"/>
          <w:szCs w:val="24"/>
        </w:rPr>
        <w:t xml:space="preserve">the </w:t>
      </w:r>
      <w:r w:rsidR="00971CD3">
        <w:rPr>
          <w:rFonts w:eastAsia="Times New Roman" w:cs="Times New Roman"/>
          <w:color w:val="000000"/>
          <w:szCs w:val="24"/>
        </w:rPr>
        <w:t xml:space="preserve">western U.S. </w:t>
      </w:r>
      <w:r w:rsidR="00D9219D" w:rsidRPr="00D9219D">
        <w:rPr>
          <w:rFonts w:eastAsia="Times New Roman" w:cs="Times New Roman"/>
          <w:color w:val="000000"/>
          <w:szCs w:val="24"/>
        </w:rPr>
        <w:t xml:space="preserve">during the </w:t>
      </w:r>
      <w:r w:rsidR="00025864">
        <w:rPr>
          <w:rFonts w:eastAsia="Times New Roman" w:cs="Times New Roman"/>
          <w:color w:val="000000"/>
          <w:szCs w:val="24"/>
        </w:rPr>
        <w:t>wildfire season (</w:t>
      </w:r>
      <w:r w:rsidR="00FC282E">
        <w:rPr>
          <w:rFonts w:eastAsia="Times New Roman" w:cs="Times New Roman"/>
          <w:color w:val="000000"/>
          <w:szCs w:val="24"/>
        </w:rPr>
        <w:t>summer and fall for the northern hemisphere)</w:t>
      </w:r>
      <w:r w:rsidR="00D9219D" w:rsidRPr="00D9219D">
        <w:rPr>
          <w:rFonts w:eastAsia="Times New Roman" w:cs="Times New Roman"/>
          <w:color w:val="000000"/>
          <w:szCs w:val="24"/>
        </w:rPr>
        <w:t xml:space="preserve"> </w:t>
      </w:r>
      <w:r w:rsidR="00926ADD">
        <w:rPr>
          <w:rFonts w:eastAsia="Times New Roman" w:cs="Times New Roman"/>
          <w:color w:val="000000"/>
          <w:szCs w:val="24"/>
        </w:rPr>
        <w:fldChar w:fldCharType="begin"/>
      </w:r>
      <w:r w:rsidR="00BB6527">
        <w:rPr>
          <w:rFonts w:eastAsia="Times New Roman" w:cs="Times New Roman"/>
          <w:color w:val="000000"/>
          <w:szCs w:val="24"/>
        </w:rPr>
        <w:instrText xml:space="preserve"> ADDIN ZOTERO_ITEM CSL_CITATION {"citationID":"1L5cm86r","properties":{"formattedCitation":"(Gonzalez-Alonso et al., 2019; Neale &amp; May, 2018; Peterson et al., 2014)","plainCitation":"(Gonzalez-Alonso et al., 2019; Neale &amp; May, 2018; Peterson et al., 2014)","noteIndex":0},"citationItems":[{"id":200,"uris":["http://zotero.org/groups/4584967/items/WKWBH6ID"],"itemData":{"id":200,"type":"article-journal","abstract":"&lt;p&gt;&lt;strong&gt;Abstract.&lt;/strong&gt; We characterise the vertical distribution of biomass-burning emissions across the Amazon during the biomass-burning season (July–November) with an extensive climatology of smoke plumes derived from MISR and MODIS (2005–2012) and CALIOP (2006–2012) observations. Smoke plume heights exhibit substantial variability, spanning a few hundred metres up to 6&amp;thinsp;km above the terrain. However, the majority of the smoke is located at altitudes below 2.5&amp;thinsp;km. About 60&amp;thinsp;% of smoke plumes are observed in drought years, 40&amp;thinsp;%–50&amp;thinsp;% at the peak month of the burning season (September) and 94&amp;thinsp;% over tropical forest and savanna regions, with respect to the total number of smoke plume observations. At the time of the MISR observations (10:00–11:00&amp;thinsp;LT), the highest plumes are detected over grassland fires (with an averaged maximum plume height of &lt;span class=\"inline-formula\"&gt;</w:instrText>
      </w:r>
      <w:r w:rsidR="00BB6527">
        <w:rPr>
          <w:rFonts w:ascii="Cambria Math" w:eastAsia="Times New Roman" w:hAnsi="Cambria Math" w:cs="Cambria Math"/>
          <w:color w:val="000000"/>
          <w:szCs w:val="24"/>
        </w:rPr>
        <w:instrText>∼</w:instrText>
      </w:r>
      <w:r w:rsidR="00BB6527">
        <w:rPr>
          <w:rFonts w:eastAsia="Times New Roman" w:cs="Times New Roman"/>
          <w:color w:val="000000"/>
          <w:szCs w:val="24"/>
        </w:rPr>
        <w:instrText>1100&lt;/span&gt;&amp;thinsp;m) and the lowest plumes occur over tropical forest fires (&lt;span class=\"inline-formula\"&gt;</w:instrText>
      </w:r>
      <w:r w:rsidR="00BB6527">
        <w:rPr>
          <w:rFonts w:ascii="Cambria Math" w:eastAsia="Times New Roman" w:hAnsi="Cambria Math" w:cs="Cambria Math"/>
          <w:color w:val="000000"/>
          <w:szCs w:val="24"/>
        </w:rPr>
        <w:instrText>∼</w:instrText>
      </w:r>
      <w:r w:rsidR="00BB6527">
        <w:rPr>
          <w:rFonts w:eastAsia="Times New Roman" w:cs="Times New Roman"/>
          <w:color w:val="000000"/>
          <w:szCs w:val="24"/>
        </w:rPr>
        <w:instrText xml:space="preserve">800&lt;/span&gt;&amp;thinsp;m). A similar pattern is found later in the day (14:00–15:00&amp;thinsp;LT) with CALIOP, although at higher altitudes (2300&amp;thinsp;m grassland vs. 2000&amp;thinsp;m tropical forest), as CALIOP typically detects smoke at higher altitudes due to its later overpass time, associated with a deeper planetary boundary layer, possibly more energetic fires, and greater sensitivity to thin aerosol layers. On average, 3&amp;thinsp;%–20&amp;thinsp;% of the fires inject smoke into the free troposphere; this percentage tends to increase toward the end of the burning season (November: 15&amp;thinsp;%–40&amp;thinsp;%). We find a well-defined seasonal cycle between MISR plume heights, MODIS fire radiative power and atmospheric stability across the main biomes of the Amazon, with higher smoke plumes, more intense fires and reduced atmospheric stability conditions toward the end of the burning season. Lower smoke plume heights are detected during drought (800&amp;thinsp;m) compared to non-drought (1100&amp;thinsp;m) conditions, in particular over tropical forest and savanna fires. Drought conditions favour understory fires over tropical forest, which tend to produce smouldering combustion and low smoke injection heights. Droughts also seem to favour deeper boundary layers and the percentage of smoke plumes that reach the free troposphere is lower during these dry conditions. Consistent with previous studies, the MISR mid-visible aerosol optical depth demonstrates that smoke makes a significant contribution to the total aerosol loading over the Amazon, which in combination with lower injection heights in drought periods has important implications for air quality. This work highlights the importance of biome type, fire properties and atmospheric and drought conditions for plume dynamics and smoke loading. In addition, our study demonstrates the value of combining observations of MISR and CALIOP constraints on the vertical distribution of smoke from biomass burning over the Amazon.&lt;/p&gt;","container-title":"Atmospheric Chemistry and Physics","DOI":"https://doi.org/10.5194/acp-19-1685-2019","ISSN":"1680-7316","issue":"3","language":"English","note":"publisher: Copernicus GmbH","page":"1685-1702","source":"www.atmos-chem-phys.net","title":"Biomass-burning smoke heights over the Amazon observed from space","volume":"19","author":[{"family":"Gonzalez-Alonso","given":"Laura"},{"family":"Val Martin","given":"Maria"},{"family":"Kahn","given":"Ralph A."}],"issued":{"date-parts":[["2019",2,8]]},"citation-key":"gonzalez-alonsoBiomassburningSmokeHeights2019"}},{"id":202,"uris":["http://zotero.org/groups/4584967/items/RIK9DEWU"],"itemData":{"id":202,"type":"article-journal","abstract":"The present context of escalating environmental risks places increased pressure and importance on our technical ability to predict and mitigate the potential consequences and occurrence of major natural hazards such as bushfire (or ‘wildfire’). Over the past decade, bushfire prediction in Australia, as in many other fire-prone countries, has increasingly come to involve both trained fire behaviour analysts and complex computer-based two-dimensional bushfire simulation models. During this transitional moment in bushfire management, there is a clear need to better understand the ways in which such predictive technologies and practitioners influence how we anticipate, encounter and manage this natural hazard and its effects. In this paper, the authors seek to prepare the ground for studies of the social dimensions of bushfire prediction by investigating how simulators and predictive practitioners have been mobilised and represented in Australia to date. The paper concludes by posing several questions that bushfire practitioners, policy-makers and researchers alike in Australia and elsewhere will need to address as our flammable future emerges.","container-title":"Environmental Hazards","DOI":"10.1080/17477891.2017.1410462","ISSN":"1747-7891","issue":"3","note":"publisher: Taylor &amp; Francis\n_eprint: https://doi.org/10.1080/17477891.2017.1410462","page":"200-218","source":"Taylor and Francis+NEJM","title":"Bushfire simulators and analysis in Australia: insights into an emerging sociotechnical practice","title-short":"Bushfire simulators and analysis in Australia","volume":"17","author":[{"family":"Neale","given":"Timothy"},{"family":"May","given":"Daniel"}],"issued":{"date-parts":[["2018",5,27]]},"citation-key":"nealeBushfireSimulatorsAnalysis2018"}},{"id":323,"uris":["http://zotero.org/groups/4584967/items/X6WA29ZA"],"itemData":{"id":323,"type":"article-journal","abstract":"AbstractThe 2013 Rim Fire, which burned over 104,000 ha, was one of the most severe fire events in California’s history, in terms of its rapid growth, intensity, overall size, and persistent smoke plume. At least two large pyrocumulonimbus (pyroCb) events were observed, allowing smoke particles to extend through the upper troposphere over a large portion of the Pacific Northwest. However, the most extreme fire spread was observed on days without pyroCb activity or significant regional convection. A diverse archive of ground, airborne, and satellite data collected during the Rim Fire provides a unique opportunity to examine the conditions required for both extreme spread events and pyroCb development. Results highlight the importance of upper-level and nocturnal meteorology, as well as the limitations of traditional fire weather indices. The Rim Fire dataset also allows for a detailed examination of conflicting hypotheses surrounding the primary source of moisture during pyroCb development. All pyroCbs were associated with conditions very similar to those that produce dry thunderstorms. The current suite of automated forecasting applications predict only general trends in fire behavior, and specifically do not predict 1) extreme fire spread events and 2) injection of smoke to high altitudes. While these two exceptions are related, analysis of the Rim Fire shows that they are not predicted by the same set of conditions and variables. The combination of numerical weather prediction data and satellite observations exhibits great potential for improving automated regional-scale forecasts of fire behavior and smoke emissions.","container-title":"Bulletin of the American Meteorological Society","DOI":"10.1175/BAMS-D-14-00060.1","ISSN":"0003-0007","issue":"2","journalAbbreviation":"Bull. Amer. Meteor. Soc.","page":"229-247","source":"journals.ametsoc.org (Atypon)","title":"The 2013 Rim Fire: Implications for Predicting Extreme Fire Spread, Pyroconvection, and Smoke Emissions","title-short":"The 2013 Rim Fire","volume":"96","author":[{"family":"Peterson","given":"David A."},{"family":"Hyer","given":"Edward J."},{"family":"Campbell","given":"James R."},{"family":"Fromm","given":"Michael D."},{"family":"Hair","given":"Johnathan W."},{"family":"Butler","given":"Carolyn F."},{"family":"Fenn","given":"Marta A."}],"issued":{"date-parts":[["2014",11,4]]},"citation-key":"peterson2013RimFire2014"}}],"schema":"https://github.com/citation-style-language/schema/raw/master/csl-citation.json"} </w:instrText>
      </w:r>
      <w:r w:rsidR="00926ADD">
        <w:rPr>
          <w:rFonts w:eastAsia="Times New Roman" w:cs="Times New Roman"/>
          <w:color w:val="000000"/>
          <w:szCs w:val="24"/>
        </w:rPr>
        <w:fldChar w:fldCharType="separate"/>
      </w:r>
      <w:r w:rsidR="00926ADD" w:rsidRPr="00926ADD">
        <w:rPr>
          <w:rFonts w:cs="Times New Roman"/>
        </w:rPr>
        <w:t>(Gonzalez-Alonso et al., 2019; Neale &amp; May, 2018; Peterson et al., 2014)</w:t>
      </w:r>
      <w:r w:rsidR="00926ADD">
        <w:rPr>
          <w:rFonts w:eastAsia="Times New Roman" w:cs="Times New Roman"/>
          <w:color w:val="000000"/>
          <w:szCs w:val="24"/>
        </w:rPr>
        <w:fldChar w:fldCharType="end"/>
      </w:r>
      <w:r w:rsidR="00D9219D" w:rsidRPr="00D9219D">
        <w:rPr>
          <w:rFonts w:eastAsia="Times New Roman" w:cs="Times New Roman"/>
          <w:color w:val="000000"/>
          <w:szCs w:val="24"/>
        </w:rPr>
        <w:t xml:space="preserve">. </w:t>
      </w:r>
      <w:r w:rsidR="00FC282E">
        <w:rPr>
          <w:rFonts w:eastAsia="Times New Roman" w:cs="Times New Roman"/>
          <w:color w:val="000000"/>
          <w:szCs w:val="24"/>
        </w:rPr>
        <w:t>An example of a wildfire</w:t>
      </w:r>
      <w:r w:rsidR="00E738C8">
        <w:rPr>
          <w:rFonts w:eastAsia="Times New Roman" w:cs="Times New Roman"/>
          <w:color w:val="000000"/>
          <w:szCs w:val="24"/>
        </w:rPr>
        <w:t xml:space="preserve"> with the </w:t>
      </w:r>
      <w:r w:rsidR="001D5B9B">
        <w:rPr>
          <w:rFonts w:eastAsia="Times New Roman" w:cs="Times New Roman"/>
          <w:color w:val="000000"/>
          <w:szCs w:val="24"/>
        </w:rPr>
        <w:t>resulting smoke plumes on September 5, 2017, is shown in Figure 2,</w:t>
      </w:r>
      <w:r w:rsidR="00FC282E">
        <w:rPr>
          <w:rFonts w:eastAsia="Times New Roman" w:cs="Times New Roman"/>
          <w:color w:val="000000"/>
          <w:szCs w:val="24"/>
        </w:rPr>
        <w:t xml:space="preserve"> with the location</w:t>
      </w:r>
      <w:r w:rsidR="00E738C8">
        <w:rPr>
          <w:rFonts w:eastAsia="Times New Roman" w:cs="Times New Roman"/>
          <w:color w:val="000000"/>
          <w:szCs w:val="24"/>
        </w:rPr>
        <w:t xml:space="preserve">s of the fire sources </w:t>
      </w:r>
      <w:r w:rsidR="007108C0">
        <w:rPr>
          <w:rFonts w:eastAsia="Times New Roman" w:cs="Times New Roman"/>
          <w:color w:val="000000"/>
          <w:szCs w:val="24"/>
        </w:rPr>
        <w:t xml:space="preserve">indicated using </w:t>
      </w:r>
      <w:r w:rsidR="00E738C8">
        <w:rPr>
          <w:rFonts w:eastAsia="Times New Roman" w:cs="Times New Roman"/>
          <w:color w:val="000000"/>
          <w:szCs w:val="24"/>
        </w:rPr>
        <w:t xml:space="preserve">orange dots. </w:t>
      </w:r>
      <w:r w:rsidR="00D9219D" w:rsidRPr="00D9219D">
        <w:rPr>
          <w:rFonts w:eastAsia="Times New Roman" w:cs="Times New Roman"/>
          <w:color w:val="000000"/>
          <w:szCs w:val="24"/>
        </w:rPr>
        <w:t>These wildfires have devastating effects on the people residing in or around the burn area</w:t>
      </w:r>
      <w:r w:rsidR="00A53A43">
        <w:rPr>
          <w:rFonts w:eastAsia="Times New Roman" w:cs="Times New Roman"/>
          <w:color w:val="000000"/>
          <w:szCs w:val="24"/>
        </w:rPr>
        <w:t>, destroying homes, businesses, and lives</w:t>
      </w:r>
      <w:r w:rsidR="00DF6D4B">
        <w:rPr>
          <w:rFonts w:eastAsia="Times New Roman" w:cs="Times New Roman"/>
          <w:color w:val="000000"/>
          <w:szCs w:val="24"/>
        </w:rPr>
        <w:t xml:space="preserve"> </w:t>
      </w:r>
      <w:r w:rsidR="00DF6D4B">
        <w:rPr>
          <w:rFonts w:eastAsia="Times New Roman" w:cs="Times New Roman"/>
          <w:color w:val="000000"/>
          <w:szCs w:val="24"/>
        </w:rPr>
        <w:fldChar w:fldCharType="begin"/>
      </w:r>
      <w:r w:rsidR="00BB6527">
        <w:rPr>
          <w:rFonts w:eastAsia="Times New Roman" w:cs="Times New Roman"/>
          <w:color w:val="000000"/>
          <w:szCs w:val="24"/>
        </w:rPr>
        <w:instrText xml:space="preserve"> ADDIN ZOTERO_ITEM CSL_CITATION {"citationID":"LeB1iblP","properties":{"formattedCitation":"(Kramer et al., 2019)","plainCitation":"(Kramer et al., 2019)","noteIndex":0},"citationItems":[{"id":629,"uris":["http://zotero.org/groups/4584967/items/Z3FQHD2M"],"itemData":{"id":629,"type":"article-journal","abstract":"Globally, and in the US, wildfires pose increasing risk to people and their homes. Wildfire management assumes that buildings burn primarily in the wildland–urban interface (WUI), where homes are either ignited directly (especially in intermix WUI areas, where houses and wildland fuels intermingle), or via firebrands, the main threat to buildings in the interface WUI (areas with minimal wildland fuel, yet close to dense wildland vegetation). However, even urban areas can succumb to wildfires. We examined where wildfire damages occur among urban, rural and WUI (intermix and interface) areas for approximately three decades in California (1985–2013). We found that interface WUI contained 50% of buildings destroyed by wildfire, whereas intermix WUI contained only 32%. The proportion of buildings destroyed by fires among classes was similar, though highest in interface WUI areas (15.6%). Our results demonstrate that the interface WUI is where most buildings were destroyed in California, despite less wildland fuel. Continued advancement of models, mitigation and regulations tailored for the interface WUI, both for California and elsewhere, will complement the prior focus on the intermix WUI.","container-title":"International Journal of Wildland Fire","DOI":"10.1071/WF18108","ISSN":"1448-5516","issue":"9","journalAbbreviation":"Int. J. Wildland Fire","language":"en","note":"publisher: CSIRO PUBLISHING","page":"641-650","source":"www.publish.csiro.au","title":"High wildfire damage in interface communities in California","volume":"28","author":[{"family":"Kramer","given":"Heather Anu"},{"family":"Mockrin","given":"Miranda H."},{"family":"Alexandre","given":"Patricia M."},{"family":"Radeloff","given":"Volker C."}],"issued":{"date-parts":[["2019",7,30]]},"citation-key":"kramerHighWildfireDamage2019"}}],"schema":"https://github.com/citation-style-language/schema/raw/master/csl-citation.json"} </w:instrText>
      </w:r>
      <w:r w:rsidR="00DF6D4B">
        <w:rPr>
          <w:rFonts w:eastAsia="Times New Roman" w:cs="Times New Roman"/>
          <w:color w:val="000000"/>
          <w:szCs w:val="24"/>
        </w:rPr>
        <w:fldChar w:fldCharType="separate"/>
      </w:r>
      <w:r w:rsidR="00DF6D4B" w:rsidRPr="00DF6D4B">
        <w:rPr>
          <w:rFonts w:cs="Times New Roman"/>
        </w:rPr>
        <w:t>(Kramer et al., 2019)</w:t>
      </w:r>
      <w:r w:rsidR="00DF6D4B">
        <w:rPr>
          <w:rFonts w:eastAsia="Times New Roman" w:cs="Times New Roman"/>
          <w:color w:val="000000"/>
          <w:szCs w:val="24"/>
        </w:rPr>
        <w:fldChar w:fldCharType="end"/>
      </w:r>
      <w:r w:rsidR="00687253">
        <w:rPr>
          <w:rFonts w:eastAsia="Times New Roman" w:cs="Times New Roman"/>
          <w:color w:val="000000"/>
          <w:szCs w:val="24"/>
        </w:rPr>
        <w:t>.</w:t>
      </w:r>
      <w:r w:rsidR="008E2724">
        <w:rPr>
          <w:rFonts w:eastAsia="Times New Roman" w:cs="Times New Roman"/>
          <w:color w:val="000000"/>
          <w:szCs w:val="24"/>
        </w:rPr>
        <w:t xml:space="preserve"> </w:t>
      </w:r>
      <w:r w:rsidR="00687253">
        <w:rPr>
          <w:rFonts w:eastAsia="Times New Roman" w:cs="Times New Roman"/>
          <w:color w:val="000000"/>
          <w:szCs w:val="24"/>
        </w:rPr>
        <w:t xml:space="preserve">The smoke generated from </w:t>
      </w:r>
      <w:r w:rsidR="008E2724">
        <w:rPr>
          <w:rFonts w:eastAsia="Times New Roman" w:cs="Times New Roman"/>
          <w:color w:val="000000"/>
          <w:szCs w:val="24"/>
        </w:rPr>
        <w:t>these fires can</w:t>
      </w:r>
      <w:r w:rsidR="00D9219D" w:rsidRPr="00D9219D">
        <w:rPr>
          <w:rFonts w:eastAsia="Times New Roman" w:cs="Times New Roman"/>
          <w:color w:val="000000"/>
          <w:szCs w:val="24"/>
        </w:rPr>
        <w:t xml:space="preserve"> be transported </w:t>
      </w:r>
      <w:r w:rsidR="008E2724">
        <w:rPr>
          <w:rFonts w:eastAsia="Times New Roman" w:cs="Times New Roman"/>
          <w:color w:val="000000"/>
          <w:szCs w:val="24"/>
        </w:rPr>
        <w:t xml:space="preserve">upstream and downwind </w:t>
      </w:r>
      <w:r w:rsidR="00D9219D" w:rsidRPr="00D9219D">
        <w:rPr>
          <w:rFonts w:eastAsia="Times New Roman" w:cs="Times New Roman"/>
          <w:color w:val="000000"/>
          <w:szCs w:val="24"/>
        </w:rPr>
        <w:t xml:space="preserve">over long distances </w:t>
      </w:r>
      <w:r w:rsidR="008E2724">
        <w:rPr>
          <w:rFonts w:eastAsia="Times New Roman" w:cs="Times New Roman"/>
          <w:color w:val="000000"/>
          <w:szCs w:val="24"/>
        </w:rPr>
        <w:t>(</w:t>
      </w:r>
      <w:r w:rsidR="00D9219D" w:rsidRPr="00D9219D">
        <w:rPr>
          <w:rFonts w:eastAsia="Times New Roman" w:cs="Times New Roman"/>
          <w:color w:val="000000"/>
          <w:szCs w:val="24"/>
        </w:rPr>
        <w:t>i.e., across the entire country</w:t>
      </w:r>
      <w:r w:rsidR="008E2724">
        <w:rPr>
          <w:rFonts w:eastAsia="Times New Roman" w:cs="Times New Roman"/>
          <w:color w:val="000000"/>
          <w:szCs w:val="24"/>
        </w:rPr>
        <w:t>)</w:t>
      </w:r>
      <w:r w:rsidR="00251073">
        <w:rPr>
          <w:rFonts w:eastAsia="Times New Roman" w:cs="Times New Roman"/>
          <w:color w:val="000000"/>
          <w:szCs w:val="24"/>
        </w:rPr>
        <w:t xml:space="preserve">, </w:t>
      </w:r>
      <w:r w:rsidR="00C54A75">
        <w:rPr>
          <w:rFonts w:eastAsia="Times New Roman" w:cs="Times New Roman"/>
          <w:color w:val="000000"/>
          <w:szCs w:val="24"/>
        </w:rPr>
        <w:t>causing damaging health</w:t>
      </w:r>
      <w:r w:rsidR="00EA7E3C">
        <w:rPr>
          <w:rFonts w:eastAsia="Times New Roman" w:cs="Times New Roman"/>
          <w:color w:val="000000"/>
          <w:szCs w:val="24"/>
        </w:rPr>
        <w:t xml:space="preserve">, environmental, and </w:t>
      </w:r>
      <w:r w:rsidR="00C54A75">
        <w:rPr>
          <w:rFonts w:eastAsia="Times New Roman" w:cs="Times New Roman"/>
          <w:color w:val="000000"/>
          <w:szCs w:val="24"/>
        </w:rPr>
        <w:t xml:space="preserve">economic </w:t>
      </w:r>
      <w:r w:rsidR="00EA7E3C">
        <w:rPr>
          <w:rFonts w:eastAsia="Times New Roman" w:cs="Times New Roman"/>
          <w:color w:val="000000"/>
          <w:szCs w:val="24"/>
        </w:rPr>
        <w:t>damage</w:t>
      </w:r>
      <w:r w:rsidR="00C54A75">
        <w:rPr>
          <w:rFonts w:eastAsia="Times New Roman" w:cs="Times New Roman"/>
          <w:color w:val="000000"/>
          <w:szCs w:val="24"/>
        </w:rPr>
        <w:t xml:space="preserve"> </w:t>
      </w:r>
      <w:r w:rsidR="00C54A75">
        <w:rPr>
          <w:rFonts w:eastAsia="Times New Roman" w:cs="Times New Roman"/>
          <w:color w:val="000000"/>
          <w:szCs w:val="24"/>
        </w:rPr>
        <w:lastRenderedPageBreak/>
        <w:fldChar w:fldCharType="begin"/>
      </w:r>
      <w:r w:rsidR="00BB6527">
        <w:rPr>
          <w:rFonts w:eastAsia="Times New Roman" w:cs="Times New Roman"/>
          <w:color w:val="000000"/>
          <w:szCs w:val="24"/>
        </w:rPr>
        <w:instrText xml:space="preserve"> ADDIN ZOTERO_ITEM CSL_CITATION {"citationID":"1Ygkfj8V","properties":{"formattedCitation":"(Alman et al., 2016; Lim et al., 2012; Shuman et al., 2022; Wu et al., 2018)","plainCitation":"(Alman et al., 2016; Lim et al., 2012; Shuman et al., 2022; Wu et al., 2018)","noteIndex":0},"citationItems":[{"id":324,"uris":["http://zotero.org/groups/4584967/items/R8HKKVCK"],"itemData":{"id":324,"type":"article-journal","abstract":"In 2012, Colorado experienced one of its worst wildfire seasons of the past decade. The goal of this study was to investigate the relationship of local PM2.5 levels, modeled using the Weather Research and Forecasting Model with Chemistry, with emergency department visits and acute hospitalizations for respiratory and cardiovascular outcomes during the 2012 Colorado wildfires.","container-title":"Environmental Health","DOI":"10.1186/s12940-016-0146-8","ISSN":"1476-069X","journalAbbreviation":"Environmental Health","page":"64","source":"BioMed Central","title":"The association of wildfire smoke with respiratory and cardiovascular emergency department visits in Colorado in 2012: a case crossover study","title-short":"The association of wildfire smoke with respiratory and cardiovascular emergency department visits in Colorado in 2012","volume":"15","author":[{"family":"Alman","given":"Breanna L."},{"family":"Pfister","given":"Gabriele"},{"family":"Hao","given":"Hua"},{"family":"Stowell","given":"Jennifer"},{"family":"Hu","given":"Xuefei"},{"family":"Liu","given":"Yang"},{"family":"Strickland","given":"Matthew J."}],"issued":{"date-parts":[["2016"]]},"citation-key":"almanAssociationWildfireSmoke2016"}},{"id":182,"uris":["http://zotero.org/groups/4584967/items/VBHZ58P2"],"itemData":{"id":182,"type":"article-journal","abstract":"SummaryBackground\nQuantification of the disease burden caused by different risks informs prevention by providing an account of health loss different to that provided by a disease-by-disease analysis. No complete revision of global disease burden caused by risk factors has been done since a comparative risk assessment in 2000, and no previous analysis has assessed changes in burden attributable to risk factors over time.\nMethods\nWe estimated deaths and disability-adjusted life years (DALYs; sum of years lived with disability [YLD] and years of life lost [YLL]) attributable to the independent effects of 67 risk factors and clusters of risk factors for 21 regions in 1990 and 2010. We estimated exposure distributions for each year, region, sex, and age group, and relative risks per unit of exposure by systematically reviewing and synthesising published and unpublished data. We used these estimates, together with estimates of cause-specific deaths and DALYs from the Global Burden of Disease Study 2010, to calculate the burden attributable to each risk factor exposure compared with the theoretical-minimum-risk exposure. We incorporated uncertainty in disease burden, relative risks, and exposures into our estimates of attributable burden.\nFindings\nIn 2010, the three leading risk factors for global disease burden were high blood pressure (7·0% [95% uncertainty interval 6·2–7·7] of global DALYs), tobacco smoking including second-hand smoke (6·3% [5·5–7·0]), and household air pollution from solid fuels (4·3% [3·4–5·3]). In 1990, the leading risks were childhood underweight (7·9% [6·8–9·4]), household air pollution from solid fuels (HAP; 6·8% [5·5–8·0]), and tobacco smoking including second-hand smoke (6·1% [5·4–6·8]). Dietary risk factors and physical inactivity collectively accounted for 10·0% (95% UI 9·2–10·8) of global DALYs in 2010, with the most prominent dietary risks being diets low in fruits and those high in sodium. Several risks that primarily affect childhood communicable diseases, including unimproved water and sanitation and childhood micronutrient deficiencies, fell in rank between 1990 and 2010, with unimproved water and sanitation accounting for 0·9% (0·4–1·6) of global DALYs in 2010. However, in most of sub-Saharan Africa childhood underweight, HAP, and non-exclusive and discontinued breastfeeding were the leading risks in 2010, while HAP was the leading risk in south Asia. The leading risk factor in Eastern Europe, Andean Latin America, and southern sub-Saharan Africa in 2010 was alcohol use; in most of Asia, most of Latin America, North Africa and Middle East, and central Europe it was high blood pressure. Despite declines, tobacco smoking including second-hand smoke remained the leading risk in high-income north America and western Europe. High body-mass index has increased globally and it is the leading risk in Australasia and southern Latin America, and also ranks high in other high-income regions, North Africa and Middle East, and Oceania.\nInterpretation\nWorldwide, the contribution of different risk factors to disease burden has changed substantially, with a shift away from risks for communicable diseases in children towards those for non-communicable diseases in adults. These changes are related to the ageing population, decreased mortality among children younger than 5 years, changes in cause-of-death composition, and changes in risk factor exposures. New evidence has led to changes in the magnitude of key risks including unimproved water and sanitation, vitamin A and zinc deficiencies, and ambient particulate matter pollution. The extent to which the epidemiological shift has occurred and what the leading risks currently are varies greatly across regions. In much of sub-Saharan Africa, the leading risks are still those associated with poverty and those that affect children.\nFunding\nBill &amp;amp; Melinda Gates Foundation.","container-title":"The Lancet","DOI":"10.1016/S0140-6736(12)61766-8","ISSN":"0140-6736","issue":"9859","journalAbbreviation":"The Lancet","page":"2224-2260","source":"ScienceDirect","title":"A comparative risk assessment of burden of disease and injury attributable to 67 risk factors and risk factor clusters in 21 regions, 1990–2010: a systematic analysis for the Global Burden of Disease Study 2010","title-short":"A comparative risk assessment of burden of disease and injury attributable to 67 risk factors and risk factor clusters in 21 regions, 1990–2010","volume":"380","author":[{"family":"Lim","given":"Stephen S"},{"family":"Vos","given":"Theo"},{"family":"Flaxman","given":"Abraham D"},{"family":"Danaei","given":"Goodarz"},{"family":"Shibuya","given":"Kenji"},{"family":"Adair-Rohani","given":"Heather"},{"family":"AlMazroa","given":"Mohammad A"},{"family":"Amann","given":"Markus"},{"family":"Anderson","given":"H Ross"},{"family":"Andrews","given":"Kathryn G"},{"family":"Aryee","given":"Martin"},{"family":"Atkinson","given":"Charles"},{"family":"Bacchus","given":"Loraine J"},{"family":"Bahalim","given":"Adil N"},{"family":"Balakrishnan","given":"Kalpana"},{"family":"Balmes","given":"John"},{"family":"Barker-Collo","given":"Suzanne"},{"family":"Baxter","given":"Amanda"},{"family":"Bell","given":"Michelle L"},{"family":"Blore","given":"Jed D"},{"family":"Blyth","given":"Fiona"},{"family":"Bonner","given":"Carissa"},{"family":"Borges","given":"Guilherme"},{"family":"Bourne","given":"Rupert"},{"family":"Boussinesq","given":"Michel"},{"family":"Brauer","given":"Michael"},{"family":"Brooks","given":"Peter"},{"family":"Bruce","given":"Nigel G"},{"family":"Brunekreef","given":"Bert"},{"family":"Bryan-Hancock","given":"Claire"},{"family":"Bucello","given":"Chiara"},{"family":"Buchbinder","given":"Rachelle"},{"family":"Bull","given":"Fiona"},{"family":"Burnett","given":"Richard T"},{"family":"Byers","given":"Tim E"},{"family":"Calabria","given":"Bianca"},{"family":"Carapetis","given":"Jonathan"},{"family":"Carnahan","given":"Emily"},{"family":"Chafe","given":"Zoe"},{"family":"Charlson","given":"Fiona"},{"family":"Chen","given":"Honglei"},{"family":"Chen","given":"Jian Shen"},{"family":"Cheng","given":"Andrew Tai-Ann"},{"family":"Child","given":"Jennifer Christine"},{"family":"Cohen","given":"Aaron"},{"family":"Colson","given":"K Ellicott"},{"family":"Cowie","given":"Benjamin C"},{"family":"Darby","given":"Sarah"},{"family":"Darling","given":"Susan"},{"family":"Davis","given":"Adrian"},{"family":"Degenhardt","given":"Louisa"},{"family":"Dentener","given":"Frank"},{"family":"Des Jarlais","given":"Don C"},{"family":"Devries","given":"Karen"},{"family":"Dherani","given":"Mukesh"},{"family":"Ding","given":"Eric L"},{"family":"Dorsey","given":"E Ray"},{"family":"Driscoll","given":"Tim"},{"family":"Edmond","given":"Karen"},{"family":"Ali","given":"Suad Eltahir"},{"family":"Engell","given":"Rebecca E"},{"family":"Erwin","given":"Patricia J"},{"family":"Fahimi","given":"Saman"},{"family":"Falder","given":"Gail"},{"family":"Farzadfar","given":"Farshad"},{"family":"Ferrari","given":"Alize"},{"family":"Finucane","given":"Mariel M"},{"family":"Flaxman","given":"Seth"},{"family":"Fowkes","given":"Francis Gerry R"},{"family":"Freedman","given":"Greg"},{"family":"Freeman","given":"Michael K"},{"family":"Gakidou","given":"Emmanuela"},{"family":"Ghosh","given":"Santu"},{"family":"Giovannucci","given":"Edward"},{"family":"Gmel","given":"Gerhard"},{"family":"Graham","given":"Kathryn"},{"family":"Grainger","given":"Rebecca"},{"family":"Grant","given":"Bridget"},{"family":"Gunnell","given":"David"},{"family":"Gutierrez","given":"Hialy R"},{"family":"Hall","given":"Wayne"},{"family":"Hoek","given":"Hans W"},{"family":"Hogan","given":"Anthony"},{"family":"Hosgood III","given":"H Dean"},{"family":"Hoy","given":"Damian"},{"family":"Hu","given":"Howard"},{"family":"Hubbell","given":"Bryan J"},{"family":"Hutchings","given":"Sally J"},{"family":"Ibeanusi","given":"Sydney E"},{"family":"Jacklyn","given":"Gemma L"},{"family":"Jasrasaria","given":"Rashmi"},{"family":"Jonas","given":"Jost B"},{"family":"Kan","given":"Haidong"},{"family":"Kanis","given":"John A"},{"family":"Kassebaum","given":"Nicholas"},{"family":"Kawakami","given":"Norito"},{"family":"Khang","given":"Young-Ho"},{"family":"Khatibzadeh","given":"Shahab"},{"family":"Khoo","given":"Jon-Paul"},{"family":"Kok","given":"Cindy"},{"family":"Laden","given":"Francine"},{"family":"Lalloo","given":"Ratilal"},{"family":"Lan","given":"Qing"},{"family":"Lathlean","given":"Tim"},{"family":"Leasher","given":"Janet L"},{"family":"Leigh","given":"James"},{"family":"Li","given":"Yang"},{"family":"Lin","given":"John Kent"},{"family":"Lipshultz","given":"Steven E"},{"family":"London","given":"Stephanie"},{"family":"Lozano","given":"Rafael"},{"family":"Lu","given":"Yuan"},{"family":"Mak","given":"Joelle"},{"family":"Malekzadeh","given":"Reza"},{"family":"Mallinger","given":"Leslie"},{"family":"Marcenes","given":"Wagner"},{"family":"March","given":"Lyn"},{"family":"Marks","given":"Robin"},{"family":"Martin","given":"Randall"},{"family":"McGale","given":"Paul"},{"family":"McGrath","given":"John"},{"family":"Mehta","given":"Sumi"},{"family":"Memish","given":"Ziad A"},{"family":"Mensah","given":"George A"},{"family":"Merriman","given":"Tony R"},{"family":"Micha","given":"Renata"},{"family":"Michaud","given":"Catherine"},{"family":"Mishra","given":"Vinod"},{"family":"Hanafiah","given":"Khayriyyah Mohd"},{"family":"Mokdad","given":"Ali A"},{"family":"Morawska","given":"Lidia"},{"family":"Mozaffarian","given":"Dariush"},{"family":"Murphy","given":"Tasha"},{"family":"Naghavi","given":"Mohsen"},{"family":"Neal","given":"Bruce"},{"family":"Nelson","given":"Paul K"},{"family":"Nolla","given":"Joan Miquel"},{"family":"Norman","given":"Rosana"},{"family":"Olives","given":"Casey"},{"family":"Omer","given":"Saad B"},{"family":"Orchard","given":"Jessica"},{"family":"Osborne","given":"Richard"},{"family":"Ostro","given":"Bart"},{"family":"Page","given":"Andrew"},{"family":"Pandey","given":"Kiran D"},{"family":"Parry","given":"Charles DH"},{"family":"Passmore","given":"Erin"},{"family":"Patra","given":"Jayadeep"},{"family":"Pearce","given":"Neil"},{"family":"Pelizzari","given":"Pamela M"},{"family":"Petzold","given":"Max"},{"family":"Phillips","given":"Michael R"},{"family":"Pope","given":"Dan"},{"family":"Pope III","given":"C Arden"},{"family":"Powles","given":"John"},{"family":"Rao","given":"Mayuree"},{"family":"Razavi","given":"Homie"},{"family":"Rehfuess","given":"Eva A"},{"family":"Rehm","given":"Jürgen T"},{"family":"Ritz","given":"Beate"},{"family":"Rivara","given":"Frederick P"},{"family":"Roberts","given":"Thomas"},{"family":"Robinson","given":"Carolyn"},{"family":"Rodriguez-Portales","given":"Jose A"},{"family":"Romieu","given":"Isabelle"},{"family":"Room","given":"Robin"},{"family":"Rosenfeld","given":"Lisa C"},{"family":"Roy","given":"Ananya"},{"family":"Rushton","given":"Lesley"},{"family":"Salomon","given":"Joshua A"},{"family":"Sampson","given":"Uchechukwu"},{"family":"Sanchez-Riera","given":"Lidia"},{"family":"Sanman","given":"Ella"},{"family":"Sapkota","given":"Amir"},{"family":"Seedat","given":"Soraya"},{"family":"Shi","given":"Peilin"},{"family":"Shield","given":"Kevin"},{"family":"Shivakoti","given":"Rupak"},{"family":"Singh","given":"Gitanjali M"},{"family":"Sleet","given":"David A"},{"family":"Smith","given":"Emma"},{"family":"Smith","given":"Kirk R"},{"family":"Stapelberg","given":"Nicolas JC"},{"family":"Steenland","given":"Kyle"},{"family":"Stöckl","given":"Heidi"},{"family":"Stovner","given":"Lars Jacob"},{"family":"Straif","given":"Kurt"},{"family":"Straney","given":"Lahn"},{"family":"Thurston","given":"George D"},{"family":"Tran","given":"Jimmy H"},{"family":"Van Dingenen","given":"Rita"},{"family":"Donkelaar","given":"Aaron","non-dropping-particle":"van"},{"family":"Veerman","given":"J Lennert"},{"family":"Vijayakumar","given":"Lakshmi"},{"family":"Weintraub","given":"Robert"},{"family":"Weissman","given":"Myrna M"},{"family":"White","given":"Richard A"},{"family":"Whiteford","given":"Harvey"},{"family":"Wiersma","given":"Steven T"},{"family":"Wilkinson","given":"James D"},{"family":"Williams","given":"Hywel C"},{"family":"Williams","given":"Warwick"},{"family":"Wilson","given":"Nicholas"},{"family":"Woolf","given":"Anthony D"},{"family":"Yip","given":"Paul"},{"family":"Zielinski","given":"Jan M"},{"family":"Lopez","given":"Alan D"},{"family":"Murray","given":"Christopher JL"},{"family":"Ezzati","given":"Majid"}],"issued":{"date-parts":[["2012"]],"season":"Diciembre"},"citation-key":"limComparativeRiskAssessment2012"}},{"id":628,"uris":["http://zotero.org/groups/4584967/items/H2D4C5QM"],"itemData":{"id":628,"type":"article-journal","abstract":"Fire is an integral component of ecosystems globally and a tool that humans have harnessed for millennia. Altered fire regimes are a fundamental cause and consequence of global change, impacting people and the biophysical systems on which they depend. As part of the newly emerging Anthropocene, marked by human-caused climate change and radical changes to ecosystems, fire danger is increasing, and fires are having increasingly devastating impacts on human health, infrastructure, and ecosystem services. Increasing fire danger is a vexing problem that requires deep transdisciplinary, trans-sector, and inclusive partnerships to address. Here, we outline barriers and opportunities in the next generation of fire science and provide guidance for investment in future research. We synthesize insights needed to better address the long-standing challenges of innovation across disciplines to (i) promote coordinated research efforts; (ii) embrace different ways of knowing and knowledge generation; (iii) promote exploration of fundamental science; (iv) capitalize on the “firehose” of data for societal benefit; and (v) integrate human and natural systems into models across multiple scales. Fire science is thus at a critical transitional moment. We need to shift from observation and modeled representations of varying components of climate, people, vegetation, and fire to more integrative and predictive approaches that support pathways toward mitigating and adapting to our increasingly flammable world, including the utilization of fire for human safety and benefit. Only through overcoming institutional silos and accessing knowledge across diverse communities can we effectively undertake research that improves outcomes in our more fiery future.","container-title":"PNAS Nexus","DOI":"10.1093/pnasnexus/pgac115","ISSN":"2752-6542","issue":"3","journalAbbreviation":"PNAS Nexus","page":"pgac115","source":"Silverchair","title":"Reimagine fire science for the anthropocene","volume":"1","author":[{"family":"Shuman","given":"Jacquelyn K"},{"family":"Balch","given":"Jennifer K"},{"family":"Barnes","given":"Rebecca T"},{"family":"Higuera","given":"Philip E"},{"family":"Roos","given":"Christopher I"},{"family":"Schwilk","given":"Dylan W"},{"family":"Stavros","given":"E Natasha"},{"family":"Banerjee","given":"Tirtha"},{"family":"Bela","given":"Megan M"},{"family":"Bendix","given":"Jacob"},{"family":"Bertolino","given":"Sandro"},{"family":"Bililign","given":"Solomon"},{"family":"Bladon","given":"Kevin D"},{"family":"Brando","given":"Paulo"},{"family":"Breidenthal","given":"Robert E"},{"family":"Buma","given":"Brian"},{"family":"Calhoun","given":"Donna"},{"family":"Carvalho","given":"Leila M V"},{"family":"Cattau","given":"Megan E"},{"family":"Cawley","given":"Kaelin M"},{"family":"Chandra","given":"Sudeep"},{"family":"Chipman","given":"Melissa L"},{"family":"Cobian-Iñiguez","given":"Jeanette"},{"family":"Conlisk","given":"Erin"},{"family":"Coop","given":"Jonathan D"},{"family":"Cullen","given":"Alison"},{"family":"Davis","given":"Kimberley T"},{"family":"Dayalu","given":"Archana"},{"family":"De Sales","given":"Fernando"},{"family":"Dolman","given":"Megan"},{"family":"Ellsworth","given":"Lisa M"},{"family":"Franklin","given":"Scott"},{"family":"Guiterman","given":"Christopher H"},{"family":"Hamilton","given":"Matthew"},{"family":"Hanan","given":"Erin J"},{"family":"Hansen","given":"Winslow D"},{"family":"Hantson","given":"Stijn"},{"family":"Harvey","given":"Brian J"},{"family":"Holz","given":"Andrés"},{"family":"Huang","given":"Tao"},{"family":"Hurteau","given":"Matthew D"},{"family":"Ilangakoon","given":"Nayani T"},{"family":"Jennings","given":"Megan"},{"family":"Jones","given":"Charles"},{"family":"Klimaszewski-Patterson","given":"Anna"},{"family":"Kobziar","given":"Leda N"},{"family":"Kominoski","given":"John"},{"family":"Kosovic","given":"Branko"},{"family":"Krawchuk","given":"Meg A"},{"family":"Laris","given":"Paul"},{"family":"Leonard","given":"Jackson"},{"family":"Loria-Salazar","given":"S Marcela"},{"family":"Lucash","given":"Melissa"},{"family":"Mahmoud","given":"Hussam"},{"family":"Margolis","given":"Ellis"},{"family":"Maxwell","given":"Toby"},{"family":"McCarty","given":"Jessica L"},{"family":"McWethy","given":"David B"},{"family":"Meyer","given":"Rachel S"},{"family":"Miesel","given":"Jessica R"},{"family":"Moser","given":"W Keith"},{"family":"Nagy","given":"R Chelsea"},{"family":"Niyogi","given":"Dev"},{"family":"Palmer","given":"Hannah M"},{"family":"Pellegrini","given":"Adam"},{"family":"Poulter","given":"Benjamin"},{"family":"Robertson","given":"Kevin"},{"family":"Rocha","given":"Adrian V"},{"family":"Sadegh","given":"Mojtaba"},{"family":"Santos","given":"Fernanda"},{"family":"Scordo","given":"Facundo"},{"family":"Sexton","given":"Joseph O"},{"family":"Sharma","given":"A Surjalal"},{"family":"Smith","given":"Alistair M S"},{"family":"Soja","given":"Amber J"},{"family":"Still","given":"Christopher"},{"family":"Swetnam","given":"Tyson"},{"family":"Syphard","given":"Alexandra D"},{"family":"Tingley","given":"Morgan W"},{"family":"Tohidi","given":"Ali"},{"family":"Trugman","given":"Anna T"},{"family":"Turetsky","given":"Merritt"},{"family":"Varner","given":"J Morgan"},{"family":"Wang","given":"Yuhang"},{"family":"Whitman","given":"Thea"},{"family":"Yelenik","given":"Stephanie"},{"family":"Zhang","given":"Xuan"}],"issued":{"date-parts":[["2022",7,1]]},"citation-key":"shumanReimagineFireScience2022"}},{"id":630,"uris":["http://zotero.org/groups/4584967/items/2Y6LDGHR"],"itemData":{"id":630,"type":"article-journal","abstract":"The wildfires in Fort McMurray of Alberta, Canada, injected large amounts of smoke aerosols in May 2016 and were identified as being one of Canada's major weather events of the year. This paper presents a synergistic remote sensing and in-situ measurement of the resultant smoke plume transport, optical properties, and its impacts on local air quality in New York City (NYC). Comparisons with the operational air quality model forecast (the NOAA National Air Quality Forecasting Capability, NAQFC) performance are presented. The aloft plume intrusions on May 9–13 and 25–29, 2016, and their mixing down into the planetary-boundary layer (PBL) were observed by a combined lidar, ceilometer and other measurement. A decrease in single-scattering albedo and absorption Angstrom exponent near one indicates that the plumes were absorbing aerosol dominated. Dramatic impacts of smoke transport on the ground air quality are demonstrated with a coincident increase of ground PM2.5 (from 5- to 25–30 μg/m3) in NYC urban and upwind rural area, enhancement of the PM2.5 speciation (organic carbon, elemental carbon, potassium ion (K+)) and the ozone exceedance of NAAQS. Using the satellite and model product, we show regional spatial distribution of smoke, multiple transport paths and wildfire sources. Finally, with the lidar vertical profiling observations, we evaluate the model PBL-height (PBLH) and PM2.5 during May 24th to 30th, 2016. The model PBLH shows consistent diurnal variation with the observed mixing layer height (MLH), but is clearly overestimated during the convective daytime hours. On the other hand, when estimating the MLH directly from the model PM2.5 profile, better agreement with observation was indicated. This helps explain the good agreement between the model PM2.5 and surface measurements except for the model overestimate during the morning of May 25 and 26, 2016.","container-title":"Atmospheric Environment","DOI":"10.1016/j.atmosenv.2018.06.006","ISSN":"1352-2310","journalAbbreviation":"Atmospheric Environment","page":"266-281","source":"ScienceDirect","title":"Intra-continental wildfire smoke transport and impact on local air quality observed by ground-based and satellite remote sensing in New York City","volume":"187","author":[{"family":"Wu","given":"Yonghua"},{"family":"Arapi","given":"Anjeza"},{"family":"Huang","given":"Jianping"},{"family":"Gross","given":"Barry"},{"family":"Moshary","given":"Fred"}],"issued":{"date-parts":[["2018",8,1]]},"citation-key":"wuIntracontinentalWildfireSmoke2018"}}],"schema":"https://github.com/citation-style-language/schema/raw/master/csl-citation.json"} </w:instrText>
      </w:r>
      <w:r w:rsidR="00C54A75">
        <w:rPr>
          <w:rFonts w:eastAsia="Times New Roman" w:cs="Times New Roman"/>
          <w:color w:val="000000"/>
          <w:szCs w:val="24"/>
        </w:rPr>
        <w:fldChar w:fldCharType="separate"/>
      </w:r>
      <w:r w:rsidR="00EA7E3C" w:rsidRPr="00EA7E3C">
        <w:rPr>
          <w:rFonts w:cs="Times New Roman"/>
        </w:rPr>
        <w:t>(Alman et al., 2016; Lim et al., 2012; Shuman et al., 2022; Wu et al., 2018)</w:t>
      </w:r>
      <w:r w:rsidR="00C54A75">
        <w:rPr>
          <w:rFonts w:eastAsia="Times New Roman" w:cs="Times New Roman"/>
          <w:color w:val="000000"/>
          <w:szCs w:val="24"/>
        </w:rPr>
        <w:fldChar w:fldCharType="end"/>
      </w:r>
      <w:r w:rsidR="00D9219D" w:rsidRPr="00D9219D">
        <w:rPr>
          <w:rFonts w:eastAsia="Times New Roman" w:cs="Times New Roman"/>
          <w:color w:val="000000"/>
          <w:szCs w:val="24"/>
        </w:rPr>
        <w:t>.</w:t>
      </w:r>
      <w:r w:rsidR="008C50AC">
        <w:rPr>
          <w:rFonts w:eastAsia="Times New Roman" w:cs="Times New Roman"/>
          <w:color w:val="000000"/>
          <w:szCs w:val="24"/>
        </w:rPr>
        <w:t xml:space="preserve"> </w:t>
      </w:r>
      <w:r w:rsidR="00D9219D" w:rsidRPr="00D9219D">
        <w:rPr>
          <w:rFonts w:eastAsia="Times New Roman" w:cs="Times New Roman"/>
          <w:color w:val="000000"/>
          <w:szCs w:val="24"/>
        </w:rPr>
        <w:t>Properties of smoke from wildfires vary depending on vegetation type, ecological and geographical conditions, and burn conditions</w:t>
      </w:r>
      <w:r w:rsidR="00791C3D">
        <w:rPr>
          <w:rFonts w:eastAsia="Times New Roman" w:cs="Times New Roman"/>
          <w:color w:val="000000"/>
          <w:szCs w:val="24"/>
        </w:rPr>
        <w:t xml:space="preserve"> </w:t>
      </w:r>
      <w:r w:rsidR="00791C3D">
        <w:rPr>
          <w:rFonts w:eastAsia="Times New Roman" w:cs="Times New Roman"/>
          <w:color w:val="000000"/>
          <w:szCs w:val="24"/>
        </w:rPr>
        <w:fldChar w:fldCharType="begin"/>
      </w:r>
      <w:r w:rsidR="00BB6527">
        <w:rPr>
          <w:rFonts w:eastAsia="Times New Roman" w:cs="Times New Roman"/>
          <w:color w:val="000000"/>
          <w:szCs w:val="24"/>
        </w:rPr>
        <w:instrText xml:space="preserve"> ADDIN ZOTERO_ITEM CSL_CITATION {"citationID":"Cx0yTLil","properties":{"formattedCitation":"(Chakrabarty et al., 2010; L.-W. A. Chen et al., 2007; Chow et al., 2004)","plainCitation":"(Chakrabarty et al., 2010; L.-W. A. Chen et al., 2007; Chow et al., 2004)","dontUpdate":true,"noteIndex":0},"citationItems":[{"id":626,"uris":["http://zotero.org/groups/4584967/items/9N4LZTBX"],"itemData":{"id":626,"type":"article-journal","abstract":"We report the direct observation of laboratory production of spherical, carbonaceous particles – \"tar balls\" – from smoldering combustion of two commonly occurring dry mid-latitude fuels. Real-time measurements of spectrally varying absorption Ångström coefficients (AAC) indicate that a class of light absorbing organic carbon (OC) with wavelength dependent imaginary part of its refractive index – optically defined as \"brown carbon\" – is an important component of tar balls. The spectrum of the imaginary parts of their complex refractive indices can be described with a Lorentzian-like model with an effective resonance wavelength in the ultraviolet (UV) spectral region. Sensitivity calculations for aerosols containing traditional OC (no absorption at visible and UV wavelengths) and brown carbon suggest that accounting for near-UV absorption by brown carbon leads to an increase in aerosol radiative forcing efficiency and increased light absorption. Since particles from smoldering combustion account for nearly three-fourths of the total carbonaceous aerosol mass emitted globally, inclusion of the optical properties of tar balls into radiative forcing models has significance for the Earth's radiation budget, optical remote sensing, and understanding of anomalous UV absorption in the troposphere.","container-title":"Atmospheric Chemistry and Physics","DOI":"10.5194/acp-10-6363-2010","ISSN":"1680-7316","issue":"13","language":"English","note":"publisher: Copernicus GmbH","page":"6363-6370","source":"Copernicus Online Journals","title":"Brown carbon in tar balls from smoldering biomass combustion","volume":"10","author":[{"family":"Chakrabarty","given":"R. K."},{"family":"Moosmüller","given":"H."},{"family":"Chen","given":"L.-W. A."},{"family":"Lewis","given":"K."},{"family":"Arnott","given":"W. P."},{"family":"Mazzoleni","given":"C."},{"family":"Dubey","given":"M. K."},{"family":"Wold","given":"C. E."},{"family":"Hao","given":"W. M."},{"family":"Kreidenweis","given":"S. M."}],"issued":{"date-parts":[["2010",7,13]]},"citation-key":"chakrabartyBrownCarbonTar2010"}},{"id":625,"uris":["http://zotero.org/groups/4584967/items/CQEA8P8U"],"itemData":{"id":625,"type":"article-journal","abstract":"Combustion of wildland fuels represents a major source of particulate matter (PM) and light-absorbing elemental carbon (EC) on a national and global scale, but the emission factors and source profiles have not been well characterized with respect to different fuels and combustion phases. These uncertainties limit the accuracy of current emission inventories, smoke forecasts, and source apportionments. This study investigates the evolution of gaseous and particulate emission and combustion efficiency by burning wildland fuels in a laboratory combustion facility. Emission factors for carbon dioxide (CO2), carbon monoxide (CO), total hydrocarbon (THC), nitrogen oxides (NOx), PM, light extinction and absorption cross sections, and spectral scattering cross sections specific to flaming and smoldering phases are reported. Emission factors are generally reproducible within ±20% during the flaming phase, which, despite its short duration, dominates the carbon emission (mostly in the form of CO2) and the production of light absorption and EC. Higher and more variable emission factors for CO, THC, and PM are found during the smoldering phase, especially for fuels containing substantial moisture. Organic carbon (OC) and EC mass account for a majority (i.e., &gt;60%) of PM mass; other important elements include potassium, chlorine, and sulfur. Thermal analysis separates the EC into subfractions based on analysis temperature demonstrating that high-temperature EC (EC2; at 700 °C) varies from 1% to 70% of PM among biomass burns, compared to 75% in kerosene soot. Despite this, the conversion factor between EC and light absorption emissions is rather consistent across fuels and burns, ranging from 7.8 to 9.6 m2/gEC. Findings from this study should be considered in the development of PM and EC emission inventories for visibility and radiative forcing assessments.","container-title":"Environmental Science &amp; Technology","DOI":"10.1021/es062364i","ISSN":"0013-936X","issue":"12","journalAbbreviation":"Environ. Sci. Technol.","note":"publisher: American Chemical Society","page":"4317-4325","source":"ACS Publications","title":"Emissions from Laboratory Combustion of Wildland Fuels:  Emission Factors and Source Profiles","title-short":"Emissions from Laboratory Combustion of Wildland Fuels","volume":"41","author":[{"family":"Chen","given":"L.-W. Antony"},{"family":"Moosmüller","given":"Hans"},{"family":"Arnott","given":"W. Patrick"},{"family":"Chow","given":"Judith C."},{"family":"Watson","given":"John G."},{"family":"Susott","given":"Ronald A."},{"family":"Babbitt","given":"Ronald E."},{"family":"Wold","given":"Cyle E."},{"family":"Lincoln","given":"Emily N."},{"family":"Hao","given":"Wei Min"}],"issued":{"date-parts":[["2007",6,1]]},"citation-key":"chenEmissionsLaboratoryCombustion2007"}},{"id":627,"uris":["http://zotero.org/groups/4584967/items/MH4RF9WZ"],"itemData":{"id":627,"type":"article-journal","abstract":"Charring of organic carbon (OC) during thermal/optical analysis is monitored by the change in a laser signal either reflected from or transmitted through a filter punch. Elemental carbon (EC) in suspended particulate matter collected on quartz-fiber filters is defined as the carbon that evolves after the detected optical signal attains the value it had prior to commencement of heating, with the rest of the carbon classified as organic carbon (OC). Heretofore, operational definitions of EC were believed to be caused by different temperature protocols rather than by the method of monitoring charring. This work demonstrates that thermal/optical reflectance (TOR) corrections yield equivalent OC/EC splits for widely divergent temperature protocols. EC results determined by simultaneous thermal/optical transmittance (TOT) corrections are 30% lower than TOR for the same temperature protocol and 70−80% lower than TOR for a protocol with higher heating temperatures and shorter residence times. This is true for 58 urban samples from Fresno, CA, as well as for 30 samples from the nonurban IMPROVE network that are individually dominated by wildfire, vehicle exhaust, secondary organic aerosol, and calcium carbonate contributions. Visual examination of filter darkening at different temperature stages shows that substantial charring takes place within the filter, possibly due to adsorbed organic gases or diffusion of vaporized particles. The filter transmittance is more influenced by the within-filter char, whereas the filter reflectance is dominated by charring of the near-surface deposit that appears to evolve first when oxygen is added to helium in the analysis atmosphere for these samples. The amounts of charred OC (POC) and EC are also estimated from incremental absorbance. Small amounts of POC are found to dominate the incremental absorbance. EC estimated from absorbance are found to agree better with EC from the reflectance charring correction than with EC from the transmittance charring correction.","container-title":"Environmental Science &amp; Technology","DOI":"10.1021/es034936u","ISSN":"0013-936X","issue":"16","journalAbbreviation":"Environ. Sci. Technol.","note":"publisher: American Chemical Society","page":"4414-4422","source":"ACS Publications","title":"Equivalence of Elemental Carbon by Thermal/Optical Reflectance and Transmittance with Different Temperature Protocols","volume":"38","author":[{"family":"Chow","given":"Judith C."},{"family":"Watson","given":"John G."},{"family":"Chen","given":"L.-W. Antony"},{"family":"Arnott","given":"W. Patrick"},{"family":"Moosmüller","given":"Hans"},{"family":"Fung","given":"Kochy"}],"issued":{"date-parts":[["2004",8,1]]},"citation-key":"chowEquivalenceElementalCarbon2004"}}],"schema":"https://github.com/citation-style-language/schema/raw/master/csl-citation.json"} </w:instrText>
      </w:r>
      <w:r w:rsidR="00791C3D">
        <w:rPr>
          <w:rFonts w:eastAsia="Times New Roman" w:cs="Times New Roman"/>
          <w:color w:val="000000"/>
          <w:szCs w:val="24"/>
        </w:rPr>
        <w:fldChar w:fldCharType="separate"/>
      </w:r>
      <w:r w:rsidR="00A01C21" w:rsidRPr="00A01C21">
        <w:rPr>
          <w:rFonts w:cs="Times New Roman"/>
        </w:rPr>
        <w:t>(Chakrabarty et al., 2010; Chen et al., 2007; Chow et al., 2004)</w:t>
      </w:r>
      <w:r w:rsidR="00791C3D">
        <w:rPr>
          <w:rFonts w:eastAsia="Times New Roman" w:cs="Times New Roman"/>
          <w:color w:val="000000"/>
          <w:szCs w:val="24"/>
        </w:rPr>
        <w:fldChar w:fldCharType="end"/>
      </w:r>
      <w:r w:rsidR="00D9219D" w:rsidRPr="00D9219D">
        <w:rPr>
          <w:rFonts w:eastAsia="Times New Roman" w:cs="Times New Roman"/>
          <w:color w:val="000000"/>
          <w:szCs w:val="24"/>
        </w:rPr>
        <w:t>.</w:t>
      </w:r>
    </w:p>
    <w:p w14:paraId="65B34616" w14:textId="77777777" w:rsidR="00222A87" w:rsidRDefault="00222A87" w:rsidP="00222A87">
      <w:pPr>
        <w:keepNext/>
        <w:spacing w:after="0"/>
      </w:pPr>
      <w:r>
        <w:rPr>
          <w:rFonts w:eastAsia="Times New Roman" w:cs="Times New Roman"/>
          <w:noProof/>
          <w:color w:val="000000"/>
          <w:szCs w:val="24"/>
        </w:rPr>
        <w:drawing>
          <wp:inline distT="0" distB="0" distL="0" distR="0" wp14:anchorId="31CCE5B3" wp14:editId="16FE615D">
            <wp:extent cx="5939790" cy="4714875"/>
            <wp:effectExtent l="0" t="0" r="3810" b="9525"/>
            <wp:docPr id="142356577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39790" cy="4714875"/>
                    </a:xfrm>
                    <a:prstGeom prst="rect">
                      <a:avLst/>
                    </a:prstGeom>
                    <a:noFill/>
                    <a:ln>
                      <a:noFill/>
                    </a:ln>
                  </pic:spPr>
                </pic:pic>
              </a:graphicData>
            </a:graphic>
          </wp:inline>
        </w:drawing>
      </w:r>
    </w:p>
    <w:p w14:paraId="0B7674C6" w14:textId="185969CB" w:rsidR="006B74D7" w:rsidRPr="00222A87" w:rsidRDefault="00222A87" w:rsidP="00D52313">
      <w:pPr>
        <w:pStyle w:val="Caption"/>
        <w:rPr>
          <w:rFonts w:eastAsia="Times New Roman"/>
          <w:color w:val="000000"/>
        </w:rPr>
      </w:pPr>
      <w:bookmarkStart w:id="8" w:name="_Ref158627056"/>
      <w:bookmarkStart w:id="9" w:name="_Toc159825964"/>
      <w:r w:rsidRPr="00222A87">
        <w:t xml:space="preserve">Figure </w:t>
      </w:r>
      <w:r>
        <w:fldChar w:fldCharType="begin"/>
      </w:r>
      <w:r>
        <w:instrText xml:space="preserve"> SEQ Figure \* ARABIC </w:instrText>
      </w:r>
      <w:r>
        <w:fldChar w:fldCharType="separate"/>
      </w:r>
      <w:r w:rsidR="00C54A78">
        <w:rPr>
          <w:noProof/>
        </w:rPr>
        <w:t>2</w:t>
      </w:r>
      <w:r>
        <w:rPr>
          <w:noProof/>
        </w:rPr>
        <w:fldChar w:fldCharType="end"/>
      </w:r>
      <w:bookmarkEnd w:id="8"/>
      <w:r w:rsidRPr="00222A87">
        <w:t>: VIIRS visible imagery over the Pacific Northwest on Sep</w:t>
      </w:r>
      <w:r w:rsidR="00471990">
        <w:t>tember</w:t>
      </w:r>
      <w:r w:rsidRPr="00222A87">
        <w:t xml:space="preserve"> 5, </w:t>
      </w:r>
      <w:r w:rsidR="00BC57EB" w:rsidRPr="00222A87">
        <w:t>2017,</w:t>
      </w:r>
      <w:r w:rsidRPr="00222A87">
        <w:t xml:space="preserve"> showing</w:t>
      </w:r>
      <w:r w:rsidR="00855E15">
        <w:t xml:space="preserve"> heavy</w:t>
      </w:r>
      <w:r w:rsidRPr="00222A87">
        <w:t xml:space="preserve"> wildfire smoke.</w:t>
      </w:r>
      <w:r w:rsidR="00B438CB">
        <w:t xml:space="preserve"> </w:t>
      </w:r>
      <w:r w:rsidR="00471990">
        <w:t xml:space="preserve">Source: </w:t>
      </w:r>
      <w:r w:rsidR="007108C0">
        <w:t>NASA World</w:t>
      </w:r>
      <w:r w:rsidR="00C079E2">
        <w:t>v</w:t>
      </w:r>
      <w:r w:rsidR="007108C0">
        <w:t>iew</w:t>
      </w:r>
      <w:r w:rsidR="00231ECD">
        <w:t>.</w:t>
      </w:r>
      <w:bookmarkEnd w:id="9"/>
    </w:p>
    <w:p w14:paraId="0A8AFAFE" w14:textId="08C24F24" w:rsidR="00D9219D" w:rsidRPr="00D9219D" w:rsidRDefault="009F2EAC" w:rsidP="00D9219D">
      <w:pPr>
        <w:spacing w:after="0"/>
        <w:ind w:firstLine="720"/>
        <w:rPr>
          <w:rFonts w:eastAsia="Times New Roman" w:cs="Times New Roman"/>
          <w:szCs w:val="24"/>
        </w:rPr>
      </w:pPr>
      <w:r>
        <w:rPr>
          <w:rFonts w:eastAsia="Times New Roman" w:cs="Times New Roman"/>
          <w:color w:val="000000"/>
          <w:szCs w:val="24"/>
        </w:rPr>
        <w:t xml:space="preserve">Another </w:t>
      </w:r>
      <w:r w:rsidR="001D15ED">
        <w:rPr>
          <w:rFonts w:eastAsia="Times New Roman" w:cs="Times New Roman"/>
          <w:color w:val="000000"/>
          <w:szCs w:val="24"/>
        </w:rPr>
        <w:t>condition under which aerosols can have damaging effects is</w:t>
      </w:r>
      <w:r w:rsidR="00042B9D">
        <w:rPr>
          <w:rFonts w:eastAsia="Times New Roman" w:cs="Times New Roman"/>
          <w:color w:val="000000"/>
          <w:szCs w:val="24"/>
        </w:rPr>
        <w:t xml:space="preserve"> during stable conditions that inhibit pollutant mixing, known as</w:t>
      </w:r>
      <w:r w:rsidR="001D15ED">
        <w:rPr>
          <w:rFonts w:eastAsia="Times New Roman" w:cs="Times New Roman"/>
          <w:color w:val="000000"/>
          <w:szCs w:val="24"/>
        </w:rPr>
        <w:t xml:space="preserve"> temperature inversions</w:t>
      </w:r>
      <w:r w:rsidR="00D9219D" w:rsidRPr="00D9219D">
        <w:rPr>
          <w:rFonts w:eastAsia="Times New Roman" w:cs="Times New Roman"/>
          <w:color w:val="000000"/>
          <w:szCs w:val="24"/>
        </w:rPr>
        <w:t>. Temperature inversions are a meteorological phenomenon in which a layer of warm air overlies a layer of colder air in the troposphere</w:t>
      </w:r>
      <w:r w:rsidR="00813CCC">
        <w:rPr>
          <w:rFonts w:eastAsia="Times New Roman" w:cs="Times New Roman"/>
          <w:color w:val="000000"/>
          <w:szCs w:val="24"/>
        </w:rPr>
        <w:t>, c</w:t>
      </w:r>
      <w:r w:rsidR="00D9219D" w:rsidRPr="00D9219D">
        <w:rPr>
          <w:rFonts w:eastAsia="Times New Roman" w:cs="Times New Roman"/>
          <w:color w:val="000000"/>
          <w:szCs w:val="24"/>
        </w:rPr>
        <w:t>ontrast</w:t>
      </w:r>
      <w:r w:rsidR="00042B9D">
        <w:rPr>
          <w:rFonts w:eastAsia="Times New Roman" w:cs="Times New Roman"/>
          <w:color w:val="000000"/>
          <w:szCs w:val="24"/>
        </w:rPr>
        <w:t>ing</w:t>
      </w:r>
      <w:r w:rsidR="00D9219D" w:rsidRPr="00D9219D">
        <w:rPr>
          <w:rFonts w:eastAsia="Times New Roman" w:cs="Times New Roman"/>
          <w:color w:val="000000"/>
          <w:szCs w:val="24"/>
        </w:rPr>
        <w:t xml:space="preserve"> with the typical temperature gradient</w:t>
      </w:r>
      <w:r w:rsidR="001F2480">
        <w:rPr>
          <w:rFonts w:eastAsia="Times New Roman" w:cs="Times New Roman"/>
          <w:color w:val="000000"/>
          <w:szCs w:val="24"/>
        </w:rPr>
        <w:t>,</w:t>
      </w:r>
      <w:r w:rsidR="00D9219D" w:rsidRPr="00D9219D">
        <w:rPr>
          <w:rFonts w:eastAsia="Times New Roman" w:cs="Times New Roman"/>
          <w:color w:val="000000"/>
          <w:szCs w:val="24"/>
        </w:rPr>
        <w:t xml:space="preserve"> which falls with height in the troposphere</w:t>
      </w:r>
      <w:r w:rsidR="00813CCC">
        <w:rPr>
          <w:rFonts w:eastAsia="Times New Roman" w:cs="Times New Roman"/>
          <w:color w:val="000000"/>
          <w:szCs w:val="24"/>
        </w:rPr>
        <w:t xml:space="preserve"> </w:t>
      </w:r>
      <w:r w:rsidR="00813CCC">
        <w:rPr>
          <w:rFonts w:eastAsia="Times New Roman" w:cs="Times New Roman"/>
          <w:color w:val="000000"/>
          <w:szCs w:val="24"/>
        </w:rPr>
        <w:fldChar w:fldCharType="begin"/>
      </w:r>
      <w:r w:rsidR="00BB6527">
        <w:rPr>
          <w:rFonts w:eastAsia="Times New Roman" w:cs="Times New Roman"/>
          <w:color w:val="000000"/>
          <w:szCs w:val="24"/>
        </w:rPr>
        <w:instrText xml:space="preserve"> ADDIN ZOTERO_ITEM CSL_CITATION {"citationID":"XiESkMN0","properties":{"formattedCitation":"(Iacobellis et al., 2009)","plainCitation":"(Iacobellis et al., 2009)","noteIndex":0},"citationItems":[{"id":597,"uris":["http://zotero.org/groups/4584967/items/6LTGYCJQ"],"itemData":{"id":597,"type":"paper-conference","abstract":"xi 1.0 Introduction 1 2.0 Data Sources 2 2.1. Radiosonde Measurements 2 2.2. Surface Temperature Measurements 4 2.3. Large‐Scale and Regional Model Data 6 3.0 Inversion Characteristics and Measures 6 3.1. Frequency of Strong and Weak Inversions 8 3.2. Persistence of Strong and Weak Inversions 8 4.0 Results 9 4.1. Inversion Climatology 9 4.1.1. Relationship Between DTINV and Dθ850 12 4.1.2. How Representative are the Oakland and San Diego Radiosondes of the Wider Air Basins? 14 4.2. Large‐Scale Circulation Patterns Associated with Strong and Weak Inversions ...17 4.2.1. Physical Mechanisms and Inversion Characteristics 22 4.3. Impact of Local Sea Surface Temperature on Inversion Measures 25 4.4. Temporal Variations of Inversion Measures 26 4.4.1. Time Series of Inversion Strength and Inversion Depth 26 4.4.2. Time Series of Strong and Weak Inversion Frequency 37 4.4.3. Persistence of Strong and Weak Inversions 39 5.0 Summary and Conclusions 40 6.0 References 44 7.0 Glossary 46","source":"Semantic Scholar","title":"CLIMATE VARIABILITY AND CALIFORNIA LOW-LEVEL TEMPERATURE INVERSIONS","URL":"https://www.semanticscholar.org/paper/CLIMATE-VARIABILITY-AND-CALIFORNIA-LOW-LEVEL-Iacobellis-Norris/5a1350c4e18bf70aaa47f0dfc1c66b51bc9cab6c","author":[{"family":"Iacobellis","given":"S."},{"family":"Norris","given":"J."},{"family":"Tyree","given":"M."},{"family":"Daniel","given":"R."}],"accessed":{"date-parts":[["2024",2,10]]},"issued":{"date-parts":[["2009"]]},"citation-key":"iacobellisCLIMATEVARIABILITYCALIFORNIA2009"}}],"schema":"https://github.com/citation-style-language/schema/raw/master/csl-citation.json"} </w:instrText>
      </w:r>
      <w:r w:rsidR="00813CCC">
        <w:rPr>
          <w:rFonts w:eastAsia="Times New Roman" w:cs="Times New Roman"/>
          <w:color w:val="000000"/>
          <w:szCs w:val="24"/>
        </w:rPr>
        <w:fldChar w:fldCharType="separate"/>
      </w:r>
      <w:r w:rsidR="00813CCC" w:rsidRPr="00813CCC">
        <w:rPr>
          <w:rFonts w:cs="Times New Roman"/>
        </w:rPr>
        <w:t>(Iacobellis et al., 2009)</w:t>
      </w:r>
      <w:r w:rsidR="00813CCC">
        <w:rPr>
          <w:rFonts w:eastAsia="Times New Roman" w:cs="Times New Roman"/>
          <w:color w:val="000000"/>
          <w:szCs w:val="24"/>
        </w:rPr>
        <w:fldChar w:fldCharType="end"/>
      </w:r>
      <w:r w:rsidR="00D9219D" w:rsidRPr="00D9219D">
        <w:rPr>
          <w:rFonts w:eastAsia="Times New Roman" w:cs="Times New Roman"/>
          <w:color w:val="000000"/>
          <w:szCs w:val="24"/>
        </w:rPr>
        <w:t>.</w:t>
      </w:r>
      <w:r w:rsidR="00726B61">
        <w:rPr>
          <w:rFonts w:eastAsia="Times New Roman" w:cs="Times New Roman"/>
          <w:color w:val="000000"/>
          <w:szCs w:val="24"/>
        </w:rPr>
        <w:t xml:space="preserve"> Temperature inversions </w:t>
      </w:r>
      <w:r w:rsidR="0025199F">
        <w:rPr>
          <w:rFonts w:eastAsia="Times New Roman" w:cs="Times New Roman"/>
          <w:color w:val="000000"/>
          <w:szCs w:val="24"/>
        </w:rPr>
        <w:t xml:space="preserve">can </w:t>
      </w:r>
      <w:r w:rsidR="009E4972">
        <w:rPr>
          <w:rFonts w:eastAsia="Times New Roman" w:cs="Times New Roman"/>
          <w:color w:val="000000"/>
          <w:szCs w:val="24"/>
        </w:rPr>
        <w:t>present</w:t>
      </w:r>
      <w:r w:rsidR="00726B61">
        <w:rPr>
          <w:rFonts w:eastAsia="Times New Roman" w:cs="Times New Roman"/>
          <w:color w:val="000000"/>
          <w:szCs w:val="24"/>
        </w:rPr>
        <w:t xml:space="preserve"> </w:t>
      </w:r>
      <w:r w:rsidR="00F1330E">
        <w:rPr>
          <w:rFonts w:eastAsia="Times New Roman" w:cs="Times New Roman"/>
          <w:color w:val="000000"/>
          <w:szCs w:val="24"/>
        </w:rPr>
        <w:t xml:space="preserve">health </w:t>
      </w:r>
      <w:r w:rsidR="00F1330E">
        <w:rPr>
          <w:rFonts w:eastAsia="Times New Roman" w:cs="Times New Roman"/>
          <w:color w:val="000000"/>
          <w:szCs w:val="24"/>
        </w:rPr>
        <w:lastRenderedPageBreak/>
        <w:t>risk</w:t>
      </w:r>
      <w:r w:rsidR="0025199F">
        <w:rPr>
          <w:rFonts w:eastAsia="Times New Roman" w:cs="Times New Roman"/>
          <w:color w:val="000000"/>
          <w:szCs w:val="24"/>
        </w:rPr>
        <w:t>s to those living in the area</w:t>
      </w:r>
      <w:r w:rsidR="001D5A83">
        <w:rPr>
          <w:rFonts w:eastAsia="Times New Roman" w:cs="Times New Roman"/>
          <w:color w:val="000000"/>
          <w:szCs w:val="24"/>
        </w:rPr>
        <w:t>,</w:t>
      </w:r>
      <w:r w:rsidR="00F1330E">
        <w:rPr>
          <w:rFonts w:eastAsia="Times New Roman" w:cs="Times New Roman"/>
          <w:color w:val="000000"/>
          <w:szCs w:val="24"/>
        </w:rPr>
        <w:t xml:space="preserve"> </w:t>
      </w:r>
      <w:r w:rsidR="00592EE8">
        <w:rPr>
          <w:rFonts w:eastAsia="Times New Roman" w:cs="Times New Roman"/>
          <w:color w:val="000000"/>
          <w:szCs w:val="24"/>
        </w:rPr>
        <w:t xml:space="preserve">particularly in urban </w:t>
      </w:r>
      <w:r w:rsidR="002D7085">
        <w:rPr>
          <w:rFonts w:eastAsia="Times New Roman" w:cs="Times New Roman"/>
          <w:color w:val="000000"/>
          <w:szCs w:val="24"/>
        </w:rPr>
        <w:t>cities</w:t>
      </w:r>
      <w:r w:rsidR="00592EE8">
        <w:rPr>
          <w:rFonts w:eastAsia="Times New Roman" w:cs="Times New Roman"/>
          <w:color w:val="000000"/>
          <w:szCs w:val="24"/>
        </w:rPr>
        <w:t xml:space="preserve"> during the winter.</w:t>
      </w:r>
      <w:r w:rsidR="00D9219D" w:rsidRPr="00D9219D">
        <w:rPr>
          <w:rFonts w:eastAsia="Times New Roman" w:cs="Times New Roman"/>
          <w:color w:val="000000"/>
          <w:szCs w:val="24"/>
        </w:rPr>
        <w:t xml:space="preserve"> </w:t>
      </w:r>
      <w:r w:rsidR="001D5A83">
        <w:rPr>
          <w:rFonts w:eastAsia="Times New Roman" w:cs="Times New Roman"/>
          <w:color w:val="000000"/>
          <w:szCs w:val="24"/>
        </w:rPr>
        <w:t>Under these conditions,</w:t>
      </w:r>
      <w:r w:rsidR="00132242">
        <w:rPr>
          <w:rFonts w:eastAsia="Times New Roman" w:cs="Times New Roman"/>
          <w:color w:val="000000"/>
          <w:szCs w:val="24"/>
        </w:rPr>
        <w:t xml:space="preserve"> urban </w:t>
      </w:r>
      <w:r w:rsidR="00D9219D" w:rsidRPr="00D9219D">
        <w:rPr>
          <w:rFonts w:eastAsia="Times New Roman" w:cs="Times New Roman"/>
          <w:color w:val="000000"/>
          <w:szCs w:val="24"/>
        </w:rPr>
        <w:t>emissions from cars,</w:t>
      </w:r>
      <w:r w:rsidR="00EE3BE1">
        <w:rPr>
          <w:rFonts w:eastAsia="Times New Roman" w:cs="Times New Roman"/>
          <w:color w:val="000000"/>
          <w:szCs w:val="24"/>
        </w:rPr>
        <w:t xml:space="preserve"> heating, businesses,</w:t>
      </w:r>
      <w:r w:rsidR="00D9219D" w:rsidRPr="00D9219D">
        <w:rPr>
          <w:rFonts w:eastAsia="Times New Roman" w:cs="Times New Roman"/>
          <w:color w:val="000000"/>
          <w:szCs w:val="24"/>
        </w:rPr>
        <w:t xml:space="preserve"> etc.</w:t>
      </w:r>
      <w:r w:rsidR="005B52CF">
        <w:rPr>
          <w:rFonts w:eastAsia="Times New Roman" w:cs="Times New Roman"/>
          <w:color w:val="000000"/>
          <w:szCs w:val="24"/>
        </w:rPr>
        <w:t xml:space="preserve"> (i.e.</w:t>
      </w:r>
      <w:r w:rsidR="00B94373">
        <w:rPr>
          <w:rFonts w:eastAsia="Times New Roman" w:cs="Times New Roman"/>
          <w:color w:val="000000"/>
          <w:szCs w:val="24"/>
        </w:rPr>
        <w:t>,</w:t>
      </w:r>
      <w:r w:rsidR="005B52CF">
        <w:rPr>
          <w:rFonts w:eastAsia="Times New Roman" w:cs="Times New Roman"/>
          <w:color w:val="000000"/>
          <w:szCs w:val="24"/>
        </w:rPr>
        <w:t xml:space="preserve"> smog)</w:t>
      </w:r>
      <w:r w:rsidR="00D9219D" w:rsidRPr="00D9219D">
        <w:rPr>
          <w:rFonts w:eastAsia="Times New Roman" w:cs="Times New Roman"/>
          <w:color w:val="000000"/>
          <w:szCs w:val="24"/>
        </w:rPr>
        <w:t xml:space="preserve"> are trapped near the ground and pose a </w:t>
      </w:r>
      <w:r w:rsidR="009048BE" w:rsidRPr="00D9219D">
        <w:rPr>
          <w:rFonts w:eastAsia="Times New Roman" w:cs="Times New Roman"/>
          <w:color w:val="000000"/>
          <w:szCs w:val="24"/>
        </w:rPr>
        <w:t>se</w:t>
      </w:r>
      <w:r w:rsidR="009048BE">
        <w:rPr>
          <w:rFonts w:eastAsia="Times New Roman" w:cs="Times New Roman"/>
          <w:color w:val="000000"/>
          <w:szCs w:val="24"/>
        </w:rPr>
        <w:t>vere</w:t>
      </w:r>
      <w:r w:rsidR="009048BE" w:rsidRPr="00D9219D">
        <w:rPr>
          <w:rFonts w:eastAsia="Times New Roman" w:cs="Times New Roman"/>
          <w:color w:val="000000"/>
          <w:szCs w:val="24"/>
        </w:rPr>
        <w:t xml:space="preserve"> </w:t>
      </w:r>
      <w:r w:rsidR="00D9219D" w:rsidRPr="00D9219D">
        <w:rPr>
          <w:rFonts w:eastAsia="Times New Roman" w:cs="Times New Roman"/>
          <w:color w:val="000000"/>
          <w:szCs w:val="24"/>
        </w:rPr>
        <w:t>health risk for its inhabitants</w:t>
      </w:r>
      <w:r w:rsidR="009D5751">
        <w:rPr>
          <w:rFonts w:eastAsia="Times New Roman" w:cs="Times New Roman"/>
          <w:color w:val="000000"/>
          <w:szCs w:val="24"/>
        </w:rPr>
        <w:t xml:space="preserve"> </w:t>
      </w:r>
      <w:r w:rsidR="0060525C">
        <w:rPr>
          <w:rFonts w:eastAsia="Times New Roman" w:cs="Times New Roman"/>
          <w:color w:val="000000"/>
          <w:szCs w:val="24"/>
        </w:rPr>
        <w:fldChar w:fldCharType="begin"/>
      </w:r>
      <w:r w:rsidR="00BB6527">
        <w:rPr>
          <w:rFonts w:eastAsia="Times New Roman" w:cs="Times New Roman"/>
          <w:color w:val="000000"/>
          <w:szCs w:val="24"/>
        </w:rPr>
        <w:instrText xml:space="preserve"> ADDIN ZOTERO_ITEM CSL_CITATION {"citationID":"ewJgBUfZ","properties":{"formattedCitation":"(Trinh et al., 2019; Wallace et al., 2010)","plainCitation":"(Trinh et al., 2019; Wallace et al., 2010)","noteIndex":0},"citationItems":[{"id":599,"uris":["http://zotero.org/groups/4584967/items/P9IAVZTB"],"itemData":{"id":599,"type":"article-journal","abstract":"This study aimed to investigate the effects of temperature inversions on the concentration of some pollutants in the atmosphere in Hanoi City, Vietnam, during the period from 2011 to 2015. This work also aimed to evaluate relationships between the thermal inversion and health effects that are associated with air pollution. During this period, the temperature inversions were most frequently presenting from November to March in Hanoi City. Air quality data was gathered from air quality monitoring stations located in the study area. The data showed that levels of NO2, SO2, PM10 and PM2.5 increased when the inversions strengthened. Cases of two types of diseases (acute respiratory diseases and cardiovascular diseases), which are linked to atmospheric air pollution, were considered on number of patients under 15 and above 60 years old at National Geriatric Hospital and National Otorhinolaryngology Hospital. There was significant increase in the daily average number of hospital visits with increasing surface-based inversions. The statistical analysis showed that the temperature inversions correlated with concentration of air pollutants and the number of patients in 5 years.","container-title":"Environmental Geochemistry and Health","DOI":"10.1007/s10653-018-0190-0","ISSN":"1573-2983","issue":"2","journalAbbreviation":"Environ Geochem Health","language":"en","page":"929-937","source":"Springer Link","title":"Temperature inversion and air pollution relationship, and its effects on human health in Hanoi City, Vietnam","volume":"41","author":[{"family":"Trinh","given":"Thi Thuy"},{"family":"Trinh","given":"Thi Tham"},{"family":"Le","given":"Thi Trinh"},{"family":"Nguyen","given":"The Duc Hanh"},{"family":"Tu","given":"Binh Minh"}],"issued":{"date-parts":[["2019",4,1]]},"citation-key":"trinhTemperatureInversionAir2019"}},{"id":598,"uris":["http://zotero.org/groups/4584967/items/EMJ25IIA"],"itemData":{"id":598,"type":"article-journal","abstract":"We investigated the spatial and topographic effects of temperature inversions on air quality in the industrial city of Hamilton, located at the western tip of Lake Ontario, Canada. The city is divided by a 90-m high topographic scarp, the Niagara Escarpment, and dissected by valleys which open towards Lake Ontario. Temperature inversions occur frequently in the cooler seasons, exacerbating the impact of emissions from industry and traffic. This study used pollution data gathered from mobile monitoring surveys conducted over a 3-year period, to investigate whether the effects of the inversions varied across the city. Temperature inversions were identified with vertical temperature data from a meteorological tower located within the study area. We divided the study area into an upper and lower zone separated by the Escarpment and further into six zones, based on location with respect to the Escarpment and industrial and residential areas, to explore variations across the city. The results identified clear differences in the responses of nitrogen dioxide (NO2) and fine particulate matter (PM2.5) to temperature inversions, based on the topographic and spatial criteria. We found that pollution levels increased as the inversion strengthened, in the lower city. However, the results also suggested that temperature inversions identified in the lower city were not necessarily experienced in the upper city with the same intensity. Further, pollution levels in the upper city appeared to decrease as the inversion deepened in the lower city, probably because of an associated change in prevailing wind direction and lower wind speeds, leading to decreased long-range transport of pollutants.","container-title":"Science of The Total Environment","DOI":"10.1016/j.scitotenv.2010.06.020","ISSN":"0048-9697","issue":"21","journalAbbreviation":"Science of The Total Environment","page":"5086-5096","source":"ScienceDirect","title":"Topographic and spatial impacts of temperature inversions on air quality using mobile air pollution surveys","volume":"408","author":[{"family":"Wallace","given":"Julie"},{"family":"Corr","given":"Denis"},{"family":"Kanaroglou","given":"Pavlos"}],"issued":{"date-parts":[["2010",10,1]]},"citation-key":"wallaceTopographicSpatialImpacts2010"}}],"schema":"https://github.com/citation-style-language/schema/raw/master/csl-citation.json"} </w:instrText>
      </w:r>
      <w:r w:rsidR="0060525C">
        <w:rPr>
          <w:rFonts w:eastAsia="Times New Roman" w:cs="Times New Roman"/>
          <w:color w:val="000000"/>
          <w:szCs w:val="24"/>
        </w:rPr>
        <w:fldChar w:fldCharType="separate"/>
      </w:r>
      <w:r w:rsidR="006354D7" w:rsidRPr="006354D7">
        <w:rPr>
          <w:rFonts w:cs="Times New Roman"/>
        </w:rPr>
        <w:t>(Trinh et al., 2019; Wallace et al., 2010)</w:t>
      </w:r>
      <w:r w:rsidR="0060525C">
        <w:rPr>
          <w:rFonts w:eastAsia="Times New Roman" w:cs="Times New Roman"/>
          <w:color w:val="000000"/>
          <w:szCs w:val="24"/>
        </w:rPr>
        <w:fldChar w:fldCharType="end"/>
      </w:r>
      <w:r w:rsidR="00D9219D" w:rsidRPr="00D9219D">
        <w:rPr>
          <w:rFonts w:eastAsia="Times New Roman" w:cs="Times New Roman"/>
          <w:color w:val="000000"/>
          <w:szCs w:val="24"/>
        </w:rPr>
        <w:t>.</w:t>
      </w:r>
    </w:p>
    <w:p w14:paraId="286CBCC6" w14:textId="77777777" w:rsidR="00D9219D" w:rsidRPr="00D9219D" w:rsidRDefault="00D9219D" w:rsidP="00582302">
      <w:pPr>
        <w:rPr>
          <w:rFonts w:cs="Times New Roman"/>
          <w:b/>
          <w:bCs/>
          <w:szCs w:val="24"/>
          <w:u w:val="single"/>
        </w:rPr>
      </w:pPr>
    </w:p>
    <w:p w14:paraId="12E878C8" w14:textId="1512F8B2" w:rsidR="006F171E" w:rsidRDefault="005358E4" w:rsidP="00E26310">
      <w:pPr>
        <w:pStyle w:val="Heading2"/>
      </w:pPr>
      <w:bookmarkStart w:id="10" w:name="_Ref158620485"/>
      <w:bookmarkStart w:id="11" w:name="_Toc161431070"/>
      <w:r>
        <w:t>1.2 Aerosol Health Effects</w:t>
      </w:r>
      <w:bookmarkEnd w:id="10"/>
      <w:bookmarkEnd w:id="11"/>
    </w:p>
    <w:p w14:paraId="796EBBDE" w14:textId="2FA2CAE4" w:rsidR="00462FB2" w:rsidRPr="008E1FC4" w:rsidRDefault="004D35AF" w:rsidP="00B667A3">
      <w:pPr>
        <w:spacing w:after="240"/>
        <w:ind w:firstLine="720"/>
        <w:rPr>
          <w:rFonts w:eastAsia="Times New Roman" w:cs="Times New Roman"/>
          <w:color w:val="000000"/>
          <w:szCs w:val="24"/>
        </w:rPr>
      </w:pPr>
      <w:r>
        <w:rPr>
          <w:rFonts w:eastAsia="Times New Roman" w:cs="Times New Roman"/>
          <w:color w:val="000000"/>
          <w:szCs w:val="24"/>
        </w:rPr>
        <w:t>For aerosol-related health studies, aerosols are referred to as particulate matter (PM</w:t>
      </w:r>
      <w:r w:rsidR="00B225E9">
        <w:rPr>
          <w:rFonts w:eastAsia="Times New Roman" w:cs="Times New Roman"/>
          <w:color w:val="000000"/>
          <w:szCs w:val="24"/>
        </w:rPr>
        <w:t>) and</w:t>
      </w:r>
      <w:r>
        <w:rPr>
          <w:rFonts w:eastAsia="Times New Roman" w:cs="Times New Roman"/>
          <w:color w:val="000000"/>
          <w:szCs w:val="24"/>
        </w:rPr>
        <w:t xml:space="preserve"> </w:t>
      </w:r>
      <w:r w:rsidR="00BD7A93">
        <w:rPr>
          <w:rFonts w:eastAsia="Times New Roman" w:cs="Times New Roman"/>
          <w:color w:val="000000"/>
          <w:szCs w:val="24"/>
        </w:rPr>
        <w:t>categorized</w:t>
      </w:r>
      <w:r w:rsidR="00B27D2C">
        <w:rPr>
          <w:rFonts w:eastAsia="Times New Roman" w:cs="Times New Roman"/>
          <w:color w:val="000000"/>
          <w:szCs w:val="24"/>
        </w:rPr>
        <w:t xml:space="preserve"> by their aerodynamic diameter. </w:t>
      </w:r>
      <w:r w:rsidR="00BC64B6">
        <w:rPr>
          <w:rFonts w:eastAsia="Times New Roman" w:cs="Times New Roman"/>
          <w:color w:val="000000"/>
          <w:szCs w:val="24"/>
        </w:rPr>
        <w:t>PM</w:t>
      </w:r>
      <w:r w:rsidR="00BC64B6">
        <w:rPr>
          <w:rFonts w:eastAsia="Times New Roman" w:cs="Times New Roman"/>
          <w:color w:val="000000"/>
          <w:szCs w:val="24"/>
          <w:vertAlign w:val="subscript"/>
        </w:rPr>
        <w:t>10</w:t>
      </w:r>
      <w:r w:rsidR="00BC64B6">
        <w:rPr>
          <w:rFonts w:eastAsia="Times New Roman" w:cs="Times New Roman"/>
          <w:color w:val="000000"/>
          <w:szCs w:val="24"/>
        </w:rPr>
        <w:t xml:space="preserve"> is defined as PM with an aerodynamic diameter of less than 10 microns,</w:t>
      </w:r>
      <w:r w:rsidR="008E1FC4">
        <w:rPr>
          <w:rFonts w:eastAsia="Times New Roman" w:cs="Times New Roman"/>
          <w:color w:val="000000"/>
          <w:szCs w:val="24"/>
        </w:rPr>
        <w:t xml:space="preserve"> PM</w:t>
      </w:r>
      <w:r w:rsidR="008E1FC4">
        <w:rPr>
          <w:rFonts w:eastAsia="Times New Roman" w:cs="Times New Roman"/>
          <w:color w:val="000000"/>
          <w:szCs w:val="24"/>
          <w:vertAlign w:val="subscript"/>
        </w:rPr>
        <w:t>2.5</w:t>
      </w:r>
      <w:r w:rsidR="008E1FC4">
        <w:rPr>
          <w:rFonts w:eastAsia="Times New Roman" w:cs="Times New Roman"/>
          <w:color w:val="000000"/>
          <w:szCs w:val="24"/>
        </w:rPr>
        <w:t xml:space="preserve"> is defined as PM with an aerodynamic diameter of less than 2.5 microns, and PM</w:t>
      </w:r>
      <w:r w:rsidR="008E1FC4">
        <w:rPr>
          <w:rFonts w:eastAsia="Times New Roman" w:cs="Times New Roman"/>
          <w:color w:val="000000"/>
          <w:szCs w:val="24"/>
          <w:vertAlign w:val="subscript"/>
        </w:rPr>
        <w:t xml:space="preserve">0.1 </w:t>
      </w:r>
      <w:r w:rsidR="008E1FC4">
        <w:rPr>
          <w:rFonts w:eastAsia="Times New Roman" w:cs="Times New Roman"/>
          <w:color w:val="000000"/>
          <w:szCs w:val="24"/>
        </w:rPr>
        <w:t xml:space="preserve">is defined as PM with an aerodynamic diameter of less than 0.1 microns. These </w:t>
      </w:r>
      <w:r w:rsidR="001A3880">
        <w:rPr>
          <w:rFonts w:eastAsia="Times New Roman" w:cs="Times New Roman"/>
          <w:color w:val="000000"/>
          <w:szCs w:val="24"/>
        </w:rPr>
        <w:t xml:space="preserve">delineations were chosen with respect to </w:t>
      </w:r>
      <w:r w:rsidR="00936A2D">
        <w:rPr>
          <w:rFonts w:eastAsia="Times New Roman" w:cs="Times New Roman"/>
          <w:color w:val="000000"/>
          <w:szCs w:val="24"/>
        </w:rPr>
        <w:t>the ability of various human body parts to filter out particles of these sizes (</w:t>
      </w:r>
      <w:r w:rsidR="00936A2D">
        <w:rPr>
          <w:rFonts w:eastAsia="Times New Roman" w:cs="Times New Roman"/>
          <w:color w:val="000000"/>
          <w:szCs w:val="24"/>
        </w:rPr>
        <w:fldChar w:fldCharType="begin"/>
      </w:r>
      <w:r w:rsidR="00936A2D">
        <w:rPr>
          <w:rFonts w:eastAsia="Times New Roman" w:cs="Times New Roman"/>
          <w:color w:val="000000"/>
          <w:szCs w:val="24"/>
        </w:rPr>
        <w:instrText xml:space="preserve"> REF _Ref158626352 \h </w:instrText>
      </w:r>
      <w:r w:rsidR="00936A2D">
        <w:rPr>
          <w:rFonts w:eastAsia="Times New Roman" w:cs="Times New Roman"/>
          <w:color w:val="000000"/>
          <w:szCs w:val="24"/>
        </w:rPr>
      </w:r>
      <w:r w:rsidR="00936A2D">
        <w:rPr>
          <w:rFonts w:eastAsia="Times New Roman" w:cs="Times New Roman"/>
          <w:color w:val="000000"/>
          <w:szCs w:val="24"/>
        </w:rPr>
        <w:fldChar w:fldCharType="separate"/>
      </w:r>
      <w:r w:rsidR="00C54A78" w:rsidRPr="00C86098">
        <w:t xml:space="preserve">Figure </w:t>
      </w:r>
      <w:r w:rsidR="00C54A78">
        <w:rPr>
          <w:noProof/>
        </w:rPr>
        <w:t>1</w:t>
      </w:r>
      <w:r w:rsidR="00936A2D">
        <w:rPr>
          <w:rFonts w:eastAsia="Times New Roman" w:cs="Times New Roman"/>
          <w:color w:val="000000"/>
          <w:szCs w:val="24"/>
        </w:rPr>
        <w:fldChar w:fldCharType="end"/>
      </w:r>
      <w:r w:rsidR="00936A2D">
        <w:rPr>
          <w:rFonts w:eastAsia="Times New Roman" w:cs="Times New Roman"/>
          <w:color w:val="000000"/>
          <w:szCs w:val="24"/>
        </w:rPr>
        <w:t>).</w:t>
      </w:r>
    </w:p>
    <w:p w14:paraId="09B9876C" w14:textId="39ACF6C9" w:rsidR="00B667A3" w:rsidRPr="00B667A3" w:rsidRDefault="00BD7257" w:rsidP="00B667A3">
      <w:pPr>
        <w:spacing w:after="240"/>
        <w:ind w:firstLine="720"/>
        <w:rPr>
          <w:rFonts w:eastAsia="Times New Roman" w:cs="Times New Roman"/>
          <w:szCs w:val="24"/>
        </w:rPr>
      </w:pPr>
      <w:r>
        <w:rPr>
          <w:rFonts w:eastAsia="Times New Roman" w:cs="Times New Roman"/>
          <w:color w:val="000000"/>
          <w:szCs w:val="24"/>
        </w:rPr>
        <w:t xml:space="preserve">There are many </w:t>
      </w:r>
      <w:r w:rsidR="00286609">
        <w:rPr>
          <w:rFonts w:eastAsia="Times New Roman" w:cs="Times New Roman"/>
          <w:color w:val="000000"/>
          <w:szCs w:val="24"/>
        </w:rPr>
        <w:t>different types of PM that can affect human health. For example, w</w:t>
      </w:r>
      <w:r w:rsidR="00B667A3" w:rsidRPr="00B667A3">
        <w:rPr>
          <w:rFonts w:eastAsia="Times New Roman" w:cs="Times New Roman"/>
          <w:color w:val="000000"/>
          <w:szCs w:val="24"/>
        </w:rPr>
        <w:t>ildfire smoke exposure has been shown to have strong associations with general respiratory health problems</w:t>
      </w:r>
      <w:r w:rsidR="00B94373">
        <w:rPr>
          <w:rFonts w:eastAsia="Times New Roman" w:cs="Times New Roman"/>
          <w:color w:val="000000"/>
          <w:szCs w:val="24"/>
        </w:rPr>
        <w:t>,</w:t>
      </w:r>
      <w:r w:rsidR="00B667A3" w:rsidRPr="00B667A3">
        <w:rPr>
          <w:rFonts w:eastAsia="Times New Roman" w:cs="Times New Roman"/>
          <w:color w:val="000000"/>
          <w:szCs w:val="24"/>
        </w:rPr>
        <w:t xml:space="preserve"> overall increased </w:t>
      </w:r>
      <w:r w:rsidR="00E1151B" w:rsidRPr="00B667A3">
        <w:rPr>
          <w:rFonts w:eastAsia="Times New Roman" w:cs="Times New Roman"/>
          <w:color w:val="000000"/>
          <w:szCs w:val="24"/>
        </w:rPr>
        <w:t>morbidity and</w:t>
      </w:r>
      <w:r w:rsidR="00784311">
        <w:rPr>
          <w:rFonts w:eastAsia="Times New Roman" w:cs="Times New Roman"/>
          <w:color w:val="000000"/>
          <w:szCs w:val="24"/>
        </w:rPr>
        <w:t xml:space="preserve"> </w:t>
      </w:r>
      <w:r w:rsidR="00837129">
        <w:rPr>
          <w:rFonts w:eastAsia="Times New Roman" w:cs="Times New Roman"/>
          <w:color w:val="000000"/>
          <w:szCs w:val="24"/>
        </w:rPr>
        <w:t>increasing evidence of cardiovascular risk</w:t>
      </w:r>
      <w:r w:rsidR="00B667A3" w:rsidRPr="00B667A3">
        <w:rPr>
          <w:rFonts w:eastAsia="Times New Roman" w:cs="Times New Roman"/>
          <w:color w:val="000000"/>
          <w:szCs w:val="24"/>
        </w:rPr>
        <w:t xml:space="preserve">. </w:t>
      </w:r>
      <w:r w:rsidR="009D55E1">
        <w:rPr>
          <w:rFonts w:eastAsia="Times New Roman" w:cs="Times New Roman"/>
          <w:color w:val="000000"/>
          <w:szCs w:val="24"/>
        </w:rPr>
        <w:t>The m</w:t>
      </w:r>
      <w:r w:rsidR="00B667A3" w:rsidRPr="00B667A3">
        <w:rPr>
          <w:rFonts w:eastAsia="Times New Roman" w:cs="Times New Roman"/>
          <w:color w:val="000000"/>
          <w:szCs w:val="24"/>
        </w:rPr>
        <w:t>ost common effects include exacerbations of asthma and chronic obstructive pulmonary disease</w:t>
      </w:r>
      <w:r w:rsidR="00214A70">
        <w:rPr>
          <w:rFonts w:eastAsia="Times New Roman" w:cs="Times New Roman"/>
          <w:color w:val="000000"/>
          <w:szCs w:val="24"/>
        </w:rPr>
        <w:t xml:space="preserve"> </w:t>
      </w:r>
      <w:r w:rsidR="00214A70">
        <w:rPr>
          <w:rFonts w:eastAsia="Times New Roman" w:cs="Times New Roman"/>
          <w:color w:val="000000"/>
          <w:szCs w:val="24"/>
        </w:rPr>
        <w:fldChar w:fldCharType="begin"/>
      </w:r>
      <w:r w:rsidR="00BB6527">
        <w:rPr>
          <w:rFonts w:eastAsia="Times New Roman" w:cs="Times New Roman"/>
          <w:color w:val="000000"/>
          <w:szCs w:val="24"/>
        </w:rPr>
        <w:instrText xml:space="preserve"> ADDIN ZOTERO_ITEM CSL_CITATION {"citationID":"y9bjhOtn","properties":{"formattedCitation":"(Reid et al., 2016)","plainCitation":"(Reid et al., 2016)","noteIndex":0},"citationItems":[{"id":596,"uris":["http://zotero.org/groups/4584967/items/WSYA8YQE"],"itemData":{"id":596,"type":"article-journal","abstract":"Background:\nWildfire activity is predicted to increase in many parts of the world due to changes in temperature and precipitation patterns from global climate change. Wildfire smoke contains numerous hazardous air pollutants and many studies have documented population health effects from this exposure.\nObjectives:\nWe aimed to assess the evidence of health effects from exposure to wildfire smoke and to identify susceptible populations.\nMethods:\nWe reviewed the scientific literature for studies of wildfire smoke exposure on mortality and on respiratory, cardiovascular, mental, and perinatal health. Within those reviewed papers deemed to have minimal risk of bias, we assessed the coherence and consistency of findings.\nDiscussion:\nConsistent evidence documents associations between wildfire smoke exposure and general respiratory health effects, specifically exacerbations of asthma and chronic obstructive pulmonary disease. Growing evidence suggests associations with increased risk of respiratory infections and all-cause mortality. Evidence for cardiovascular effects is mixed, but a few recent studies have reported associations for specific cardiovascular end points. Insufficient research exists to identify specific population subgroups that are more susceptible to wildfire smoke exposure.\nConclusions:\nConsistent evidence from a large number of studies indicates that wildfire smoke exposure is associated with respiratory morbidity with growing evidence supporting an association with all-cause mortality. More research is needed to clarify which causes of mortality may be associated with wildfire smoke, whether cardiovascular outcomes are associated with wildfire smoke, and if certain populations are more susceptible.\nCitation:\nReid CE, Brauer M, Johnston FH, Jerrett M, Balmes JR, Elliott CT. 2016. Critical review of health impacts of wildfire smoke exposure. Environ Health Perspect 124:1334–1343; http://dx.doi.org/10.1289/ehp.1409277","container-title":"Environmental Health Perspectives","DOI":"10.1289/ehp.1409277","issue":"9","note":"publisher: Environmental Health Perspectives","page":"1334-1343","source":"ehp.niehs.nih.gov (Atypon)","title":"Critical Review of Health Impacts of Wildfire Smoke Exposure","volume":"124","author":[{"family":"Reid","given":"Colleen E."},{"family":"Brauer","given":"Michael"},{"family":"Johnston","given":"Fay H."},{"family":"Jerrett","given":"Michael"},{"family":"Balmes","given":"John R."},{"family":"Elliott","given":"Catherine T."}],"issued":{"date-parts":[["2016",9]]},"citation-key":"reidCriticalReviewHealth2016"}}],"schema":"https://github.com/citation-style-language/schema/raw/master/csl-citation.json"} </w:instrText>
      </w:r>
      <w:r w:rsidR="00214A70">
        <w:rPr>
          <w:rFonts w:eastAsia="Times New Roman" w:cs="Times New Roman"/>
          <w:color w:val="000000"/>
          <w:szCs w:val="24"/>
        </w:rPr>
        <w:fldChar w:fldCharType="separate"/>
      </w:r>
      <w:r w:rsidR="00214A70" w:rsidRPr="00214A70">
        <w:rPr>
          <w:rFonts w:cs="Times New Roman"/>
        </w:rPr>
        <w:t>(Reid et al., 2016)</w:t>
      </w:r>
      <w:r w:rsidR="00214A70">
        <w:rPr>
          <w:rFonts w:eastAsia="Times New Roman" w:cs="Times New Roman"/>
          <w:color w:val="000000"/>
          <w:szCs w:val="24"/>
        </w:rPr>
        <w:fldChar w:fldCharType="end"/>
      </w:r>
      <w:r w:rsidR="00B667A3" w:rsidRPr="00B667A3">
        <w:rPr>
          <w:rFonts w:eastAsia="Times New Roman" w:cs="Times New Roman"/>
          <w:color w:val="000000"/>
          <w:szCs w:val="24"/>
        </w:rPr>
        <w:t>. Long</w:t>
      </w:r>
      <w:r w:rsidR="009D55E1">
        <w:rPr>
          <w:rFonts w:eastAsia="Times New Roman" w:cs="Times New Roman"/>
          <w:color w:val="000000"/>
          <w:szCs w:val="24"/>
        </w:rPr>
        <w:t>-</w:t>
      </w:r>
      <w:r w:rsidR="00B667A3" w:rsidRPr="00B667A3">
        <w:rPr>
          <w:rFonts w:eastAsia="Times New Roman" w:cs="Times New Roman"/>
          <w:color w:val="000000"/>
          <w:szCs w:val="24"/>
        </w:rPr>
        <w:t>term effects also include</w:t>
      </w:r>
      <w:r w:rsidR="009D55E1">
        <w:rPr>
          <w:rFonts w:eastAsia="Times New Roman" w:cs="Times New Roman"/>
          <w:color w:val="000000"/>
          <w:szCs w:val="24"/>
        </w:rPr>
        <w:t xml:space="preserve"> an</w:t>
      </w:r>
      <w:r w:rsidR="00B667A3" w:rsidRPr="00B667A3">
        <w:rPr>
          <w:rFonts w:eastAsia="Times New Roman" w:cs="Times New Roman"/>
          <w:color w:val="000000"/>
          <w:szCs w:val="24"/>
        </w:rPr>
        <w:t xml:space="preserve"> increased risk of cancer </w:t>
      </w:r>
      <w:r w:rsidR="002938DE">
        <w:rPr>
          <w:rFonts w:eastAsia="Times New Roman" w:cs="Times New Roman"/>
          <w:color w:val="000000"/>
          <w:szCs w:val="24"/>
        </w:rPr>
        <w:fldChar w:fldCharType="begin"/>
      </w:r>
      <w:r w:rsidR="00BB6527">
        <w:rPr>
          <w:rFonts w:eastAsia="Times New Roman" w:cs="Times New Roman"/>
          <w:color w:val="000000"/>
          <w:szCs w:val="24"/>
        </w:rPr>
        <w:instrText xml:space="preserve"> ADDIN ZOTERO_ITEM CSL_CITATION {"citationID":"sQIwS5Rm","properties":{"formattedCitation":"(Grant &amp; Runkle, 2022)","plainCitation":"(Grant &amp; Runkle, 2022)","noteIndex":0},"citationItems":[{"id":595,"uris":["http://zotero.org/groups/4584967/items/8KIGITVD"],"itemData":{"id":595,"type":"article-journal","abstract":"Wildfires pose a number of acute and chronic health threats, including increased morbidity and mortality. While much of the current literature has focused on the short-term health effects of forest fires and wildfire smoke, few reviews have sought to understand their long-term impact on human health. This scoping review aims to map the state of evidence as it pertains to the long-term health effects of wildfires, including physical health, mental health, and healthcare costs. A literature search identified 17 research studies meeting inclusion and review criteria. Descriptive and thematic analyses were conducted and synthesized in a narrative form for the following health topics: premature mortality; increased morbidity including respiratory disease, cardiovascular disease, cancer, mental health, and other health outcomes; and health-related economic outcomes or healthcare costs. The resulting evidence revealed limited papers, many of which were of low or mixed quality, that pointed to increased population-level mortality due to wildfire exposure and increased respiratory morbidity. While the results of lung cancer research were mixed, exposure to PM2.5 and chemicals in wildfire smoke were correlated with an increased risk of cancer of all types. Future research should include prospective longitudinal studies and collection of demographic information to assess the impacts of wildfires on the most vulnerable, expand the evidence-base for the mental health consequences of wildfire events, and include more research in low- and middle-income countries.","container-title":"The Journal of Climate Change and Health","DOI":"10.1016/j.joclim.2021.100110","ISSN":"2667-2782","journalAbbreviation":"The Journal of Climate Change and Health","page":"100110","source":"ScienceDirect","title":"Long-term health effects of wildfire exposure: A scoping review","title-short":"Long-term health effects of wildfire exposure","volume":"6","author":[{"family":"Grant","given":"Emily"},{"family":"Runkle","given":"Jennifer D."}],"issued":{"date-parts":[["2022",5,1]]},"citation-key":"grantLongtermHealthEffects2022"}}],"schema":"https://github.com/citation-style-language/schema/raw/master/csl-citation.json"} </w:instrText>
      </w:r>
      <w:r w:rsidR="002938DE">
        <w:rPr>
          <w:rFonts w:eastAsia="Times New Roman" w:cs="Times New Roman"/>
          <w:color w:val="000000"/>
          <w:szCs w:val="24"/>
        </w:rPr>
        <w:fldChar w:fldCharType="separate"/>
      </w:r>
      <w:r w:rsidR="002938DE" w:rsidRPr="002938DE">
        <w:rPr>
          <w:rFonts w:cs="Times New Roman"/>
        </w:rPr>
        <w:t>(Grant &amp; Runkle, 2022)</w:t>
      </w:r>
      <w:r w:rsidR="002938DE">
        <w:rPr>
          <w:rFonts w:eastAsia="Times New Roman" w:cs="Times New Roman"/>
          <w:color w:val="000000"/>
          <w:szCs w:val="24"/>
        </w:rPr>
        <w:fldChar w:fldCharType="end"/>
      </w:r>
      <w:r w:rsidR="00B667A3" w:rsidRPr="00B667A3">
        <w:rPr>
          <w:rFonts w:eastAsia="Times New Roman" w:cs="Times New Roman"/>
          <w:color w:val="000000"/>
          <w:szCs w:val="24"/>
        </w:rPr>
        <w:t xml:space="preserve">. </w:t>
      </w:r>
      <w:r w:rsidR="00093E4A">
        <w:rPr>
          <w:rFonts w:eastAsia="Times New Roman" w:cs="Times New Roman"/>
          <w:color w:val="000000"/>
          <w:szCs w:val="24"/>
        </w:rPr>
        <w:t>For example, i</w:t>
      </w:r>
      <w:r w:rsidR="00B667A3" w:rsidRPr="00B667A3">
        <w:rPr>
          <w:rFonts w:eastAsia="Times New Roman" w:cs="Times New Roman"/>
          <w:color w:val="000000"/>
          <w:szCs w:val="24"/>
        </w:rPr>
        <w:t>n Indonesia, long-term exposure to PM</w:t>
      </w:r>
      <w:r w:rsidR="00B667A3" w:rsidRPr="00093E4A">
        <w:rPr>
          <w:rFonts w:eastAsia="Times New Roman" w:cs="Times New Roman"/>
          <w:color w:val="000000"/>
          <w:szCs w:val="24"/>
          <w:vertAlign w:val="subscript"/>
        </w:rPr>
        <w:t>2.5</w:t>
      </w:r>
      <w:r w:rsidR="00B667A3" w:rsidRPr="00B667A3">
        <w:rPr>
          <w:rFonts w:eastAsia="Times New Roman" w:cs="Times New Roman"/>
          <w:color w:val="000000"/>
          <w:szCs w:val="24"/>
        </w:rPr>
        <w:t xml:space="preserve"> is estimated to have caused 648 premature deaths per year from 2011 to 2015 (26 deaths per 100,000 people per year) </w:t>
      </w:r>
      <w:r w:rsidR="00E87DCD">
        <w:rPr>
          <w:rFonts w:eastAsia="Times New Roman" w:cs="Times New Roman"/>
          <w:color w:val="000000"/>
          <w:szCs w:val="24"/>
        </w:rPr>
        <w:fldChar w:fldCharType="begin"/>
      </w:r>
      <w:r w:rsidR="00BB6527">
        <w:rPr>
          <w:rFonts w:eastAsia="Times New Roman" w:cs="Times New Roman"/>
          <w:color w:val="000000"/>
          <w:szCs w:val="24"/>
        </w:rPr>
        <w:instrText xml:space="preserve"> ADDIN ZOTERO_ITEM CSL_CITATION {"citationID":"FeNfbOL2","properties":{"formattedCitation":"(Uda et al., 2019)","plainCitation":"(Uda et al., 2019)","noteIndex":0},"citationItems":[{"id":594,"uris":["http://zotero.org/groups/4584967/items/HMGCIDD8"],"itemData":{"id":594,"type":"article-journal","abstract":"The conversion of Indonesian tropical peatlands has been associated with the recurring problems of peatland fires and smoke affecting humans and the environment. Yet, the local government and public in the affected areas have paid little attention to the impacts and costs of the poor air quality on human health. This study aims to analyse the long-term health impacts of the peat smoke exposure to the local populations. We applied the Hybrid Single-Particle Lagrangian Integrated Trajectory (HYSPLIT) model to determine the smoke dispersion and the associated PM2.5 concentrations of the resulted plumes from the fire hotspots in the deep and shallow peatlands in Central Kalimantan, Indonesia, that occurred during a 5-year period (2011–2015). We subsequently quantified the long-term health impacts of PM2.5 on the local people down to the village level based on the human health risk assessment approach. Our study shows that the average increase in the annual mean PM2.5 concentration due to peatland fires in Central Kalimantan was 26 μg/m3 which is more than twice the recommended value of the World Health Organisation Air Quality Guidelines. This increase in PM2.5 leads to increased occurrence of a range of air pollution–related diseases and premature mortality. The number of premature mortality cases can be estimated at 648 cases per year (26 mortality cases per 100,000 population) among others due to chronic respiratory, cardiovascular and lung cancer. Our results shed further light on the long-term health impacts of peatland fires in Indonesia and the importance of sustainable peatland management.","container-title":"Environmental Science and Pollution Research","DOI":"10.1007/s11356-019-06264-x","ISSN":"1614-7499","issue":"30","journalAbbreviation":"Environ Sci Pollut Res","language":"en","page":"31315-31327","source":"Springer Link","title":"Assessing the health impacts of peatland fires: a case study for Central Kalimantan, Indonesia","title-short":"Assessing the health impacts of peatland fires","volume":"26","author":[{"family":"Uda","given":"Saritha Kittie"},{"family":"Hein","given":"Lars"},{"family":"Atmoko","given":"Dwi"}],"issued":{"date-parts":[["2019",10,1]]},"citation-key":"udaAssessingHealthImpacts2019"}}],"schema":"https://github.com/citation-style-language/schema/raw/master/csl-citation.json"} </w:instrText>
      </w:r>
      <w:r w:rsidR="00E87DCD">
        <w:rPr>
          <w:rFonts w:eastAsia="Times New Roman" w:cs="Times New Roman"/>
          <w:color w:val="000000"/>
          <w:szCs w:val="24"/>
        </w:rPr>
        <w:fldChar w:fldCharType="separate"/>
      </w:r>
      <w:r w:rsidR="00E87DCD" w:rsidRPr="00E87DCD">
        <w:rPr>
          <w:rFonts w:cs="Times New Roman"/>
        </w:rPr>
        <w:t>(Uda et al., 2019)</w:t>
      </w:r>
      <w:r w:rsidR="00E87DCD">
        <w:rPr>
          <w:rFonts w:eastAsia="Times New Roman" w:cs="Times New Roman"/>
          <w:color w:val="000000"/>
          <w:szCs w:val="24"/>
        </w:rPr>
        <w:fldChar w:fldCharType="end"/>
      </w:r>
      <w:r w:rsidR="00B667A3" w:rsidRPr="00B667A3">
        <w:rPr>
          <w:rFonts w:eastAsia="Times New Roman" w:cs="Times New Roman"/>
          <w:color w:val="000000"/>
          <w:szCs w:val="24"/>
        </w:rPr>
        <w:t>. In Canada, all-cause mortality due to wildfire PM</w:t>
      </w:r>
      <w:r w:rsidR="00B667A3" w:rsidRPr="00000702">
        <w:rPr>
          <w:rFonts w:eastAsia="Times New Roman" w:cs="Times New Roman"/>
          <w:color w:val="000000"/>
          <w:szCs w:val="24"/>
          <w:vertAlign w:val="subscript"/>
        </w:rPr>
        <w:t>2.5</w:t>
      </w:r>
      <w:r w:rsidR="00B667A3" w:rsidRPr="00B667A3">
        <w:rPr>
          <w:rFonts w:eastAsia="Times New Roman" w:cs="Times New Roman"/>
          <w:color w:val="000000"/>
          <w:szCs w:val="24"/>
        </w:rPr>
        <w:t xml:space="preserve"> exposure is estimated to have increased from 570 deaths in 2013 to 2,500 deaths in 2017 before decreasing to 1,400 in 2018</w:t>
      </w:r>
      <w:r w:rsidR="00AB6729">
        <w:rPr>
          <w:rFonts w:eastAsia="Times New Roman" w:cs="Times New Roman"/>
          <w:color w:val="000000"/>
          <w:szCs w:val="24"/>
        </w:rPr>
        <w:t xml:space="preserve"> </w:t>
      </w:r>
      <w:r w:rsidR="00AB6729">
        <w:rPr>
          <w:rFonts w:eastAsia="Times New Roman" w:cs="Times New Roman"/>
          <w:color w:val="000000"/>
          <w:szCs w:val="24"/>
        </w:rPr>
        <w:fldChar w:fldCharType="begin"/>
      </w:r>
      <w:r w:rsidR="00BB6527">
        <w:rPr>
          <w:rFonts w:eastAsia="Times New Roman" w:cs="Times New Roman"/>
          <w:color w:val="000000"/>
          <w:szCs w:val="24"/>
        </w:rPr>
        <w:instrText xml:space="preserve"> ADDIN ZOTERO_ITEM CSL_CITATION {"citationID":"OELAG9wS","properties":{"formattedCitation":"(Matz et al., 2020)","plainCitation":"(Matz et al., 2020)","noteIndex":0},"citationItems":[{"id":593,"uris":["http://zotero.org/groups/4584967/items/8WSD8Z35"],"itemData":{"id":593,"type":"article-journal","abstract":"Smoke from wildfires contains many air pollutants of concern and epidemiological studies have identified associations between exposure to wildfire smoke PM2.5 and mortality and respiratory morbidity, and a possible association with cardiovascular morbidity. For this study, a retrospective analysis of air quality modelling was performed to quantify the exposure to wildfire-PM2.5 across the Canadian population. The model included wildfire emissions from across North America for a 5-month period from May to September (i.e. wildfire season), between 2013 and 2015 and 2017–2018. Large variations in wildfire-PM2.5 were noted year-to-year, geospatially, and within fire season. The model results were then used to estimate the national population health impacts attributable to wildfire-PM2.5 and the associated economic valuation. The analysis estimated annual premature mortalities ranging from 54–240 premature mortalities attributable to short-term exposure and 570–2500 premature mortalities attributable to long-term exposure, as well as many non-fatal cardiorespiratory health outcomes. The economic valuation of the population health impacts was estimated per year at $410M–$1.8B for acute health impacts and $4.3B–$19B for chronic health impacts for the study period. The health impacts were greatest in the provinces with populations in close proximity to wildfire activity, though health impacts were also noted across many provinces indicating the long-range transport of wildfire-PM2.5. Understanding the population health impacts of wildfire smoke is important as climate change is anticipated to increase wildfire activity in Canada and abroad.","container-title":"Science of The Total Environment","DOI":"10.1016/j.scitotenv.2020.138506","ISSN":"0048-9697","journalAbbreviation":"Science of The Total Environment","page":"138506","source":"ScienceDirect","title":"Health impact analysis of PM2.5 from wildfire smoke in Canada (2013–2015, 2017–2018)","volume":"725","author":[{"family":"Matz","given":"Carlyn J."},{"family":"Egyed","given":"Marika"},{"family":"Xi","given":"Guoliang"},{"family":"Racine","given":"Jacinthe"},{"family":"Pavlovic","given":"Radenko"},{"family":"Rittmaster","given":"Robyn"},{"family":"Henderson","given":"Sarah B."},{"family":"Stieb","given":"David M."}],"issued":{"date-parts":[["2020",7,10]]},"citation-key":"matzHealthImpactAnalysis2020"}}],"schema":"https://github.com/citation-style-language/schema/raw/master/csl-citation.json"} </w:instrText>
      </w:r>
      <w:r w:rsidR="00AB6729">
        <w:rPr>
          <w:rFonts w:eastAsia="Times New Roman" w:cs="Times New Roman"/>
          <w:color w:val="000000"/>
          <w:szCs w:val="24"/>
        </w:rPr>
        <w:fldChar w:fldCharType="separate"/>
      </w:r>
      <w:r w:rsidR="00AB6729" w:rsidRPr="00AB6729">
        <w:rPr>
          <w:rFonts w:cs="Times New Roman"/>
        </w:rPr>
        <w:t>(Matz et al., 2020)</w:t>
      </w:r>
      <w:r w:rsidR="00AB6729">
        <w:rPr>
          <w:rFonts w:eastAsia="Times New Roman" w:cs="Times New Roman"/>
          <w:color w:val="000000"/>
          <w:szCs w:val="24"/>
        </w:rPr>
        <w:fldChar w:fldCharType="end"/>
      </w:r>
      <w:r w:rsidR="00B667A3" w:rsidRPr="00B667A3">
        <w:rPr>
          <w:rFonts w:eastAsia="Times New Roman" w:cs="Times New Roman"/>
          <w:color w:val="000000"/>
          <w:szCs w:val="24"/>
        </w:rPr>
        <w:t xml:space="preserve">. </w:t>
      </w:r>
      <w:r w:rsidR="00D26C27">
        <w:rPr>
          <w:rFonts w:eastAsia="Times New Roman" w:cs="Times New Roman"/>
          <w:color w:val="000000"/>
          <w:szCs w:val="24"/>
        </w:rPr>
        <w:t>Kim</w:t>
      </w:r>
      <w:r w:rsidR="00B667A3" w:rsidRPr="00B667A3">
        <w:rPr>
          <w:rFonts w:eastAsia="Times New Roman" w:cs="Times New Roman"/>
          <w:color w:val="000000"/>
          <w:szCs w:val="24"/>
        </w:rPr>
        <w:t xml:space="preserve"> et al.</w:t>
      </w:r>
      <w:r w:rsidR="002703AD">
        <w:rPr>
          <w:rFonts w:eastAsia="Times New Roman" w:cs="Times New Roman"/>
          <w:color w:val="000000"/>
          <w:szCs w:val="24"/>
        </w:rPr>
        <w:t xml:space="preserve">, </w:t>
      </w:r>
      <w:r w:rsidR="00F40BE4">
        <w:rPr>
          <w:rFonts w:eastAsia="Times New Roman" w:cs="Times New Roman"/>
          <w:color w:val="000000"/>
          <w:szCs w:val="24"/>
        </w:rPr>
        <w:t>(</w:t>
      </w:r>
      <w:r w:rsidR="008D7AEE">
        <w:rPr>
          <w:rFonts w:eastAsia="Times New Roman" w:cs="Times New Roman"/>
          <w:color w:val="000000"/>
          <w:szCs w:val="24"/>
        </w:rPr>
        <w:t>2017</w:t>
      </w:r>
      <w:r w:rsidR="00F40BE4">
        <w:rPr>
          <w:rFonts w:eastAsia="Times New Roman" w:cs="Times New Roman"/>
          <w:color w:val="000000"/>
          <w:szCs w:val="24"/>
        </w:rPr>
        <w:t>)</w:t>
      </w:r>
      <w:r w:rsidR="00B667A3" w:rsidRPr="00B667A3">
        <w:rPr>
          <w:rFonts w:eastAsia="Times New Roman" w:cs="Times New Roman"/>
          <w:color w:val="000000"/>
          <w:szCs w:val="24"/>
        </w:rPr>
        <w:t xml:space="preserve"> found a</w:t>
      </w:r>
      <w:r w:rsidR="00312DD7">
        <w:rPr>
          <w:rFonts w:eastAsia="Times New Roman" w:cs="Times New Roman"/>
          <w:color w:val="000000"/>
          <w:szCs w:val="24"/>
        </w:rPr>
        <w:t>n average</w:t>
      </w:r>
      <w:r w:rsidR="00B667A3" w:rsidRPr="00B667A3">
        <w:rPr>
          <w:rFonts w:eastAsia="Times New Roman" w:cs="Times New Roman"/>
          <w:color w:val="000000"/>
          <w:szCs w:val="24"/>
        </w:rPr>
        <w:t xml:space="preserve"> decrease in lung capacity of 20.4</w:t>
      </w:r>
      <w:r w:rsidR="00116B71">
        <w:rPr>
          <w:rFonts w:eastAsia="Times New Roman" w:cs="Times New Roman"/>
          <w:color w:val="000000"/>
          <w:szCs w:val="24"/>
        </w:rPr>
        <w:t xml:space="preserve"> L min</w:t>
      </w:r>
      <w:r w:rsidR="00116B71">
        <w:rPr>
          <w:rFonts w:eastAsia="Times New Roman" w:cs="Times New Roman"/>
          <w:color w:val="000000"/>
          <w:szCs w:val="24"/>
          <w:vertAlign w:val="superscript"/>
        </w:rPr>
        <w:t>-1</w:t>
      </w:r>
      <w:r w:rsidR="00116B71">
        <w:rPr>
          <w:rFonts w:eastAsia="Times New Roman" w:cs="Times New Roman"/>
          <w:color w:val="000000"/>
          <w:szCs w:val="24"/>
        </w:rPr>
        <w:t xml:space="preserve"> </w:t>
      </w:r>
      <w:r w:rsidR="00B667A3" w:rsidRPr="00B667A3">
        <w:rPr>
          <w:rFonts w:eastAsia="Times New Roman" w:cs="Times New Roman"/>
          <w:color w:val="000000"/>
          <w:szCs w:val="24"/>
        </w:rPr>
        <w:t>following a large wildfire in Indonesia in 1997</w:t>
      </w:r>
      <w:r w:rsidR="00AB6729">
        <w:rPr>
          <w:rFonts w:eastAsia="Times New Roman" w:cs="Times New Roman"/>
          <w:color w:val="000000"/>
          <w:szCs w:val="24"/>
        </w:rPr>
        <w:t xml:space="preserve"> </w:t>
      </w:r>
      <w:r w:rsidR="00AB6729">
        <w:rPr>
          <w:rFonts w:eastAsia="Times New Roman" w:cs="Times New Roman"/>
          <w:color w:val="000000"/>
          <w:szCs w:val="24"/>
        </w:rPr>
        <w:fldChar w:fldCharType="begin"/>
      </w:r>
      <w:r w:rsidR="00BB6527">
        <w:rPr>
          <w:rFonts w:eastAsia="Times New Roman" w:cs="Times New Roman"/>
          <w:color w:val="000000"/>
          <w:szCs w:val="24"/>
        </w:rPr>
        <w:instrText xml:space="preserve"> ADDIN ZOTERO_ITEM CSL_CITATION {"citationID":"4eYWywlS","properties":{"formattedCitation":"(Y. Kim et al., 2017)","plainCitation":"(Y. Kim et al., 2017)","dontUpdate":true,"noteIndex":0},"citationItems":[{"id":"ZzehC4Vl/dH0oGNkg","uris":["http://zotero.org/groups/4584967/items/UGTEXHDL"],"itemData":{"id":554,"type":"article-journal","abstract":"While many studies in the medical literature documented causal relationships between air pollution and negative health outcomes immediately following exposure, much less is known about the long run health consequences of pollution exposure. Using the 1997 Indonesian forest fires as a natural experiment, we estimate the long term effects of air pollution on health outcomes. We take advantage of the longitudinal nature of the Indonesia Family Life Survey (IFLS), which collects detailed individual data on a multitude of health outcomes, in both 1997 and 2007. We find significant negative effects of pollution, which persist in the long run. Men and the elderly are impacted the most, while children seem to recover almost completely from these early shocks. For the entire population, an extra standard deviation in the pollution level increases the likelihood of a poor general health status by almost 3%.","container-title":"Economics &amp; Human Biology","DOI":"10.1016/j.ehb.2017.03.006","ISSN":"1570-677X","journalAbbreviation":"Economics &amp; Human Biology","page":"186-198","source":"ScienceDirect","title":"Long-run health consequences of air pollution: Evidence from Indonesia's forest fires of 1997","title-short":"Long-run health consequences of air pollution","volume":"26","author":[{"family":"Kim","given":"Younoh"},{"family":"Knowles","given":"Scott"},{"family":"Manley","given":"James"},{"family":"Radoias","given":"Vlad"}],"issued":{"date-parts":[["2017",8,1]]}}}],"schema":"https://github.com/citation-style-language/schema/raw/master/csl-citation.json"} </w:instrText>
      </w:r>
      <w:r w:rsidR="00AB6729">
        <w:rPr>
          <w:rFonts w:eastAsia="Times New Roman" w:cs="Times New Roman"/>
          <w:color w:val="000000"/>
          <w:szCs w:val="24"/>
        </w:rPr>
        <w:fldChar w:fldCharType="separate"/>
      </w:r>
      <w:r w:rsidR="00E159E2" w:rsidRPr="00E159E2">
        <w:rPr>
          <w:rFonts w:cs="Times New Roman"/>
        </w:rPr>
        <w:t>(Kim et al., 2017)</w:t>
      </w:r>
      <w:r w:rsidR="00AB6729">
        <w:rPr>
          <w:rFonts w:eastAsia="Times New Roman" w:cs="Times New Roman"/>
          <w:color w:val="000000"/>
          <w:szCs w:val="24"/>
        </w:rPr>
        <w:fldChar w:fldCharType="end"/>
      </w:r>
      <w:r w:rsidR="00B667A3" w:rsidRPr="00B667A3">
        <w:rPr>
          <w:rFonts w:eastAsia="Times New Roman" w:cs="Times New Roman"/>
          <w:color w:val="000000"/>
          <w:szCs w:val="24"/>
        </w:rPr>
        <w:t>. </w:t>
      </w:r>
      <w:r w:rsidR="00F4281A">
        <w:rPr>
          <w:rFonts w:eastAsia="Times New Roman" w:cs="Times New Roman"/>
          <w:color w:val="000000"/>
          <w:szCs w:val="24"/>
        </w:rPr>
        <w:t xml:space="preserve">A growing body of research </w:t>
      </w:r>
      <w:r w:rsidR="00F4281A">
        <w:rPr>
          <w:rFonts w:eastAsia="Times New Roman" w:cs="Times New Roman"/>
          <w:color w:val="000000"/>
          <w:szCs w:val="24"/>
        </w:rPr>
        <w:lastRenderedPageBreak/>
        <w:t xml:space="preserve">also shows a link between high PM levels and cardiovascular disease, especially from smoke exposure </w:t>
      </w:r>
      <w:r w:rsidR="00F4281A">
        <w:rPr>
          <w:rFonts w:eastAsia="Times New Roman" w:cs="Times New Roman"/>
          <w:color w:val="000000"/>
          <w:szCs w:val="24"/>
        </w:rPr>
        <w:fldChar w:fldCharType="begin"/>
      </w:r>
      <w:r w:rsidR="00BB6527">
        <w:rPr>
          <w:rFonts w:eastAsia="Times New Roman" w:cs="Times New Roman"/>
          <w:color w:val="000000"/>
          <w:szCs w:val="24"/>
        </w:rPr>
        <w:instrText xml:space="preserve"> ADDIN ZOTERO_ITEM CSL_CITATION {"citationID":"XnDovB1l","properties":{"formattedCitation":"(Brook et al., 2010; Martinelli et al., 2013)","plainCitation":"(Brook et al., 2010; Martinelli et al., 2013)","noteIndex":0},"citationItems":[{"id":163,"uris":["http://zotero.org/groups/4584967/items/TNZRMG3E"],"itemData":{"id":163,"type":"article-journal","abstract":"In 2004, the first American Heart Association scientific statement on “Air Pollution and Cardiovascular Disease” concluded that exposure to particulate matter (PM) air pollution contributes to cardiovascular morbidity and mortality. In the interim, numerous studies have expanded our understanding of this association and further elucidated the physiological and molecular mechanisms involved. The main objective of this updated American Heart Association scientific statement is to provide a comprehensive review of the new evidence linking PM exposure with cardiovascular disease, with a specific focus on highlighting the clinical implications for researchers and healthcare providers. The writing group also sought to provide expert consensus opinions on many aspects of the current state of science and updated suggestions for areas of future research. On the basis of the findings of this review, several new conclusions were reached, including the following: Exposure to PM &lt;2.5 μm in diameter (PM2.5) over a few hours to weeks can trigger cardiovascular disease–related mortality and nonfatal events; longer-term exposure (eg, a few years) increases the risk for cardiovascular mortality to an even greater extent than exposures over a few days and reduces life expectancy within more highly exposed segments of the population by several months to a few years; reductions in PM levels are associated with decreases in cardiovascular mortality within a time frame as short as a few years; and many credible pathological mechanisms have been elucidated that lend biological plausibility to these findings. It is the opinion of the writing group that the overall evidence is consistent with a causal relationship between PM2.5 exposure and cardiovascular morbidity and mortality. This body of evidence has grown and been strengthened substantially since the first American Heart Association scientific statement was published. Finally, PM2.5 exposure is deemed a modifiable factor that contributes to cardiovascular morbidity and mortality.","container-title":"Circulation","DOI":"10.1161/CIR.0b013e3181dbece1","ISSN":"0009-7322, 1524-4539","issue":"21","journalAbbreviation":"Circulation","language":"en","note":"PMID: 20458016","page":"2331-2378","source":"circ.ahajournals.org","title":"Particulate Matter Air Pollution and Cardiovascular Disease An Update to the Scientific Statement From the American Heart Association","volume":"121","author":[{"family":"Brook","given":"Robert D."},{"family":"Rajagopalan","given":"Sanjay"},{"family":"Pope","given":"C. Arden"},{"family":"Brook","given":"Jeffrey R."},{"family":"Bhatnagar","given":"Aruni"},{"family":"Diez-Roux","given":"Ana V."},{"family":"Holguin","given":"Fernando"},{"family":"Hong","given":"Yuling"},{"family":"Luepker","given":"Russell V."},{"family":"Mittleman","given":"Murray A."},{"family":"Peters","given":"Annette"},{"family":"Siscovick","given":"David"},{"family":"Smith","given":"Sidney C."},{"family":"Whitsel","given":"Laurie"},{"family":"Kaufman","given":"Joel D."}],"issued":{"date-parts":[["2010",6,1]]},"citation-key":"brookParticulateMatterAir2010a"}},{"id":580,"uris":["http://zotero.org/groups/4584967/items/PW2FRP92"],"itemData":{"id":580,"type":"article-journal","abstract":"Consistent evidences from both epidemiological and experimental studies have demonstrated that short- and long-term exposure to particulate matter (PM), in particular to the finest particles (i.e. airborne PM with aerodynamic diameter less than 2.5μm, PM2.5), is associated with cardiovascular morbidity and mortality. PM concentration has been linked with several clinical manifestations of cardiovascular diseases (CVD), including myocardial infarction, stroke, heart failure, arrhythmias, and venous thromboembolism. Noteworthy, some groups of subjects, like elderly, diabetics, or those with known coronary artery disease, appear specifically susceptible to the harmful effects triggered by PM exposure. Although the PM-related risk for a single individual appears relatively low, the PM-related population attributable risk is impressive. Recent studies indicate that the PM-CVD relationship is likely more complex than a mere quantitative association between overall PM concentration and disease risk. Indeed, the biological effects of PM may vary in function of both the aerodynamic diameter and the chemical composition. Moreover, it has been shown that the influence of air pollution on health is not limited to PM. Indeed, other gaseous pollutants may play an independent role in CVD, suggesting the need to develop multi-pollutant preventive approaches. Causality has been recently strongly supported by observations showing reduced CVD mortality after coordinated community policies resulting in lowering PM exposure at population level. An in-depth knowledge on the heterogeneous sources, chemical compounds, and biological effects of PM may help to propose more accurate and clinically effective recommendations for this important and modifiable factor contributing to CVD burden.","container-title":"European Journal of Internal Medicine","DOI":"10.1016/j.ejim.2013.04.001","ISSN":"0953-6205","issue":"4","journalAbbreviation":"European Journal of Internal Medicine","page":"295-302","source":"ScienceDirect","title":"Air particulate matter and cardiovascular disease: A narrative review","title-short":"Air particulate matter and cardiovascular disease","volume":"24","author":[{"family":"Martinelli","given":"Nicola"},{"family":"Olivieri","given":"Oliviero"},{"family":"Girelli","given":"Domenico"}],"issued":{"date-parts":[["2013",6,1]]},"citation-key":"martinelliAirParticulateMatter2013"}}],"schema":"https://github.com/citation-style-language/schema/raw/master/csl-citation.json"} </w:instrText>
      </w:r>
      <w:r w:rsidR="00F4281A">
        <w:rPr>
          <w:rFonts w:eastAsia="Times New Roman" w:cs="Times New Roman"/>
          <w:color w:val="000000"/>
          <w:szCs w:val="24"/>
        </w:rPr>
        <w:fldChar w:fldCharType="separate"/>
      </w:r>
      <w:r w:rsidR="00F4281A">
        <w:rPr>
          <w:rFonts w:cs="Times New Roman"/>
        </w:rPr>
        <w:t>(Brook et al., 2010; Martinelli et al., 2013)</w:t>
      </w:r>
      <w:r w:rsidR="00F4281A">
        <w:rPr>
          <w:rFonts w:eastAsia="Times New Roman" w:cs="Times New Roman"/>
          <w:color w:val="000000"/>
          <w:szCs w:val="24"/>
        </w:rPr>
        <w:fldChar w:fldCharType="end"/>
      </w:r>
      <w:r w:rsidR="00F4281A">
        <w:rPr>
          <w:rFonts w:eastAsia="Times New Roman" w:cs="Times New Roman"/>
          <w:color w:val="000000"/>
          <w:szCs w:val="24"/>
        </w:rPr>
        <w:t>.</w:t>
      </w:r>
    </w:p>
    <w:p w14:paraId="34D3212E" w14:textId="73BD45F1" w:rsidR="00B667A3" w:rsidRDefault="00B667A3" w:rsidP="00B667A3">
      <w:pPr>
        <w:spacing w:after="240"/>
        <w:ind w:firstLine="720"/>
        <w:rPr>
          <w:rFonts w:eastAsia="Times New Roman" w:cs="Times New Roman"/>
          <w:color w:val="000000"/>
          <w:szCs w:val="24"/>
        </w:rPr>
      </w:pPr>
      <w:r w:rsidRPr="00B667A3">
        <w:rPr>
          <w:rFonts w:eastAsia="Times New Roman" w:cs="Times New Roman"/>
          <w:color w:val="000000"/>
          <w:szCs w:val="24"/>
        </w:rPr>
        <w:t>Dust aerosols are another source of concern when it comes to human health risks. In the U.S., dust storms occur frequently in the Great Plains and the Great Basin, where dry climate and high winds form the perfect conditions</w:t>
      </w:r>
      <w:r w:rsidR="00215C12">
        <w:rPr>
          <w:rFonts w:eastAsia="Times New Roman" w:cs="Times New Roman"/>
          <w:color w:val="000000"/>
          <w:szCs w:val="24"/>
        </w:rPr>
        <w:t xml:space="preserve"> </w:t>
      </w:r>
      <w:r w:rsidR="00215C12">
        <w:rPr>
          <w:rFonts w:eastAsia="Times New Roman" w:cs="Times New Roman"/>
          <w:color w:val="000000"/>
          <w:szCs w:val="24"/>
        </w:rPr>
        <w:fldChar w:fldCharType="begin"/>
      </w:r>
      <w:r w:rsidR="00BB6527">
        <w:rPr>
          <w:rFonts w:eastAsia="Times New Roman" w:cs="Times New Roman"/>
          <w:color w:val="000000"/>
          <w:szCs w:val="24"/>
        </w:rPr>
        <w:instrText xml:space="preserve"> ADDIN ZOTERO_ITEM CSL_CITATION {"citationID":"dQtmQ7MW","properties":{"formattedCitation":"(Gillette &amp; Hanson, 1989)","plainCitation":"(Gillette &amp; Hanson, 1989)","noteIndex":0},"citationItems":[{"id":591,"uris":["http://zotero.org/groups/4584967/items/F3FW2F2Y"],"itemData":{"id":591,"type":"article-journal","abstract":"Variability of model dust emissions by wind erosion was tested for sensitivity to variations of wind speed in the United States for a 31-year period (1948–1978) and for a wide range of threshold velocities that arise from differing precipitation scenarios, from drought to abundant rainfall. Results showed that dust production increased about an order of magnitude when threshold velocities were changed from those appropriate for abundant rainfall to those appropriate for drought. About the same range of variability for dust production was seen in the model results when soil conditions and land use were held constant and U.S. wind data for 1948–1978 were used. Maximum dust production for the United States occurs in the spring, and minimum dust production occurs in the summer. Maximum model dust production for a 1-year period occurred in the early 1950's and early 1970's, when a U.S. wind record for 1948–1978 was used. The location of maximum dust production is the area including the panhandles of Texas and Oklahoma and some surrounding areas.","container-title":"Journal of Geophysical Research: Atmospheres","DOI":"10.1029/JD094iD02p02197","ISSN":"2156-2202","issue":"D2","language":"en","license":"This paper is not subject to U.S. copyright. Published in 1989 by the American Geophysical Union.","note":"_eprint: https://onlinelibrary.wiley.com/doi/pdf/10.1029/JD094iD02p02197","page":"2197-2206","source":"Wiley Online Library","title":"Spatial and temporal variability of dust production caused by wind erosion in the United States","volume":"94","author":[{"family":"Gillette","given":"Dale A."},{"family":"Hanson","given":"Kirby J."}],"issued":{"date-parts":[["1989"]]},"citation-key":"gilletteSpatialTemporalVariability1989"}}],"schema":"https://github.com/citation-style-language/schema/raw/master/csl-citation.json"} </w:instrText>
      </w:r>
      <w:r w:rsidR="00215C12">
        <w:rPr>
          <w:rFonts w:eastAsia="Times New Roman" w:cs="Times New Roman"/>
          <w:color w:val="000000"/>
          <w:szCs w:val="24"/>
        </w:rPr>
        <w:fldChar w:fldCharType="separate"/>
      </w:r>
      <w:r w:rsidR="00215C12" w:rsidRPr="00215C12">
        <w:rPr>
          <w:rFonts w:cs="Times New Roman"/>
        </w:rPr>
        <w:t>(Gillette &amp; Hanson, 1989)</w:t>
      </w:r>
      <w:r w:rsidR="00215C12">
        <w:rPr>
          <w:rFonts w:eastAsia="Times New Roman" w:cs="Times New Roman"/>
          <w:color w:val="000000"/>
          <w:szCs w:val="24"/>
        </w:rPr>
        <w:fldChar w:fldCharType="end"/>
      </w:r>
      <w:r w:rsidRPr="00B667A3">
        <w:rPr>
          <w:rFonts w:eastAsia="Times New Roman" w:cs="Times New Roman"/>
          <w:color w:val="000000"/>
          <w:szCs w:val="24"/>
        </w:rPr>
        <w:t>. Specific regions that also experience intense dust effects include the Coachella Valley and Owens Valley in California</w:t>
      </w:r>
      <w:r w:rsidR="007B1EC4">
        <w:rPr>
          <w:rFonts w:eastAsia="Times New Roman" w:cs="Times New Roman"/>
          <w:color w:val="000000"/>
          <w:szCs w:val="24"/>
        </w:rPr>
        <w:t xml:space="preserve"> </w:t>
      </w:r>
      <w:r w:rsidR="00453A6B">
        <w:rPr>
          <w:rFonts w:eastAsia="Times New Roman" w:cs="Times New Roman"/>
          <w:color w:val="000000"/>
          <w:szCs w:val="24"/>
        </w:rPr>
        <w:fldChar w:fldCharType="begin"/>
      </w:r>
      <w:r w:rsidR="00BB6527">
        <w:rPr>
          <w:rFonts w:eastAsia="Times New Roman" w:cs="Times New Roman"/>
          <w:color w:val="000000"/>
          <w:szCs w:val="24"/>
        </w:rPr>
        <w:instrText xml:space="preserve"> ADDIN ZOTERO_ITEM CSL_CITATION {"citationID":"PcGVEoUd","properties":{"formattedCitation":"(Bach et al., 1996)","plainCitation":"(Bach et al., 1996)","noteIndex":0},"citationItems":[{"id":590,"uris":["http://zotero.org/groups/4584967/items/GCJ9QRGS"],"itemData":{"id":590,"type":"article-journal","abstract":"Although dust storms rarely occur in southern California's deserts, blowing dust often reduces visibility, and large spatial and temporal variability in the frequency of blowing dust occurs throughout the region. On average only 1.3 dust storms occur in the study area each year. The annual average number of dust events (visibility &lt;11 km) is 18.0, with the Coachella Valley being dustiest region, averaging 37.8 dust events each year. Mean annual frequencies of dust events for 1973–1994 are mapped, showing a core of activity centered over the Imperial/Coachella Valley region, with fewer dust events around the periphery of the study area. Most stations show a coherent temporal pattern of dust frequency during the period 1973–1994, with the mid-1970s experiencing the most dust. Blowing dust generally was absent from all stations during 1979–1983, 1987–1989, and 1992–1994. The mid-1980s were moderately dusty and 1990–1991 saw a return to very dusty conditions, possibly resulting from below-normal precipitation and increased anthropogenic disturbances. Dust events in the Mojave Desert characteristically occur during the winter to spring months (February-May), associated with dry frontal activity, and are largely absent during the dry summer months. The Colorado Desert experiences a similar seasonal distribution of dust events, but has more summer events, usually associated with convective thunderstorms. Frequencies of blowing dust have weak, but statistically significant, correlations with mean annual and antecedent precipitation, suggesting that complex processes control dust emission. [Key words: blowing dust, dust storms, Mojave Desert, Colorado Desert, wind erosion.]","container-title":"Physical Geography","DOI":"10.1080/02723646.1996.10642589","ISSN":"0272-3646","issue":"4","note":"publisher: Taylor &amp; Francis\n_eprint: https://doi.org/10.1080/02723646.1996.10642589","page":"329-353","source":"Taylor and Francis+NEJM","title":"Temporal and Spatial Aspects of Blowing Dust in the Mojave and Colorado Deserts of Southern California, 1973–1994","volume":"17","author":[{"family":"Bach","given":"Andrew J."},{"family":"Brazel","given":"Anthony J."},{"family":"Lancaster","given":"Nicholas"}],"issued":{"date-parts":[["1996",7,1]]},"citation-key":"bachTemporalSpatialAspects1996"}}],"schema":"https://github.com/citation-style-language/schema/raw/master/csl-citation.json"} </w:instrText>
      </w:r>
      <w:r w:rsidR="00453A6B">
        <w:rPr>
          <w:rFonts w:eastAsia="Times New Roman" w:cs="Times New Roman"/>
          <w:color w:val="000000"/>
          <w:szCs w:val="24"/>
        </w:rPr>
        <w:fldChar w:fldCharType="separate"/>
      </w:r>
      <w:r w:rsidR="00453A6B" w:rsidRPr="00453A6B">
        <w:rPr>
          <w:rFonts w:cs="Times New Roman"/>
        </w:rPr>
        <w:t>(Bach et al., 1996)</w:t>
      </w:r>
      <w:r w:rsidR="00453A6B">
        <w:rPr>
          <w:rFonts w:eastAsia="Times New Roman" w:cs="Times New Roman"/>
          <w:color w:val="000000"/>
          <w:szCs w:val="24"/>
        </w:rPr>
        <w:fldChar w:fldCharType="end"/>
      </w:r>
      <w:r w:rsidRPr="00B667A3">
        <w:rPr>
          <w:rFonts w:eastAsia="Times New Roman" w:cs="Times New Roman"/>
          <w:color w:val="000000"/>
          <w:szCs w:val="24"/>
        </w:rPr>
        <w:t xml:space="preserve">; Phoenix, Arizona </w:t>
      </w:r>
      <w:r w:rsidR="00FF23F7">
        <w:rPr>
          <w:rFonts w:eastAsia="Times New Roman" w:cs="Times New Roman"/>
          <w:color w:val="000000"/>
          <w:szCs w:val="24"/>
        </w:rPr>
        <w:fldChar w:fldCharType="begin"/>
      </w:r>
      <w:r w:rsidR="00BB6527">
        <w:rPr>
          <w:rFonts w:eastAsia="Times New Roman" w:cs="Times New Roman"/>
          <w:color w:val="000000"/>
          <w:szCs w:val="24"/>
        </w:rPr>
        <w:instrText xml:space="preserve"> ADDIN ZOTERO_ITEM CSL_CITATION {"citationID":"wvx5bbRl","properties":{"formattedCitation":"(P\\uc0\\u233{}w\\uc0\\u233{} &amp; Science, 1981)","plainCitation":"(Péwé &amp; Science, 1981)","noteIndex":0},"citationItems":[{"id":589,"uris":["http://zotero.org/groups/4584967/items/JQ7JVJ3D"],"itemData":{"id":589,"type":"book","ISBN":"978-0-8137-2186-6","language":"en","number-of-pages":"320","publisher":"Geological Society of America","source":"Google Books","title":"Desert Dust: Origin, Characteristics, and Effect on Man","title-short":"Desert Dust","author":[{"family":"Péwé","given":"Troy Lewis"},{"family":"Science","given":"American Association for the Advancement","dropping-particle":"of"}],"issued":{"date-parts":[["1981"]]},"citation-key":"peweDesertDustOrigin1981b"}}],"schema":"https://github.com/citation-style-language/schema/raw/master/csl-citation.json"} </w:instrText>
      </w:r>
      <w:r w:rsidR="00FF23F7">
        <w:rPr>
          <w:rFonts w:eastAsia="Times New Roman" w:cs="Times New Roman"/>
          <w:color w:val="000000"/>
          <w:szCs w:val="24"/>
        </w:rPr>
        <w:fldChar w:fldCharType="separate"/>
      </w:r>
      <w:r w:rsidR="00FF23F7" w:rsidRPr="00FF23F7">
        <w:rPr>
          <w:rFonts w:cs="Times New Roman"/>
          <w:szCs w:val="24"/>
        </w:rPr>
        <w:t>(Péwé &amp; Science, 1981)</w:t>
      </w:r>
      <w:r w:rsidR="00FF23F7">
        <w:rPr>
          <w:rFonts w:eastAsia="Times New Roman" w:cs="Times New Roman"/>
          <w:color w:val="000000"/>
          <w:szCs w:val="24"/>
        </w:rPr>
        <w:fldChar w:fldCharType="end"/>
      </w:r>
      <w:r w:rsidRPr="00B667A3">
        <w:rPr>
          <w:rFonts w:eastAsia="Times New Roman" w:cs="Times New Roman"/>
          <w:color w:val="000000"/>
          <w:szCs w:val="24"/>
        </w:rPr>
        <w:t xml:space="preserve">; and Lubbock, Texas, which has experienced spikes in pneumonia following dust events, a phenomenon dubbed the </w:t>
      </w:r>
      <w:r w:rsidR="00CF4680">
        <w:rPr>
          <w:rFonts w:eastAsia="Times New Roman" w:cs="Times New Roman"/>
          <w:color w:val="000000"/>
          <w:szCs w:val="24"/>
        </w:rPr>
        <w:t>“</w:t>
      </w:r>
      <w:r w:rsidRPr="00B667A3">
        <w:rPr>
          <w:rFonts w:eastAsia="Times New Roman" w:cs="Times New Roman"/>
          <w:color w:val="000000"/>
          <w:szCs w:val="24"/>
        </w:rPr>
        <w:t>Haboob Lung Syndrome</w:t>
      </w:r>
      <w:r w:rsidR="006317ED">
        <w:rPr>
          <w:rFonts w:eastAsia="Times New Roman" w:cs="Times New Roman"/>
          <w:color w:val="000000"/>
          <w:szCs w:val="24"/>
        </w:rPr>
        <w:t>”</w:t>
      </w:r>
      <w:r w:rsidR="00AE7C1E">
        <w:rPr>
          <w:rFonts w:eastAsia="Times New Roman" w:cs="Times New Roman"/>
          <w:color w:val="000000"/>
          <w:szCs w:val="24"/>
        </w:rPr>
        <w:t xml:space="preserve"> </w:t>
      </w:r>
      <w:r w:rsidR="00B15E87">
        <w:rPr>
          <w:rFonts w:eastAsia="Times New Roman" w:cs="Times New Roman"/>
          <w:color w:val="000000"/>
          <w:szCs w:val="24"/>
        </w:rPr>
        <w:fldChar w:fldCharType="begin"/>
      </w:r>
      <w:r w:rsidR="00BB6527">
        <w:rPr>
          <w:rFonts w:eastAsia="Times New Roman" w:cs="Times New Roman"/>
          <w:color w:val="000000"/>
          <w:szCs w:val="24"/>
        </w:rPr>
        <w:instrText xml:space="preserve"> ADDIN ZOTERO_ITEM CSL_CITATION {"citationID":"ia7ju4bu","properties":{"formattedCitation":"(Panikkath et al., 2013)","plainCitation":"(Panikkath et al., 2013)","noteIndex":0},"citationItems":[{"id":586,"uris":["http://zotero.org/groups/4584967/items/J7VC2AKU"],"itemData":{"id":586,"type":"article-journal","container-title":"The American Journal of Medicine","DOI":"10.1016/j.amjmed.2012.08.012","ISSN":"0002-9343, 1555-7162","issue":"2","journalAbbreviation":"The American Journal of Medicine","language":"English","note":"publisher: Elsevier","page":"e5-e7","source":"www.amjmed.com","title":"Multilobar Lung Infiltrates after Exposure to Dust Storm: The Haboob Lung Syndrome","title-short":"Multilobar Lung Infiltrates after Exposure to Dust Storm","volume":"126","author":[{"family":"Panikkath","given":"Ragesh"},{"family":"Jumper","given":"Cynthia A."},{"family":"Mulkey","given":"Zachary"}],"issued":{"date-parts":[["2013",2,1]]},"citation-key":"panikkathMultilobarLungInfiltrates2013"}}],"schema":"https://github.com/citation-style-language/schema/raw/master/csl-citation.json"} </w:instrText>
      </w:r>
      <w:r w:rsidR="00B15E87">
        <w:rPr>
          <w:rFonts w:eastAsia="Times New Roman" w:cs="Times New Roman"/>
          <w:color w:val="000000"/>
          <w:szCs w:val="24"/>
        </w:rPr>
        <w:fldChar w:fldCharType="separate"/>
      </w:r>
      <w:r w:rsidR="00B15E87" w:rsidRPr="00B15E87">
        <w:rPr>
          <w:rFonts w:cs="Times New Roman"/>
        </w:rPr>
        <w:t>(Panikkath et al., 2013)</w:t>
      </w:r>
      <w:r w:rsidR="00B15E87">
        <w:rPr>
          <w:rFonts w:eastAsia="Times New Roman" w:cs="Times New Roman"/>
          <w:color w:val="000000"/>
          <w:szCs w:val="24"/>
        </w:rPr>
        <w:fldChar w:fldCharType="end"/>
      </w:r>
      <w:r w:rsidRPr="00B667A3">
        <w:rPr>
          <w:rFonts w:eastAsia="Times New Roman" w:cs="Times New Roman"/>
          <w:color w:val="000000"/>
          <w:szCs w:val="24"/>
        </w:rPr>
        <w:t xml:space="preserve">. Many studies have found </w:t>
      </w:r>
      <w:r w:rsidR="0073658D">
        <w:rPr>
          <w:rFonts w:eastAsia="Times New Roman" w:cs="Times New Roman"/>
          <w:color w:val="000000"/>
          <w:szCs w:val="24"/>
        </w:rPr>
        <w:t>respiratory clinic visits increased</w:t>
      </w:r>
      <w:r w:rsidRPr="00B667A3">
        <w:rPr>
          <w:rFonts w:eastAsia="Times New Roman" w:cs="Times New Roman"/>
          <w:color w:val="000000"/>
          <w:szCs w:val="24"/>
        </w:rPr>
        <w:t xml:space="preserve"> following dust events</w:t>
      </w:r>
      <w:r w:rsidR="0054081F">
        <w:rPr>
          <w:rFonts w:eastAsia="Times New Roman" w:cs="Times New Roman"/>
          <w:color w:val="000000"/>
          <w:szCs w:val="24"/>
        </w:rPr>
        <w:t xml:space="preserve"> </w:t>
      </w:r>
      <w:r w:rsidR="0054081F">
        <w:rPr>
          <w:rFonts w:eastAsia="Times New Roman" w:cs="Times New Roman"/>
          <w:color w:val="000000"/>
          <w:szCs w:val="24"/>
        </w:rPr>
        <w:fldChar w:fldCharType="begin"/>
      </w:r>
      <w:r w:rsidR="00BB6527">
        <w:rPr>
          <w:rFonts w:eastAsia="Times New Roman" w:cs="Times New Roman"/>
          <w:color w:val="000000"/>
          <w:szCs w:val="24"/>
        </w:rPr>
        <w:instrText xml:space="preserve"> ADDIN ZOTERO_ITEM CSL_CITATION {"citationID":"3KLqGIdL","properties":{"formattedCitation":"(Cheng et al., 2008; Chien et al., 2012; Kang et al., 2012; Hyewon Lee et al., 2013)","plainCitation":"(Cheng et al., 2008; Chien et al., 2012; Kang et al., 2012; Hyewon Lee et al., 2013)","dontUpdate":true,"noteIndex":0},"citationItems":[{"id":583,"uris":["http://zotero.org/groups/4584967/items/6HJUZ8UL"],"itemData":{"id":583,"type":"article-journal","abstract":"In spring, windblown dust storms originating in the deserts of Mongolia and China travel to Taipei city. These occurrences are known as Asian dust storm (ADS) events. The objective of this study was to assess the possible associations of constituents of ADS with hospital pneumonia admissions of residents in Taipei, Taiwan, during the period 1996–2001. Fifty-four dust storm episodes were identified and were classified as index days. Daily pneumonia admissions on the index days were compared with admissions on comparison days. Two comparison days for each index day, 7 d before the index days and 7 d after the index days, were selected. The study results indicated a statistically significant association between ADS events and daily pneumonia admissions 1 d after the event. It is worthwhile to pay more attention to ADS events and health in the future based on the findings in this investigation.","container-title":"Journal of Toxicology and Environmental Health, Part A","DOI":"10.1080/15287390802114808","ISSN":"1528-7394","issue":"19","note":"publisher: Taylor &amp; Francis\n_eprint: https://doi.org/10.1080/15287390802114808\nPMID: 18686199","page":"1295-1299","source":"Taylor and Francis+NEJM","title":"Consequences of Exposure to Asian Dust Storm Events on Daily Pneumonia Hospital Admissions in Taipei, Taiwan","volume":"71","author":[{"family":"Cheng","given":"Ming-Fen"},{"family":"Ho","given":"Shu-Chen"},{"family":"Chiu","given":"Hui-Fen"},{"family":"Wu","given":"Trong-Neng"},{"family":"Chen","given":"Pei-Shih"},{"family":"Yang","given":"Chun-Yuh"}],"issued":{"date-parts":[["2008",8,6]]},"citation-key":"chengConsequencesExposureAsian2008"}},{"id":585,"uris":["http://zotero.org/groups/4584967/items/H2AQ5HS6"],"itemData":{"id":585,"type":"article-journal","abstract":"Background: Increases in certain cause-specific hospital admissions have been reported during Asian dust storms (ADS), which primarily originate from north and northwest China during winter and spring. However, few studies have investigated the relationship between the ADS and clinic visits for respiratory diseases in children.\nObjective: We investigated the general impact to children’s health across space and time by analyzing daily clinic visits for respiratory diseases among preschool and schoolchildren registered in 12 districts of Taipei City during 1997–2007 from the National Health Insurance dataset.\nMethods: We applied a structural additive regression model to estimate the association between ADS episodes and children’s clinic visits for respiratory diseases, controlling for space and time variations.\nResults: Compared with weeks before ADS events, the rate of clinic visits during weeks after ADS events increased 2.54% (95% credible interval = 2.43, 2.66) for preschool children (≤ 6 years of age) and 5.03% (95% credible interval = 4.87, 5.20) for schoolchildren (7–14 years of age). Spatial heterogeneity in relative rates of clinic visits was also identified. Compared with the mean level of Taipei City, higher relative rates appeared in districts with or near large hospitals and medical centers.\nConclusion: To our knowledge, this is the first population-based study to assess the impact of ADS on children’s respiratory health. Our analysis suggests that children’s respiratory health was affected by ADS events across all of Taipei, especially among schoolchildren.","container-title":"Environmental Health Perspectives","DOI":"10.1289/ehp.1104417","issue":"8","note":"publisher: Environmental Health Perspectives","page":"1215-1220","source":"ehp.niehs.nih.gov (Atypon)","title":"Estimated Effects of Asian Dust Storms on Spatiotemporal Distributions of Clinic Visits for Respiratory Diseases in Taipei Children (Taiwan)","volume":"120","author":[{"family":"Chien","given":"Lung-Chang"},{"family":"Yang","given":"Chiang-Hsing"},{"family":"Yu","given":"Hwa-Lung"}],"issued":{"date-parts":[["2012",8]]},"citation-key":"chienEstimatedEffectsAsian2012"}},{"id":582,"uris":["http://zotero.org/groups/4584967/items/UX2V7CIN"],"itemData":{"id":582,"type":"article-journal","abstract":"There is limited information on the bioaccessible fractions of phthalate esters in indoor dust in order to estimate human exposure. In the present study, workplace dust and settled house dust samples from Hong Kong, Shenzhen, and Guangzhou, the three major cities scattered around the Pearl River Delta (PRD) were collected. Chemical analyses showed that the phthalates in workplace dust ranged from 144 to 1810 μg/g, with dust from shopping malls containing the highest level, and in home dust ranged from 181 to 9240 μg/g. The most abundant phthalate ester found was bis(2-ethylhexyl) phthalate (DEHP) in both workplace dust and home dust, followed by di-n-butyl phthalate (DBP) and di-iso-butyl phthalate (DIBP). Principal Components Analysis (PCA) indicated that indoor dust around PRD showed similar phthalate esters patterns of composition. A significant correlation was observed between total phthalate esters concentrations in home dust and the number of year of house construction (p &lt; 0.05). The oral bioaccessibility of phthalate esters in indoor dust ranged from 10.2% (DEHP) to 32% (DMP). Risk assessment indicated that the dominant exposure routes varied in different phthalate esters exposure profiles and the dermal contact exposure pathway was identified as an important route for indoor DEHP exposure.","container-title":"Environmental Science &amp; Technology","DOI":"10.1021/es300379v","ISSN":"0013-936X","issue":"15","journalAbbreviation":"Environ. Sci. Technol.","note":"publisher: American Chemical Society","page":"8422-8430","source":"ACS Publications","title":"Risk Assessment of Human Exposure to Bioaccessible Phthalate Esters via Indoor Dust around the Pearl River Delta","volume":"46","author":[{"family":"Kang","given":"Yuan"},{"family":"Man","given":"Yu Bon"},{"family":"Cheung","given":"Kwai Chung"},{"family":"Wong","given":"Ming Hung"}],"issued":{"date-parts":[["2012",8,7]]},"citation-key":"kangRiskAssessmentHuman2012"}},{"id":584,"uris":["http://zotero.org/groups/4584967/items/FKIVB6GV"],"itemData":{"id":584,"type":"article-journal","abstract":"The adverse effects of dust storms on health have been a major issue in several countries. A substantial number of studies have found significant associations between dust storms and morbidity such as emergency visits and hospitalizations. However, the results of the studies on the association between dust storms and mortality are inconsistent. In Korea, no study has found statistically significant effect of Asian dust storms on daily mortality. Thus, this study aims to explore the effect of Asian dust storms on daily mortality in Korea during 2001–2009. All analyses were confined to non-accidental mortality. We used generalized additive model with Quasi-Poisson regressions. We considered the lag effect of dust storms up to 7 days and performed subgroup analyses by disease, sex and age. Current day's temperature, relative humidity, barometric pressure, day of the week, season and time trends were controlled for in a basic model. SO2, NO2 and PM10 levels were also added in the further analyses. Meta-analysis was applied for seven metropolitan cities in Korea to estimate the pooled effects of Asian dust storms. We reported results as excessive mortality by percentage due to Asian dust storms. We found significant positive associations between Asian dust storms and mortality at lag 0 (cardiovascular: 2.91%; 95% CI: 0.13, 5.77, male: 2.74%; 95% CI: 0.74, 4.77 and &lt;65 years: 2.52%; 95% CI: 0.06, 5.04), at lag 2 (male 2.4%; 95% CI: 0.43, 4.4 and &lt;65 years: 2.49%; 95% CI: 0.07, 4.97), at lag 3 (total non-accidental: 1.57%; 95% CI: 0.11, 3.06, male: 2.24%; 95% CI: 0.28, 4.25 and &lt;65 years: 2.43%; 95% CI: 0.01, 4.91) and at lag 5 (cardiovascular: 3.7%; 95% CI: 0.93, 6.54 and male: 2.04%, 95 CI: 0.08, 4.04) in the model which adjusted for NO2 additionally. Other models showed similar significant results except the PM10-adjusted model. This is the first study to show the significant relationship between Asian dust storms and mortality in Korea and to present a pooled effect estimate by meta-analysis of multiple cities in a country. Asian dust storms could significantly affect daily mortality in Korea.","container-title":"Atmospheric Environment","DOI":"10.1016/j.atmosenv.2013.06.046","ISSN":"1352-2310","journalAbbreviation":"Atmospheric Environment","page":"510-517","source":"ScienceDirect","title":"Effect of Asian dust storms on daily mortality in seven metropolitan cities of Korea","volume":"79","author":[{"family":"Lee","given":"Hyewon"},{"family":"Kim","given":"Ho"},{"family":"Honda","given":"Yasushi"},{"family":"Lim","given":"Youn-Hee"},{"family":"Yi","given":"Seungmuk"}],"issued":{"date-parts":[["2013",11,1]]},"citation-key":"leeEffectAsianDust2013"}}],"schema":"https://github.com/citation-style-language/schema/raw/master/csl-citation.json"} </w:instrText>
      </w:r>
      <w:r w:rsidR="0054081F">
        <w:rPr>
          <w:rFonts w:eastAsia="Times New Roman" w:cs="Times New Roman"/>
          <w:color w:val="000000"/>
          <w:szCs w:val="24"/>
        </w:rPr>
        <w:fldChar w:fldCharType="separate"/>
      </w:r>
      <w:r w:rsidR="0099603D" w:rsidRPr="0099603D">
        <w:rPr>
          <w:rFonts w:cs="Times New Roman"/>
        </w:rPr>
        <w:t>(Cheng et al., 2008; Chien et al., 2012; Kang et al., 2012; Lee et al., 2013)</w:t>
      </w:r>
      <w:r w:rsidR="0054081F">
        <w:rPr>
          <w:rFonts w:eastAsia="Times New Roman" w:cs="Times New Roman"/>
          <w:color w:val="000000"/>
          <w:szCs w:val="24"/>
        </w:rPr>
        <w:fldChar w:fldCharType="end"/>
      </w:r>
      <w:r w:rsidRPr="00B667A3">
        <w:rPr>
          <w:rFonts w:eastAsia="Times New Roman" w:cs="Times New Roman"/>
          <w:color w:val="000000"/>
          <w:szCs w:val="24"/>
        </w:rPr>
        <w:t>.</w:t>
      </w:r>
    </w:p>
    <w:p w14:paraId="0CB664B6" w14:textId="77777777" w:rsidR="00B667A3" w:rsidRDefault="00B667A3" w:rsidP="00FF5E42">
      <w:pPr>
        <w:spacing w:after="240"/>
        <w:rPr>
          <w:rFonts w:eastAsia="Times New Roman" w:cs="Times New Roman"/>
          <w:color w:val="000000"/>
          <w:szCs w:val="24"/>
        </w:rPr>
      </w:pPr>
    </w:p>
    <w:p w14:paraId="0784043F" w14:textId="2EF5A928" w:rsidR="00B667A3" w:rsidRDefault="005358E4" w:rsidP="00E26310">
      <w:pPr>
        <w:pStyle w:val="Heading2"/>
      </w:pPr>
      <w:bookmarkStart w:id="12" w:name="_Ref158620660"/>
      <w:bookmarkStart w:id="13" w:name="_Toc161431071"/>
      <w:r>
        <w:t>1.3 Aerosol Weather and Climate Effects</w:t>
      </w:r>
      <w:bookmarkEnd w:id="12"/>
      <w:bookmarkEnd w:id="13"/>
    </w:p>
    <w:p w14:paraId="2D2DF81A" w14:textId="33943E1E" w:rsidR="00FF5E42" w:rsidRPr="00FF5E42" w:rsidRDefault="00FF5E42" w:rsidP="003F3B88">
      <w:pPr>
        <w:spacing w:after="240"/>
        <w:ind w:firstLine="720"/>
        <w:rPr>
          <w:rFonts w:eastAsia="Times New Roman" w:cs="Times New Roman"/>
          <w:szCs w:val="24"/>
        </w:rPr>
      </w:pPr>
      <w:r w:rsidRPr="00FF5E42">
        <w:rPr>
          <w:rFonts w:eastAsia="Times New Roman" w:cs="Times New Roman"/>
          <w:color w:val="000000"/>
          <w:szCs w:val="24"/>
        </w:rPr>
        <w:t xml:space="preserve">Aerosols have complex effects on the </w:t>
      </w:r>
      <w:r w:rsidR="00F21344">
        <w:rPr>
          <w:rFonts w:eastAsia="Times New Roman" w:cs="Times New Roman"/>
          <w:color w:val="000000"/>
          <w:szCs w:val="24"/>
        </w:rPr>
        <w:t>Earth's radiative balance</w:t>
      </w:r>
      <w:r w:rsidRPr="00FF5E42">
        <w:rPr>
          <w:rFonts w:eastAsia="Times New Roman" w:cs="Times New Roman"/>
          <w:color w:val="000000"/>
          <w:szCs w:val="24"/>
        </w:rPr>
        <w:t xml:space="preserve">. These effects are separated into direct and indirect effects. The direct effect is the change in Earth’s radiative budget due to the </w:t>
      </w:r>
      <w:r w:rsidRPr="00B04648">
        <w:rPr>
          <w:rFonts w:eastAsia="Times New Roman" w:cs="Times New Roman"/>
          <w:color w:val="000000"/>
          <w:szCs w:val="24"/>
        </w:rPr>
        <w:t>direct</w:t>
      </w:r>
      <w:r w:rsidRPr="00FF5E42">
        <w:rPr>
          <w:rFonts w:eastAsia="Times New Roman" w:cs="Times New Roman"/>
          <w:color w:val="000000"/>
          <w:szCs w:val="24"/>
        </w:rPr>
        <w:t xml:space="preserve"> scattering and absorption of incoming shortwave radiation by atmospheric aerosols </w:t>
      </w:r>
      <w:r w:rsidR="006025D0">
        <w:rPr>
          <w:rFonts w:eastAsia="Times New Roman" w:cs="Times New Roman"/>
          <w:color w:val="000000"/>
          <w:szCs w:val="24"/>
        </w:rPr>
        <w:fldChar w:fldCharType="begin"/>
      </w:r>
      <w:r w:rsidR="00BB6527">
        <w:rPr>
          <w:rFonts w:eastAsia="Times New Roman" w:cs="Times New Roman"/>
          <w:color w:val="000000"/>
          <w:szCs w:val="24"/>
        </w:rPr>
        <w:instrText xml:space="preserve"> ADDIN ZOTERO_ITEM CSL_CITATION {"citationID":"EBhGJ6Rf","properties":{"formattedCitation":"(Atwater, 1970; Boucher et al., 2013; Charlson &amp; Pilat, 1969; Coakley et al., 1983; McCormick &amp; Ludwig, 1967)","plainCitation":"(Atwater, 1970; Boucher et al., 2013; Charlson &amp; Pilat, 1969; Coakley et al., 1983; McCormick &amp; Ludwig, 1967)","noteIndex":0},"citationItems":[{"id":578,"uris":["http://zotero.org/groups/4584967/items/U8BQBCDQ"],"itemData":{"id":578,"type":"article-journal","abstract":"Absorption and scattering by aerosols and reflection of solar radiation from the surface determine the sign of the change in the planetary albedo caused by the presence of aerosols. This change in planetary albedo results in atmospheric heating or cooling. Small changes in the ratio of absorption to scattering over time can reverse such heating or cooling trends.","container-title":"Science","DOI":"10.1126/science.170.3953.64","issue":"3953","note":"publisher: American Association for the Advancement of Science","page":"64-66","source":"science.org (Atypon)","title":"Planetary Albedo Changes Due to Aerosols","volume":"170","author":[{"family":"Atwater","given":"Marshall A."}],"issued":{"date-parts":[["1970",10,2]]},"citation-key":"atwaterPlanetaryAlbedoChanges1970"}},{"id":576,"uris":["http://zotero.org/groups/4584967/items/LZYHKYE7"],"itemData":{"id":576,"type":"chapter","container-title":"Climate Change 2013: The Physical Science Basis. Contribution of Working Group I to the Fifth Assessment Report of the Intergovernmental Panel on Climate Change","language":"eng","page":"571-657","publisher":"Cambridge University Press","source":"MPG PuRe","title":"Clouds and Aerosols","URL":"https://pure.mpg.de/pubman/faces/ViewItemOverviewPage.jsp?itemId=item_2007900","author":[{"family":"Boucher","given":"O."},{"family":"Randall","given":"D."},{"family":"Artaxo","given":"P."},{"family":"Bretherton","given":"C."},{"family":"Feingold","given":"G."},{"family":"Forster","given":"P."},{"family":"Kerminen","given":"V.-M."},{"family":"Kondo","given":"Y."},{"family":"Liao","given":"H."},{"family":"Lohmann","given":"U."},{"family":"Rasch","given":"P."},{"family":"Satheesh","given":"S. K."},{"family":"Sherwood","given":"S."},{"family":"Stevens","given":"Bjorn"},{"family":"Zhang","given":"X. Y."}],"accessed":{"date-parts":[["2024",2,10]]},"issued":{"date-parts":[["2013",11]]},"citation-key":"boucherCloudsAerosols2013a"}},{"id":217,"uris":["http://zotero.org/groups/4584967/items/QRE6EKDE"],"itemData":{"id":217,"type":"article-journal","abstract":"Abstract","container-title":"Journal of Applied Meteorology","DOI":"10.1175/1520-0450(1969)008&lt;1001:CTIOA&gt;2.0.CO;2","ISSN":"0021-8952","issue":"6","journalAbbreviation":"J. Appl. Meteor.","page":"1001-1002","source":"journals.ametsoc.org (Atypon)","title":"Climate: The Influence of Aerosols","title-short":"Climate","volume":"8","author":[{"family":"Charlson","given":"R. J."},{"family":"Pilat","given":"M. J."}],"issued":{"date-parts":[["1969",12,1]]},"citation-key":"charlsonClimateInfluenceAerosols1969"}},{"id":577,"uris":["http://zotero.org/groups/4584967/items/UXG5VVVY"],"itemData":{"id":577,"type":"article-journal","abstract":"Abstract Guided by the results of doubling-adding solutions to the equation of radiative transfer, we develop a simple technique for incorporating in climate models the effect of the background tropospheric aerosol on solar radiation. Because the atmosphere is practically nonabsorbing for much of the solar spectrum the effects of the tropospheric aerosol on the reflectivity, transmissivity and absorptivity of the atmosphere are adequately accounted for by the properties of a two-layered system with the atmosphere placed above the aerosol layer. The two-stream and delta-Eddington approximations to the radiative transfer equation then provide reasonably accurate estimates of the changes brought about by the aerosol. Furthermore, results of the doubling-adding calculations lead to a simple parameterization for the distribution of absorption by the aerosol within the atmosphere. Using these simple techniques, we calculate the changes caused by models for the naturally occurring tropospheric aerosol in a zonal mean energy balance climate model. The 2–30°C surface cooling caused by the background aerosol is comparable in magnitude but opposite in sign to the temperature changes brought about by the current atmospheric concentrations of N20 and CH4 and by a doubling of CO2. The model results also indicate that even though the background aerosol may decrease the planetary albedo at high latitudes, it causes cooling at all latitudes. We also use the simple techniques to calculate the influence of dust on the planetary albedo of a desert. Here we demonstrate that the interaction of the aerosol scattering with the angular dependence of the surface reflectivity strongly influences the planetary albedo.","container-title":"Journal of the Atmospheric Sciences","DOI":"10.1175/1520-0469(1983)040&lt;0116:TEOTAO&gt;2.0.CO;2","ISSN":"0022-4928, 1520-0469","issue":"1","language":"EN","note":"publisher: American Meteorological Society\nsection: Journal of the Atmospheric Sciences","page":"116-138","source":"journals.ametsoc.org","title":"The Effect of Tropospheric Aerosols on the Earth's Radiation Budget: A Parameterization for Climate Models","title-short":"The Effect of Tropospheric Aerosols on the Earth's Radiation Budget","volume":"40","author":[{"family":"Coakley","given":"James A."},{"family":"Cess","given":"Robert D."},{"family":"Yurevich","given":"Franz B."}],"issued":{"date-parts":[["1983",1,1]]},"citation-key":"coakleyEffectTroposphericAerosols1983"}},{"id":579,"uris":["http://zotero.org/groups/4584967/items/G7LQL5AA"],"itemData":{"id":579,"type":"article-journal","abstract":"Theoretical considerations and empirical evidence indicate that atmospheric turbidity, a function of aerosol loading, is an important factor in the heat balance of the earth-atmosphere system. Turbidity increase over the past few decades may be primarily responsible for the decrease in worldwide air temperatures since the 1940's.","container-title":"Science","DOI":"10.1126/science.156.3780.1358","issue":"3780","note":"publisher: American Association for the Advancement of Science","page":"1358-1359","source":"science.org (Atypon)","title":"Climate Modification by Atmospheric Aerosols","volume":"156","author":[{"family":"McCormick","given":"Robert A."},{"family":"Ludwig","given":"John H."}],"issued":{"date-parts":[["1967",6,9]]},"citation-key":"mccormickClimateModificationAtmospheric1967"},"label":"page"}],"schema":"https://github.com/citation-style-language/schema/raw/master/csl-citation.json"} </w:instrText>
      </w:r>
      <w:r w:rsidR="006025D0">
        <w:rPr>
          <w:rFonts w:eastAsia="Times New Roman" w:cs="Times New Roman"/>
          <w:color w:val="000000"/>
          <w:szCs w:val="24"/>
        </w:rPr>
        <w:fldChar w:fldCharType="separate"/>
      </w:r>
      <w:r w:rsidR="006025D0" w:rsidRPr="006025D0">
        <w:rPr>
          <w:rFonts w:cs="Times New Roman"/>
        </w:rPr>
        <w:t>(Atwater, 1970; Boucher et al., 2013; Charlson &amp; Pilat, 1969; Coakley et al., 1983; McCormick &amp; Ludwig, 1967)</w:t>
      </w:r>
      <w:r w:rsidR="006025D0">
        <w:rPr>
          <w:rFonts w:eastAsia="Times New Roman" w:cs="Times New Roman"/>
          <w:color w:val="000000"/>
          <w:szCs w:val="24"/>
        </w:rPr>
        <w:fldChar w:fldCharType="end"/>
      </w:r>
      <w:r w:rsidRPr="00FF5E42">
        <w:rPr>
          <w:rFonts w:eastAsia="Times New Roman" w:cs="Times New Roman"/>
          <w:color w:val="000000"/>
          <w:szCs w:val="24"/>
        </w:rPr>
        <w:t>. The indirect effect is the change in cloud albedo and lifetime that causes affected clouds to reflect more shortwave radiation than they otherwise would</w:t>
      </w:r>
      <w:r w:rsidR="00BA2949">
        <w:rPr>
          <w:rFonts w:eastAsia="Times New Roman" w:cs="Times New Roman"/>
          <w:color w:val="000000"/>
          <w:szCs w:val="24"/>
        </w:rPr>
        <w:t xml:space="preserve"> </w:t>
      </w:r>
      <w:r w:rsidR="00BA2949">
        <w:rPr>
          <w:rFonts w:eastAsia="Times New Roman" w:cs="Times New Roman"/>
          <w:color w:val="000000"/>
          <w:szCs w:val="24"/>
        </w:rPr>
        <w:fldChar w:fldCharType="begin"/>
      </w:r>
      <w:r w:rsidR="00BB6527">
        <w:rPr>
          <w:rFonts w:eastAsia="Times New Roman" w:cs="Times New Roman"/>
          <w:color w:val="000000"/>
          <w:szCs w:val="24"/>
        </w:rPr>
        <w:instrText xml:space="preserve"> ADDIN ZOTERO_ITEM CSL_CITATION {"citationID":"BXcGpciC","properties":{"formattedCitation":"(Lohmann &amp; Feichter, 2005; Prather et al., 2008; Ramanathan et al., 2001)","plainCitation":"(Lohmann &amp; Feichter, 2005; Prather et al., 2008; Ramanathan et al., 2001)","noteIndex":0},"citationItems":[{"id":574,"uris":["http://zotero.org/groups/4584967/items/57LKJB8T"],"itemData":{"id":574,"type":"article-journal","abstract":"Aerosols affect the climate system by changing cloud characteristics in many ways. They act as cloud condensation and ice nuclei, they may inhibit freezing and they could have an influence on the hydrological cycle. While the cloud albedo enhancement (Twomey effect) of warm clouds received most attention so far and traditionally is the only indirect aerosol forcing considered in transient climate simulations, here we discuss the multitude of effects. Different approaches how the climatic implications of these aerosol effects can be estimated globally as well as improvements that are needed in global climate models in order to better represent indirect aerosol effects are discussed in this paper.","container-title":"Atmospheric Chemistry and Physics","DOI":"10.5194/acp-5-715-2005","ISSN":"1680-7316","issue":"3","language":"English","note":"publisher: Copernicus GmbH","page":"715-737","source":"Copernicus Online Journals","title":"Global indirect aerosol effects: a review","title-short":"Global indirect aerosol effects","volume":"5","author":[{"family":"Lohmann","given":"U."},{"family":"Feichter","given":"J."}],"issued":{"date-parts":[["2005",3,3]]},"citation-key":"lohmannGlobalIndirectAerosol2005"}},{"id":573,"uris":["http://zotero.org/groups/4584967/items/YT5RIR45"],"itemData":{"id":573,"type":"article-journal","abstract":"Aerosols represent an important component of the Earth's atmosphere. Because aerosols are composed of solid and liquid particles of varying chemical complexity, size, and phase, large challenges exist in understanding how they impact climate, health, and the chemistry of the atmosphere. Only through the integration of field, laboratory, and modeling analysis can we begin to unravel the roles atmospheric aerosols play in these global processes. In this article, we provide a brief review of the current state of the science in the analysis of atmospheric aerosols and some important challenges that need to be overcome before they can become fully integrated. It is clear that only when these areas are effectively bridged can we fully understand the impact that atmospheric aerosols have on our environment and the Earth's system at the level of scientific certainty necessary to design and implement sound environmental policies.","container-title":"Annual Review of Analytical Chemistry","DOI":"10.1146/annurev.anchem.1.031207.113030","issue":"1","note":"_eprint: https://doi.org/10.1146/annurev.anchem.1.031207.113030\nPMID: 20636087","page":"485-514","source":"Annual Reviews","title":"Analysis of Atmospheric Aerosols","volume":"1","author":[{"family":"Prather","given":"Kimberly A."},{"family":"Hatch","given":"Courtney D."},{"family":"Grassian","given":"Vicki H."}],"issued":{"date-parts":[["2008"]]},"citation-key":"pratherAnalysisAtmosphericAerosols2008"}},{"id":572,"uris":["http://zotero.org/groups/4584967/items/35Y9TLH7"],"itemData":{"id":572,"type":"article-journal","abstract":"Human activities are releasing tiny particles (aerosols) into the atmosphere. These human-made aerosols enhance scattering and absorption of solar radiation. They also produce brighter clouds that are less efficient at releasing precipitation. These in turn lead to large reductions in the amount of solar irradiance reaching Earth's surface, a corresponding increase in solar heating of the atmosphere, changes in the atmospheric temperature structure, suppression of rainfall, and less efficient removal of pollutants. These aerosol effects can lead to a weaker hydrological cycle, which connects directly to availability and quality of fresh water, a major environmental issue of the 21st century.","container-title":"Science","DOI":"10.1126/science.1064034","issue":"5549","note":"publisher: American Association for the Advancement of Science","page":"2119-2124","source":"science.org (Atypon)","title":"Aerosols, Climate, and the Hydrological Cycle","volume":"294","author":[{"family":"Ramanathan","given":"V."},{"family":"Crutzen","given":"P. J."},{"family":"Kiehl","given":"J. T."},{"family":"Rosenfeld","given":"D."}],"issued":{"date-parts":[["2001",12,7]]},"citation-key":"ramanathanAerosolsClimateHydrological2001"}}],"schema":"https://github.com/citation-style-language/schema/raw/master/csl-citation.json"} </w:instrText>
      </w:r>
      <w:r w:rsidR="00BA2949">
        <w:rPr>
          <w:rFonts w:eastAsia="Times New Roman" w:cs="Times New Roman"/>
          <w:color w:val="000000"/>
          <w:szCs w:val="24"/>
        </w:rPr>
        <w:fldChar w:fldCharType="separate"/>
      </w:r>
      <w:r w:rsidR="00BA2949" w:rsidRPr="00BA2949">
        <w:rPr>
          <w:rFonts w:cs="Times New Roman"/>
        </w:rPr>
        <w:t>(Lohmann &amp; Feichter, 2005; Prather et al., 2008; Ramanathan et al., 2001)</w:t>
      </w:r>
      <w:r w:rsidR="00BA2949">
        <w:rPr>
          <w:rFonts w:eastAsia="Times New Roman" w:cs="Times New Roman"/>
          <w:color w:val="000000"/>
          <w:szCs w:val="24"/>
        </w:rPr>
        <w:fldChar w:fldCharType="end"/>
      </w:r>
      <w:r w:rsidRPr="00FF5E42">
        <w:rPr>
          <w:rFonts w:eastAsia="Times New Roman" w:cs="Times New Roman"/>
          <w:color w:val="000000"/>
          <w:szCs w:val="24"/>
        </w:rPr>
        <w:t xml:space="preserve">. Increased aerosols in the atmosphere can lead to an increase in cloud condensation nuclei (CCN), which, assuming the same amount of water vapor in both scenarios, leads </w:t>
      </w:r>
      <w:r w:rsidR="00F91784">
        <w:rPr>
          <w:rFonts w:eastAsia="Times New Roman" w:cs="Times New Roman"/>
          <w:color w:val="000000"/>
          <w:szCs w:val="24"/>
        </w:rPr>
        <w:t xml:space="preserve">to </w:t>
      </w:r>
      <w:r w:rsidRPr="00FF5E42">
        <w:rPr>
          <w:rFonts w:eastAsia="Times New Roman" w:cs="Times New Roman"/>
          <w:color w:val="000000"/>
          <w:szCs w:val="24"/>
        </w:rPr>
        <w:t xml:space="preserve">smaller cloud droplets with </w:t>
      </w:r>
      <w:r w:rsidRPr="00FF5E42">
        <w:rPr>
          <w:rFonts w:eastAsia="Times New Roman" w:cs="Times New Roman"/>
          <w:color w:val="000000"/>
          <w:szCs w:val="24"/>
        </w:rPr>
        <w:lastRenderedPageBreak/>
        <w:t>higher albedo (reflectivity), known as the Twomey effect</w:t>
      </w:r>
      <w:r w:rsidR="00AD63EC">
        <w:rPr>
          <w:rFonts w:eastAsia="Times New Roman" w:cs="Times New Roman"/>
          <w:color w:val="000000"/>
          <w:szCs w:val="24"/>
        </w:rPr>
        <w:t xml:space="preserve"> </w:t>
      </w:r>
      <w:r w:rsidR="00AD63EC">
        <w:rPr>
          <w:rFonts w:eastAsia="Times New Roman" w:cs="Times New Roman"/>
          <w:color w:val="000000"/>
          <w:szCs w:val="24"/>
        </w:rPr>
        <w:fldChar w:fldCharType="begin"/>
      </w:r>
      <w:r w:rsidR="00BB6527">
        <w:rPr>
          <w:rFonts w:eastAsia="Times New Roman" w:cs="Times New Roman"/>
          <w:color w:val="000000"/>
          <w:szCs w:val="24"/>
        </w:rPr>
        <w:instrText xml:space="preserve"> ADDIN ZOTERO_ITEM CSL_CITATION {"citationID":"7W2GXgp9","properties":{"formattedCitation":"(Twomey, 1974)","plainCitation":"(Twomey, 1974)","noteIndex":0},"citationItems":[{"id":571,"uris":["http://zotero.org/groups/4584967/items/CF4L6SDF"],"itemData":{"id":571,"type":"article-journal","abstract":"Addition of cloud nuclei by pollution can lead to an increase in the solar radiation reflected by clouds. The reflection of solar energy by clouds already may have been increased by the addition of man-made cloud nuclei. The albedo of a cloud is proportional to optical thickness for thin clouds, but changes more slowly with increasing thickness. The optical thickness is increased when the number of cloud nuclei is increased. Although the changes are small, the long-term effect on climate can be profound.","container-title":"Atmospheric Environment (1967)","DOI":"10.1016/0004-6981(74)90004-3","ISSN":"0004-6981","issue":"12","journalAbbreviation":"Atmospheric Environment (1967)","page":"1251-1256","source":"ScienceDirect","title":"Pollution and the planetary albedo","volume":"8","author":[{"family":"Twomey","given":"S."}],"issued":{"date-parts":[["1974",12,1]]},"citation-key":"twomeyPollutionPlanetaryAlbedo1974"}}],"schema":"https://github.com/citation-style-language/schema/raw/master/csl-citation.json"} </w:instrText>
      </w:r>
      <w:r w:rsidR="00AD63EC">
        <w:rPr>
          <w:rFonts w:eastAsia="Times New Roman" w:cs="Times New Roman"/>
          <w:color w:val="000000"/>
          <w:szCs w:val="24"/>
        </w:rPr>
        <w:fldChar w:fldCharType="separate"/>
      </w:r>
      <w:r w:rsidR="00AD63EC" w:rsidRPr="00AD63EC">
        <w:rPr>
          <w:rFonts w:cs="Times New Roman"/>
        </w:rPr>
        <w:t>(Twomey, 1974)</w:t>
      </w:r>
      <w:r w:rsidR="00AD63EC">
        <w:rPr>
          <w:rFonts w:eastAsia="Times New Roman" w:cs="Times New Roman"/>
          <w:color w:val="000000"/>
          <w:szCs w:val="24"/>
        </w:rPr>
        <w:fldChar w:fldCharType="end"/>
      </w:r>
      <w:r w:rsidRPr="00FF5E42">
        <w:rPr>
          <w:rFonts w:eastAsia="Times New Roman" w:cs="Times New Roman"/>
          <w:color w:val="000000"/>
          <w:szCs w:val="24"/>
        </w:rPr>
        <w:t>.</w:t>
      </w:r>
      <w:r w:rsidR="006D4152">
        <w:rPr>
          <w:rFonts w:eastAsia="Times New Roman" w:cs="Times New Roman"/>
          <w:color w:val="000000"/>
          <w:szCs w:val="24"/>
        </w:rPr>
        <w:t xml:space="preserve"> H</w:t>
      </w:r>
      <w:r w:rsidRPr="00FF5E42">
        <w:rPr>
          <w:rFonts w:eastAsia="Times New Roman" w:cs="Times New Roman"/>
          <w:color w:val="000000"/>
          <w:szCs w:val="24"/>
        </w:rPr>
        <w:t xml:space="preserve">igher albedo </w:t>
      </w:r>
      <w:r w:rsidR="001907EA">
        <w:rPr>
          <w:rFonts w:eastAsia="Times New Roman" w:cs="Times New Roman"/>
          <w:color w:val="000000"/>
          <w:szCs w:val="24"/>
        </w:rPr>
        <w:t>causes</w:t>
      </w:r>
      <w:r w:rsidRPr="00FF5E42">
        <w:rPr>
          <w:rFonts w:eastAsia="Times New Roman" w:cs="Times New Roman"/>
          <w:color w:val="000000"/>
          <w:szCs w:val="24"/>
        </w:rPr>
        <w:t xml:space="preserve"> clouds </w:t>
      </w:r>
      <w:r w:rsidR="001907EA">
        <w:rPr>
          <w:rFonts w:eastAsia="Times New Roman" w:cs="Times New Roman"/>
          <w:color w:val="000000"/>
          <w:szCs w:val="24"/>
        </w:rPr>
        <w:t xml:space="preserve">to </w:t>
      </w:r>
      <w:r w:rsidRPr="00FF5E42">
        <w:rPr>
          <w:rFonts w:eastAsia="Times New Roman" w:cs="Times New Roman"/>
          <w:color w:val="000000"/>
          <w:szCs w:val="24"/>
        </w:rPr>
        <w:t>reflect more shortwave radiation</w:t>
      </w:r>
      <w:r w:rsidR="00F91784">
        <w:rPr>
          <w:rFonts w:eastAsia="Times New Roman" w:cs="Times New Roman"/>
          <w:color w:val="000000"/>
          <w:szCs w:val="24"/>
        </w:rPr>
        <w:t>,</w:t>
      </w:r>
      <w:r w:rsidRPr="00FF5E42">
        <w:rPr>
          <w:rFonts w:eastAsia="Times New Roman" w:cs="Times New Roman"/>
          <w:color w:val="000000"/>
          <w:szCs w:val="24"/>
        </w:rPr>
        <w:t xml:space="preserve"> and the decrease in cloud droplet effective radius also leads to </w:t>
      </w:r>
      <w:r w:rsidR="00F91784">
        <w:rPr>
          <w:rFonts w:eastAsia="Times New Roman" w:cs="Times New Roman"/>
          <w:color w:val="000000"/>
          <w:szCs w:val="24"/>
        </w:rPr>
        <w:t xml:space="preserve">a </w:t>
      </w:r>
      <w:r w:rsidRPr="00FF5E42">
        <w:rPr>
          <w:rFonts w:eastAsia="Times New Roman" w:cs="Times New Roman"/>
          <w:color w:val="000000"/>
          <w:szCs w:val="24"/>
        </w:rPr>
        <w:t>decreased chance of rain</w:t>
      </w:r>
      <w:r w:rsidR="00F91784">
        <w:rPr>
          <w:rFonts w:eastAsia="Times New Roman" w:cs="Times New Roman"/>
          <w:color w:val="000000"/>
          <w:szCs w:val="24"/>
        </w:rPr>
        <w:t xml:space="preserve"> and</w:t>
      </w:r>
      <w:r w:rsidRPr="00FF5E42">
        <w:rPr>
          <w:rFonts w:eastAsia="Times New Roman" w:cs="Times New Roman"/>
          <w:color w:val="000000"/>
          <w:szCs w:val="24"/>
        </w:rPr>
        <w:t xml:space="preserve"> an increase</w:t>
      </w:r>
      <w:r w:rsidR="001907EA">
        <w:rPr>
          <w:rFonts w:eastAsia="Times New Roman" w:cs="Times New Roman"/>
          <w:color w:val="000000"/>
          <w:szCs w:val="24"/>
        </w:rPr>
        <w:t>d</w:t>
      </w:r>
      <w:r w:rsidRPr="00FF5E42">
        <w:rPr>
          <w:rFonts w:eastAsia="Times New Roman" w:cs="Times New Roman"/>
          <w:color w:val="000000"/>
          <w:szCs w:val="24"/>
        </w:rPr>
        <w:t xml:space="preserve"> </w:t>
      </w:r>
      <w:r w:rsidR="001907EA">
        <w:rPr>
          <w:rFonts w:eastAsia="Times New Roman" w:cs="Times New Roman"/>
          <w:color w:val="000000"/>
          <w:szCs w:val="24"/>
        </w:rPr>
        <w:t>c</w:t>
      </w:r>
      <w:r w:rsidRPr="00FF5E42">
        <w:rPr>
          <w:rFonts w:eastAsia="Times New Roman" w:cs="Times New Roman"/>
          <w:color w:val="000000"/>
          <w:szCs w:val="24"/>
        </w:rPr>
        <w:t>loud lifetime</w:t>
      </w:r>
      <w:r w:rsidR="001C0E4D">
        <w:rPr>
          <w:rFonts w:eastAsia="Times New Roman" w:cs="Times New Roman"/>
          <w:color w:val="000000"/>
          <w:szCs w:val="24"/>
        </w:rPr>
        <w:t>,</w:t>
      </w:r>
      <w:r w:rsidRPr="00FF5E42">
        <w:rPr>
          <w:rFonts w:eastAsia="Times New Roman" w:cs="Times New Roman"/>
          <w:color w:val="000000"/>
          <w:szCs w:val="24"/>
        </w:rPr>
        <w:t xml:space="preserve"> known as the Albrecht effect</w:t>
      </w:r>
      <w:r w:rsidR="00FF4C09">
        <w:rPr>
          <w:rFonts w:eastAsia="Times New Roman" w:cs="Times New Roman"/>
          <w:color w:val="000000"/>
          <w:szCs w:val="24"/>
        </w:rPr>
        <w:t xml:space="preserve"> </w:t>
      </w:r>
      <w:r w:rsidR="00FF4C09">
        <w:rPr>
          <w:rFonts w:eastAsia="Times New Roman" w:cs="Times New Roman"/>
          <w:color w:val="000000"/>
          <w:szCs w:val="24"/>
        </w:rPr>
        <w:fldChar w:fldCharType="begin"/>
      </w:r>
      <w:r w:rsidR="00BB6527">
        <w:rPr>
          <w:rFonts w:eastAsia="Times New Roman" w:cs="Times New Roman"/>
          <w:color w:val="000000"/>
          <w:szCs w:val="24"/>
        </w:rPr>
        <w:instrText xml:space="preserve"> ADDIN ZOTERO_ITEM CSL_CITATION {"citationID":"quBj0xvU","properties":{"formattedCitation":"(Albrecht, 1989)","plainCitation":"(Albrecht, 1989)","noteIndex":0},"citationItems":[{"id":570,"uris":["http://zotero.org/groups/4584967/items/XRX8LC3T"],"itemData":{"id":570,"type":"article-journal","abstract":"Increases in aerosol concentrations over the oceans may increase the amount of low-level cloudiness through a reduction in drizzle—a process that regulates the liquid-water content and the energetics of shallow marine clouds. The resulting increase in the global albedo would be in addition to the increase due to enhancement in reflectivity associated with a decrease in droplet size and would contribute to a cooling of the earth's surface.","container-title":"Science","DOI":"10.1126/science.245.4923.1227","issue":"4923","note":"publisher: American Association for the Advancement of Science","page":"1227-1230","source":"science.org (Atypon)","title":"Aerosols, Cloud Microphysics, and Fractional Cloudiness","volume":"245","author":[{"family":"Albrecht","given":"Bruce A."}],"issued":{"date-parts":[["1989",9,15]]},"citation-key":"albrechtAerosolsCloudMicrophysics1989"}}],"schema":"https://github.com/citation-style-language/schema/raw/master/csl-citation.json"} </w:instrText>
      </w:r>
      <w:r w:rsidR="00FF4C09">
        <w:rPr>
          <w:rFonts w:eastAsia="Times New Roman" w:cs="Times New Roman"/>
          <w:color w:val="000000"/>
          <w:szCs w:val="24"/>
        </w:rPr>
        <w:fldChar w:fldCharType="separate"/>
      </w:r>
      <w:r w:rsidR="00FF4C09" w:rsidRPr="00FF4C09">
        <w:rPr>
          <w:rFonts w:cs="Times New Roman"/>
        </w:rPr>
        <w:t>(Albrecht, 1989)</w:t>
      </w:r>
      <w:r w:rsidR="00FF4C09">
        <w:rPr>
          <w:rFonts w:eastAsia="Times New Roman" w:cs="Times New Roman"/>
          <w:color w:val="000000"/>
          <w:szCs w:val="24"/>
        </w:rPr>
        <w:fldChar w:fldCharType="end"/>
      </w:r>
      <w:r w:rsidRPr="00FF5E42">
        <w:rPr>
          <w:rFonts w:eastAsia="Times New Roman" w:cs="Times New Roman"/>
          <w:color w:val="000000"/>
          <w:szCs w:val="24"/>
        </w:rPr>
        <w:t>. A brighter, more persistent cloud will again lead to more shortwave radiation reflected and a cooler Earth.</w:t>
      </w:r>
      <w:r w:rsidR="003F3B88" w:rsidRPr="00FF5E42">
        <w:rPr>
          <w:rFonts w:eastAsia="Times New Roman" w:cs="Times New Roman"/>
          <w:szCs w:val="24"/>
        </w:rPr>
        <w:t xml:space="preserve"> </w:t>
      </w:r>
    </w:p>
    <w:p w14:paraId="5D4F61D8" w14:textId="2C7781AD" w:rsidR="00FF5E42" w:rsidRPr="00FF5E42" w:rsidRDefault="00FF5E42" w:rsidP="00FF5E42">
      <w:pPr>
        <w:spacing w:after="240"/>
        <w:ind w:firstLine="720"/>
        <w:rPr>
          <w:rFonts w:eastAsia="Times New Roman" w:cs="Times New Roman"/>
          <w:szCs w:val="24"/>
        </w:rPr>
      </w:pPr>
      <w:r w:rsidRPr="00FF5E42">
        <w:rPr>
          <w:rFonts w:eastAsia="Times New Roman" w:cs="Times New Roman"/>
          <w:color w:val="000000"/>
          <w:szCs w:val="24"/>
        </w:rPr>
        <w:t xml:space="preserve">Aerosols also </w:t>
      </w:r>
      <w:r w:rsidR="00C219F3">
        <w:rPr>
          <w:rFonts w:eastAsia="Times New Roman" w:cs="Times New Roman"/>
          <w:color w:val="000000"/>
          <w:szCs w:val="24"/>
        </w:rPr>
        <w:t>affect</w:t>
      </w:r>
      <w:r w:rsidRPr="00FF5E42">
        <w:rPr>
          <w:rFonts w:eastAsia="Times New Roman" w:cs="Times New Roman"/>
          <w:color w:val="000000"/>
          <w:szCs w:val="24"/>
        </w:rPr>
        <w:t xml:space="preserve"> extreme weather like tropical cyclones (TC). Rosenfeld et al.</w:t>
      </w:r>
      <w:r w:rsidR="001632AB">
        <w:rPr>
          <w:rFonts w:eastAsia="Times New Roman" w:cs="Times New Roman"/>
          <w:color w:val="000000"/>
          <w:szCs w:val="24"/>
        </w:rPr>
        <w:t>, (2012)</w:t>
      </w:r>
      <w:r w:rsidRPr="00FF5E42">
        <w:rPr>
          <w:rFonts w:eastAsia="Times New Roman" w:cs="Times New Roman"/>
          <w:color w:val="000000"/>
          <w:szCs w:val="24"/>
        </w:rPr>
        <w:t xml:space="preserve"> noted how CCN absorbed by a TC can significantly weaken its intensity. This </w:t>
      </w:r>
      <w:r w:rsidR="006074A1">
        <w:rPr>
          <w:rFonts w:eastAsia="Times New Roman" w:cs="Times New Roman"/>
          <w:color w:val="000000"/>
          <w:szCs w:val="24"/>
        </w:rPr>
        <w:t xml:space="preserve">mechanism </w:t>
      </w:r>
      <w:r w:rsidRPr="00FF5E42">
        <w:rPr>
          <w:rFonts w:eastAsia="Times New Roman" w:cs="Times New Roman"/>
          <w:color w:val="000000"/>
          <w:szCs w:val="24"/>
        </w:rPr>
        <w:t>is accomplished through “redistributing the precipitation and latent heating to more vigorous convection in the storm periphery that cools the low levels and interferes with the inflow of energy to the eyewall, making the eye larger and the maximum winds weaker”. This effect was observed through both simulations and observations</w:t>
      </w:r>
      <w:r w:rsidR="00B12218">
        <w:rPr>
          <w:rFonts w:eastAsia="Times New Roman" w:cs="Times New Roman"/>
          <w:color w:val="000000"/>
          <w:szCs w:val="24"/>
        </w:rPr>
        <w:t xml:space="preserve"> </w:t>
      </w:r>
      <w:r w:rsidR="00B12218">
        <w:rPr>
          <w:rFonts w:eastAsia="Times New Roman" w:cs="Times New Roman"/>
          <w:color w:val="000000"/>
          <w:szCs w:val="24"/>
        </w:rPr>
        <w:fldChar w:fldCharType="begin"/>
      </w:r>
      <w:r w:rsidR="00BB6527">
        <w:rPr>
          <w:rFonts w:eastAsia="Times New Roman" w:cs="Times New Roman"/>
          <w:color w:val="000000"/>
          <w:szCs w:val="24"/>
        </w:rPr>
        <w:instrText xml:space="preserve"> ADDIN ZOTERO_ITEM CSL_CITATION {"citationID":"wmWUGZog","properties":{"formattedCitation":"(Khain et al., 2008; Koren et al., 2005, 2010; C. Wang, 2005)","plainCitation":"(Khain et al., 2008; Koren et al., 2005, 2010; C. Wang, 2005)","dontUpdate":true,"noteIndex":0},"citationItems":[{"id":623,"uris":["http://zotero.org/groups/4584967/items/FVTQ6IIZ"],"itemData":{"id":623,"type":"article-journal","abstract":"Abstract According to observations of hurricanes located relatively close to the land, intense and persistent lightning takes place within a 250–300-km radius ring around the hurricane center, whereas the lightning activity in the eyewall takes place only during comparatively short periods usually attributed to eyewall replacement. The mechanism responsible for the formation of the maximum flash density at the tropical cyclone (TC) periphery is not well understood as yet. In this study it is hypothesized that lightning at the TC periphery arises under the influence of small continental aerosol particles (APs), which affect the microphysics and the dynamics of clouds at the TC periphery. To show that aerosols change the cloud microstructure and the dynamics to foster lightning formation, the authors use a 2D mixed-phase cloud model with spectral microphysics. It is shown that aerosols that penetrate the cloud base of maritime clouds dramatically increase the amount of supercooled water, as well as the ice contents and vertical velocities. As a result, in clouds developing in the air with high AP concentration, ice crystals, graupel, frozen drops and/or hail, and supercooled water can coexist within a single cloud zone, which allows collisions and charge separation. The simulation of possible aerosol effects on the landfalling tropical cyclone has been carried out using a 3-km-resolution Weather Research and Forecast (WRF) mesoscale model. It is shown that aerosols change the cloud microstructure in a way that permits the attribution of the observed lightning structure to the effects of continental aerosols. It is also shown that aerosols, which invigorate clouds at 250–300 km from the TC center, decrease the convection intensity in the TC center, leading to some TC weakening. The results suggest that aerosols change the intensity and the spatial distribution of precipitation in landfalling TCs and can possibly contribute to the weekly cycle of the intensity and precipitation of landfalling TCs. More detailed investigations of the TC–aerosol interaction are required.","container-title":"Journal of the Atmospheric Sciences","DOI":"10.1175/2008JAS2678.1","ISSN":"0022-4928, 1520-0469","issue":"12","language":"EN","note":"publisher: American Meteorological Society\nsection: Journal of the Atmospheric Sciences","page":"3652-3677","source":"journals.ametsoc.org","title":"Possible Aerosol Effects on Lightning Activity and Structure of Hurricanes","volume":"65","author":[{"family":"Khain","given":"A."},{"family":"Cohen","given":"N."},{"family":"Lynn","given":"B."},{"family":"Pokrovsky","given":"A."}],"issued":{"date-parts":[["2008",12,1]]},"citation-key":"khainPossibleAerosolEffects2008"}},{"id":621,"uris":["http://zotero.org/groups/4584967/items/TUJFMLZ9"],"itemData":{"id":621,"type":"article-journal","abstract":"The effect of aerosol on clouds poses one of the largest uncertainties in estimating the anthropogenic contribution to climate change. Small human-induced perturbations to cloud characteristics via aerosol pathways can create a change in the top-of-atmosphere radiative forcing of hundreds of Wm−2. Here we focus on links between aerosol and deep convective clouds of the Atlantic and Pacific Intertropical Convergence Zones, noting that the aerosol environment in each region is entirely different. The tops of these vertically developed clouds consisting of mostly ice can reach high levels of the atmosphere, overshooting the lower stratosphere and reaching altitudes greater than 16 km. We show a link between aerosol, clouds and the free atmosphere wind profile that can change the magnitude and sign of the overall climate radiative forcing. \n\n We find that increased aerosol loading is associated with taller cloud towers and anvils. The taller clouds reach levels of enhanced wind speeds that act to spread and thin the anvil clouds, increasing areal coverage and decreasing cloud optical depth. The radiative effect of this transition is to create a positive radiative forcing (warming) at top-of-atmosphere. \n\n Furthermore we introduce the cloud optical depth (&amp;tau;), cloud height (Z) forcing space and show that underestimation of radiative forcing is likely to occur in cases of non homogenous clouds. Specifically, the mean radiative forcing of towers and anvils in the same scene can be several times greater than simply calculating the forcing from the mean cloud optical depth in the scene. \n\n Limitations of the method are discussed, alternative sources of aerosol loading are tested and meteorological variance is restricted, but the trend of taller clouds, increased and thinner anvils associated with increased aerosol loading remains robust through all the different tests and perturbations.","container-title":"Atmospheric Chemistry and Physics","DOI":"10.5194/acp-10-5001-2010","ISSN":"1680-7316","issue":"10","language":"English","note":"publisher: Copernicus GmbH","page":"5001-5010","source":"Copernicus Online Journals","title":"Aerosol-induced changes of convective cloud anvils produce strong climate warming","volume":"10","author":[{"family":"Koren","given":"I."},{"family":"Remer","given":"L. A."},{"family":"Altaratz","given":"O."},{"family":"Martins","given":"J. V."},{"family":"Davidi","given":"A."}],"issued":{"date-parts":[["2010",5,31]]},"citation-key":"korenAerosolinducedChangesConvective2010"}},{"id":620,"uris":["http://zotero.org/groups/4584967/items/53SA3UQR"],"itemData":{"id":620,"type":"article-journal","abstract":"Clouds and precipitation play crucial roles in the Earth's energy balance, global atmospheric circulation and the availability of fresh water. Aerosols may modify cloud properties and precipitation formation by modifying the concentration and size of cloud droplets, and consequently the strength of cloud convection, and height of glaciation levels thus affecting precipitation patterns. Here we evaluate the aerosol effect on clouds, using large statistics of daily satellite data over the North Atlantic Ocean. We found a strong correlation between the presence of aerosols and the structural properties of convective clouds. These correlations suggest systematic invigoration of convective clouds by pollution, desert dust and biomass burning aerosols. On average increase in the aerosol concentration from a baseline to the average values is associated with a 0.05 ± 0.01 increase in the cloud fraction and a 40 ± 5mb decrease in the cloud top pressure.","container-title":"Geophysical Research Letters","DOI":"10.1029/2005GL023187","ISSN":"1944-8007","issue":"14","language":"en","license":"Copyright 2005 by the American Geophysical Union.","note":"_eprint: https://onlinelibrary.wiley.com/doi/pdf/10.1029/2005GL023187","source":"Wiley Online Library","title":"Aerosol invigoration and restructuring of Atlantic convective clouds","URL":"https://onlinelibrary.wiley.com/doi/abs/10.1029/2005GL023187","volume":"32","author":[{"family":"Koren","given":"I."},{"family":"Kaufman","given":"Y. J."},{"family":"Rosenfeld","given":"D."},{"family":"Remer","given":"L. A."},{"family":"Rudich","given":"Y."}],"accessed":{"date-parts":[["2024",2,12]]},"issued":{"date-parts":[["2005"]]},"citation-key":"korenAerosolInvigorationRestructuring2005"}},{"id":622,"uris":["http://zotero.org/groups/4584967/items/5ZYGU939"],"itemData":{"id":622,"type":"article-journal","abstract":"The responses of cloud physical processes of a developing tropical deep convection to the increase of CCN concentration have been studied using a three-dimensional cloud-resolving model. Three sets of model simulations, each consisting of 30 runs initialized using a set of 30 different CCN profiles with maximum concentrations ranging from 50 to 6000/cm3, have been carried out. The finding of this study that cloud droplet number concentration increases while cloud droplet size decreases with aerosol concentration is similar to the previous results mainly revealed in studies of stratiform clouds. However, the responses to increasing aerosol concentration of many other cloud properties illustrated in this study, particularly precipitation, are very different from those found or suggested in studies of stratiform clouds. Increasing CCN concentration causes a stronger convection, added mass of condensed water, and enhanced microphysical conversions, all leading to the increase in precipitation as well as the expansion of the cloud coverage. Interestingly, when initial CCN concentration exceeds a certain level, many of the above effects become insignificant, suggesting a relationship between some cloud properties and the logarithm of CCN concentration and further implying that a more substantial aerosol effect on deep convection could be seen over a clean rather than polluted region. Overall speaking, increasing CCN concentration does not significantly affect the precipitation efficiency. The increase with CCN concentration of upward flux of water vapor entering the cloud thus leads to an enhancement in moistening the free troposphere brought by the modeled cloud, besides adding more precipitation to the ground.","container-title":"Journal of Geophysical Research: Atmospheres","DOI":"10.1029/2004JD005720","ISSN":"2156-2202","issue":"D21","language":"en","license":"Copyright 2005 by the American Geophysical Union.","note":"_eprint: https://onlinelibrary.wiley.com/doi/pdf/10.1029/2004JD005720","source":"Wiley Online Library","title":"A modeling study of the response of tropical deep convection to the increase of cloud condensation nuclei concentration: 1. Dynamics and microphysics","title-short":"A modeling study of the response of tropical deep convection to the increase of cloud condensation nuclei concentration","URL":"https://onlinelibrary.wiley.com/doi/abs/10.1029/2004JD005720","volume":"110","author":[{"family":"Wang","given":"C."}],"accessed":{"date-parts":[["2024",2,12]]},"issued":{"date-parts":[["2005"]]},"citation-key":"wangModelingStudyResponse2005"}}],"schema":"https://github.com/citation-style-language/schema/raw/master/csl-citation.json"} </w:instrText>
      </w:r>
      <w:r w:rsidR="00B12218">
        <w:rPr>
          <w:rFonts w:eastAsia="Times New Roman" w:cs="Times New Roman"/>
          <w:color w:val="000000"/>
          <w:szCs w:val="24"/>
        </w:rPr>
        <w:fldChar w:fldCharType="separate"/>
      </w:r>
      <w:r w:rsidR="00DC2558" w:rsidRPr="00DC2558">
        <w:rPr>
          <w:rFonts w:cs="Times New Roman"/>
        </w:rPr>
        <w:t>(Khain et al., 2008; Koren et al., 2005, 2010; Wang, 2005)</w:t>
      </w:r>
      <w:r w:rsidR="00B12218">
        <w:rPr>
          <w:rFonts w:eastAsia="Times New Roman" w:cs="Times New Roman"/>
          <w:color w:val="000000"/>
          <w:szCs w:val="24"/>
        </w:rPr>
        <w:fldChar w:fldCharType="end"/>
      </w:r>
      <w:r w:rsidRPr="00FF5E42">
        <w:rPr>
          <w:rFonts w:eastAsia="Times New Roman" w:cs="Times New Roman"/>
          <w:color w:val="000000"/>
          <w:szCs w:val="24"/>
        </w:rPr>
        <w:t>.</w:t>
      </w:r>
    </w:p>
    <w:p w14:paraId="4D138CB8" w14:textId="77A47FF9" w:rsidR="00B667A3" w:rsidRPr="004E25C7" w:rsidRDefault="00FF5E42" w:rsidP="004E25C7">
      <w:pPr>
        <w:spacing w:after="240"/>
        <w:ind w:firstLine="720"/>
        <w:rPr>
          <w:rFonts w:eastAsia="Times New Roman" w:cs="Times New Roman"/>
          <w:szCs w:val="24"/>
        </w:rPr>
      </w:pPr>
      <w:r w:rsidRPr="00FF5E42">
        <w:rPr>
          <w:rFonts w:eastAsia="Times New Roman" w:cs="Times New Roman"/>
          <w:color w:val="000000"/>
          <w:szCs w:val="24"/>
        </w:rPr>
        <w:t xml:space="preserve">The impact of aerosols on vertical heating profiles is not just limited to extreme weather events. For instance, aerosols have been shown to impact the </w:t>
      </w:r>
      <w:r w:rsidR="00783156">
        <w:rPr>
          <w:rFonts w:eastAsia="Times New Roman" w:cs="Times New Roman"/>
          <w:color w:val="000000"/>
          <w:szCs w:val="24"/>
        </w:rPr>
        <w:t>height of the planetary boundary layer (PBL)</w:t>
      </w:r>
      <w:r w:rsidR="0068678F">
        <w:rPr>
          <w:rFonts w:eastAsia="Times New Roman" w:cs="Times New Roman"/>
          <w:color w:val="000000"/>
          <w:szCs w:val="24"/>
        </w:rPr>
        <w:t xml:space="preserve"> </w:t>
      </w:r>
      <w:r w:rsidR="0068678F">
        <w:rPr>
          <w:rFonts w:eastAsia="Times New Roman" w:cs="Times New Roman"/>
          <w:color w:val="000000"/>
          <w:szCs w:val="24"/>
        </w:rPr>
        <w:fldChar w:fldCharType="begin"/>
      </w:r>
      <w:r w:rsidR="00BB6527">
        <w:rPr>
          <w:rFonts w:eastAsia="Times New Roman" w:cs="Times New Roman"/>
          <w:color w:val="000000"/>
          <w:szCs w:val="24"/>
        </w:rPr>
        <w:instrText xml:space="preserve"> ADDIN ZOTERO_ITEM CSL_CITATION {"citationID":"Z5Uvqr4n","properties":{"formattedCitation":"(Q. Zhang et al., 2012)","plainCitation":"(Q. Zhang et al., 2012)","dontUpdate":true,"noteIndex":0},"citationItems":[{"id":567,"uris":["http://zotero.org/groups/4584967/items/EF8AYJ3A"],"itemData":{"id":567,"type":"article-journal","abstract":"The impact of aerosol composition on cloud condensation nuclei (CCN) activity were analyzed in this study based on field experiments carried out at downtown Tianjin, China in September 2010. In the experiments, the CCN measurements were performed at supersaturation (SS) of 0.1%, 0.2% and 0.4% using a thermal-gradient diffusion chamber (DMT CCNC), whereas the aerosol size distribution and composition were simultaneously measured with a TSI SMPS and an Aerodyne Aerosol Mass Spectrometer (AMS), respectively. The results show that the influence of aerosol composition on CCN activity is notable under low SS (0.1%), and their influence decreased with increasing SS. For example, under SS of 0.1%, the CCN activity increases from 4.5±2.6% to 12.8±6.1% when organics fraction decrease from 30–40% to 10–20%. The rate of increase reached up to 184%. While under SS of 0.4%, the CCN activity increases only from 35.7±19.0% to 46.5±12.3% correspondingly. The calculated NCCN based on the size-resolved activation ratio and aerosol number size distribution correlated well with observed NCCN at high SS (0.4%), but this consistence decreased with the falling of SS. The slopes of linear fitted lines between calculated and observed NCCN are 0.708, 0.947, and 0.995 at SS of 0.1%, 0.2% and 0.4% respectively. Moreover, the stand deviation (SD) of calculated NCCN increased with the decreasing of SS. A case study of CCN closure analyses indicated that the calculated error of NCCN could reach up to 34% at SS of 0.1% if aerosol composition were not included, and the calculated error decreased with the raising of SS. It is decreased to 9% at SS of 0.2%, and further decreased to 4% at SS of 0.4%.","container-title":"Atmospheric Chemistry and Physics","DOI":"10.5194/acp-12-3783-2012","ISSN":"1680-7316","issue":"8","language":"English","note":"publisher: Copernicus GmbH","page":"3783-3790","source":"Copernicus Online Journals","title":"Impact of aerosol composition on cloud condensation nuclei activity","volume":"12","author":[{"family":"Zhang","given":"Q."},{"family":"Meng","given":"J."},{"family":"Quan","given":"J."},{"family":"Gao","given":"Y."},{"family":"Zhao","given":"D."},{"family":"Chen","given":"P."},{"family":"He","given":"H."}],"issued":{"date-parts":[["2012",4,25]]},"citation-key":"zhangImpactAerosolComposition2012"}}],"schema":"https://github.com/citation-style-language/schema/raw/master/csl-citation.json"} </w:instrText>
      </w:r>
      <w:r w:rsidR="0068678F">
        <w:rPr>
          <w:rFonts w:eastAsia="Times New Roman" w:cs="Times New Roman"/>
          <w:color w:val="000000"/>
          <w:szCs w:val="24"/>
        </w:rPr>
        <w:fldChar w:fldCharType="separate"/>
      </w:r>
      <w:r w:rsidR="008C3F88" w:rsidRPr="008C3F88">
        <w:rPr>
          <w:rFonts w:cs="Times New Roman"/>
        </w:rPr>
        <w:t>(Zhang et al., 2012)</w:t>
      </w:r>
      <w:r w:rsidR="0068678F">
        <w:rPr>
          <w:rFonts w:eastAsia="Times New Roman" w:cs="Times New Roman"/>
          <w:color w:val="000000"/>
          <w:szCs w:val="24"/>
        </w:rPr>
        <w:fldChar w:fldCharType="end"/>
      </w:r>
      <w:r w:rsidRPr="00FF5E42">
        <w:rPr>
          <w:rFonts w:eastAsia="Times New Roman" w:cs="Times New Roman"/>
          <w:color w:val="000000"/>
          <w:szCs w:val="24"/>
        </w:rPr>
        <w:t>. Quan</w:t>
      </w:r>
      <w:r w:rsidR="004A5299">
        <w:rPr>
          <w:rFonts w:eastAsia="Times New Roman" w:cs="Times New Roman"/>
          <w:color w:val="000000"/>
          <w:szCs w:val="24"/>
        </w:rPr>
        <w:t xml:space="preserve"> et al., (2012)</w:t>
      </w:r>
      <w:r w:rsidRPr="00FF5E42">
        <w:rPr>
          <w:rFonts w:eastAsia="Times New Roman" w:cs="Times New Roman"/>
          <w:color w:val="000000"/>
          <w:szCs w:val="24"/>
        </w:rPr>
        <w:t xml:space="preserve"> use</w:t>
      </w:r>
      <w:r w:rsidR="00E06A5B">
        <w:rPr>
          <w:rFonts w:eastAsia="Times New Roman" w:cs="Times New Roman"/>
          <w:color w:val="000000"/>
          <w:szCs w:val="24"/>
        </w:rPr>
        <w:t>d</w:t>
      </w:r>
      <w:r w:rsidRPr="00FF5E42">
        <w:rPr>
          <w:rFonts w:eastAsia="Times New Roman" w:cs="Times New Roman"/>
          <w:color w:val="000000"/>
          <w:szCs w:val="24"/>
        </w:rPr>
        <w:t xml:space="preserve"> various remote sensing instruments to measure the vertical profile of aerosols and the PBL height</w:t>
      </w:r>
      <w:r w:rsidR="00744457">
        <w:rPr>
          <w:rFonts w:eastAsia="Times New Roman" w:cs="Times New Roman"/>
          <w:color w:val="000000"/>
          <w:szCs w:val="24"/>
        </w:rPr>
        <w:t>.</w:t>
      </w:r>
      <w:r w:rsidRPr="00FF5E42">
        <w:rPr>
          <w:rFonts w:eastAsia="Times New Roman" w:cs="Times New Roman"/>
          <w:color w:val="000000"/>
          <w:szCs w:val="24"/>
        </w:rPr>
        <w:t xml:space="preserve"> </w:t>
      </w:r>
      <w:r w:rsidR="007F0315">
        <w:rPr>
          <w:rFonts w:eastAsia="Times New Roman" w:cs="Times New Roman"/>
          <w:color w:val="000000"/>
          <w:szCs w:val="24"/>
        </w:rPr>
        <w:t>They</w:t>
      </w:r>
      <w:r w:rsidRPr="00FF5E42">
        <w:rPr>
          <w:rFonts w:eastAsia="Times New Roman" w:cs="Times New Roman"/>
          <w:color w:val="000000"/>
          <w:szCs w:val="24"/>
        </w:rPr>
        <w:t xml:space="preserve"> found that aerosol concentration and PBL height were anticorrelated during clear and haze conditions</w:t>
      </w:r>
      <w:r w:rsidR="00BF51E4">
        <w:rPr>
          <w:rFonts w:eastAsia="Times New Roman" w:cs="Times New Roman"/>
          <w:color w:val="000000"/>
          <w:szCs w:val="24"/>
        </w:rPr>
        <w:t xml:space="preserve">. The results from this study showed that the </w:t>
      </w:r>
      <w:r w:rsidRPr="00FF5E42">
        <w:rPr>
          <w:rFonts w:eastAsia="Times New Roman" w:cs="Times New Roman"/>
          <w:color w:val="000000"/>
          <w:szCs w:val="24"/>
        </w:rPr>
        <w:t xml:space="preserve">average maximum PBL heights were </w:t>
      </w:r>
      <w:r w:rsidR="003D09F2">
        <w:rPr>
          <w:rFonts w:eastAsia="Times New Roman" w:cs="Times New Roman"/>
          <w:color w:val="000000"/>
          <w:szCs w:val="24"/>
        </w:rPr>
        <w:t>approximate</w:t>
      </w:r>
      <w:r w:rsidR="00397D61">
        <w:rPr>
          <w:rFonts w:eastAsia="Times New Roman" w:cs="Times New Roman"/>
          <w:color w:val="000000"/>
          <w:szCs w:val="24"/>
        </w:rPr>
        <w:t xml:space="preserve">ly </w:t>
      </w:r>
      <w:r w:rsidRPr="00FF5E42">
        <w:rPr>
          <w:rFonts w:eastAsia="Times New Roman" w:cs="Times New Roman"/>
          <w:color w:val="000000"/>
          <w:szCs w:val="24"/>
        </w:rPr>
        <w:t>1.08 and 1.7 km while the averaged aerosol concentrations were 52 and 17 μg</w:t>
      </w:r>
      <w:r w:rsidR="006E0F45">
        <w:rPr>
          <w:rFonts w:eastAsia="Times New Roman" w:cs="Times New Roman"/>
          <w:color w:val="000000"/>
          <w:szCs w:val="24"/>
        </w:rPr>
        <w:t>m</w:t>
      </w:r>
      <w:r w:rsidR="006E0F45" w:rsidRPr="00B04648">
        <w:rPr>
          <w:rFonts w:eastAsia="Times New Roman" w:cs="Times New Roman"/>
          <w:color w:val="000000"/>
          <w:szCs w:val="24"/>
          <w:vertAlign w:val="superscript"/>
        </w:rPr>
        <w:t>-3</w:t>
      </w:r>
      <w:r w:rsidRPr="00FF5E42">
        <w:rPr>
          <w:rFonts w:eastAsia="Times New Roman" w:cs="Times New Roman"/>
          <w:color w:val="000000"/>
          <w:szCs w:val="24"/>
        </w:rPr>
        <w:t xml:space="preserve"> under haze and clear sky conditions, respectively. </w:t>
      </w:r>
      <w:r w:rsidR="00451F68">
        <w:rPr>
          <w:rFonts w:eastAsia="Times New Roman" w:cs="Times New Roman"/>
          <w:color w:val="000000"/>
          <w:szCs w:val="24"/>
        </w:rPr>
        <w:t>A</w:t>
      </w:r>
      <w:r w:rsidRPr="00FF5E42">
        <w:rPr>
          <w:rFonts w:eastAsia="Times New Roman" w:cs="Times New Roman"/>
          <w:color w:val="000000"/>
          <w:szCs w:val="24"/>
        </w:rPr>
        <w:t xml:space="preserve"> positive feedback loop in which haze conditions </w:t>
      </w:r>
      <w:r w:rsidR="00451F68">
        <w:rPr>
          <w:rFonts w:eastAsia="Times New Roman" w:cs="Times New Roman"/>
          <w:color w:val="000000"/>
          <w:szCs w:val="24"/>
        </w:rPr>
        <w:t>(</w:t>
      </w:r>
      <w:r w:rsidRPr="00FF5E42">
        <w:rPr>
          <w:rFonts w:eastAsia="Times New Roman" w:cs="Times New Roman"/>
          <w:color w:val="000000"/>
          <w:szCs w:val="24"/>
        </w:rPr>
        <w:t>i.e.</w:t>
      </w:r>
      <w:r w:rsidR="00451F68">
        <w:rPr>
          <w:rFonts w:eastAsia="Times New Roman" w:cs="Times New Roman"/>
          <w:color w:val="000000"/>
          <w:szCs w:val="24"/>
        </w:rPr>
        <w:t>,</w:t>
      </w:r>
      <w:r w:rsidRPr="00FF5E42">
        <w:rPr>
          <w:rFonts w:eastAsia="Times New Roman" w:cs="Times New Roman"/>
          <w:color w:val="000000"/>
          <w:szCs w:val="24"/>
        </w:rPr>
        <w:t xml:space="preserve"> high aerosol concentrations</w:t>
      </w:r>
      <w:r w:rsidR="00451F68">
        <w:rPr>
          <w:rFonts w:eastAsia="Times New Roman" w:cs="Times New Roman"/>
          <w:color w:val="000000"/>
          <w:szCs w:val="24"/>
        </w:rPr>
        <w:t>)</w:t>
      </w:r>
      <w:r w:rsidRPr="00FF5E42">
        <w:rPr>
          <w:rFonts w:eastAsia="Times New Roman" w:cs="Times New Roman"/>
          <w:color w:val="000000"/>
          <w:szCs w:val="24"/>
        </w:rPr>
        <w:t xml:space="preserve">, significantly reduced heat flux and repressed the PBL, which in turn usually led to higher aerosol concentrations. </w:t>
      </w:r>
      <w:r w:rsidR="0085581E" w:rsidRPr="00FF5E42">
        <w:rPr>
          <w:rFonts w:eastAsia="Times New Roman" w:cs="Times New Roman"/>
          <w:color w:val="000000"/>
          <w:szCs w:val="24"/>
        </w:rPr>
        <w:t>This</w:t>
      </w:r>
      <w:r w:rsidR="0085581E">
        <w:rPr>
          <w:rFonts w:eastAsia="Times New Roman" w:cs="Times New Roman"/>
          <w:color w:val="000000"/>
          <w:szCs w:val="24"/>
        </w:rPr>
        <w:t xml:space="preserve"> phenomenon</w:t>
      </w:r>
      <w:r w:rsidR="005D7BBA" w:rsidRPr="00FF5E42">
        <w:rPr>
          <w:rFonts w:eastAsia="Times New Roman" w:cs="Times New Roman"/>
          <w:color w:val="000000"/>
          <w:szCs w:val="24"/>
        </w:rPr>
        <w:t xml:space="preserve"> </w:t>
      </w:r>
      <w:r w:rsidRPr="00FF5E42">
        <w:rPr>
          <w:rFonts w:eastAsia="Times New Roman" w:cs="Times New Roman"/>
          <w:color w:val="000000"/>
          <w:szCs w:val="24"/>
        </w:rPr>
        <w:t xml:space="preserve">would lead to </w:t>
      </w:r>
      <w:r w:rsidR="005D7BBA">
        <w:rPr>
          <w:rFonts w:eastAsia="Times New Roman" w:cs="Times New Roman"/>
          <w:color w:val="000000"/>
          <w:szCs w:val="24"/>
        </w:rPr>
        <w:t>high concentrations of</w:t>
      </w:r>
      <w:r w:rsidR="005D7BBA" w:rsidRPr="00FF5E42">
        <w:rPr>
          <w:rFonts w:eastAsia="Times New Roman" w:cs="Times New Roman"/>
          <w:color w:val="000000"/>
          <w:szCs w:val="24"/>
        </w:rPr>
        <w:t xml:space="preserve"> </w:t>
      </w:r>
      <w:r w:rsidRPr="00FF5E42">
        <w:rPr>
          <w:rFonts w:eastAsia="Times New Roman" w:cs="Times New Roman"/>
          <w:color w:val="000000"/>
          <w:szCs w:val="24"/>
        </w:rPr>
        <w:t xml:space="preserve">surface </w:t>
      </w:r>
      <w:r w:rsidRPr="00FF5E42">
        <w:rPr>
          <w:rFonts w:eastAsia="Times New Roman" w:cs="Times New Roman"/>
          <w:color w:val="000000"/>
          <w:szCs w:val="24"/>
        </w:rPr>
        <w:lastRenderedPageBreak/>
        <w:t>air pollution, particularly in megacities where</w:t>
      </w:r>
      <w:r w:rsidR="005D7BBA">
        <w:rPr>
          <w:rFonts w:eastAsia="Times New Roman" w:cs="Times New Roman"/>
          <w:color w:val="000000"/>
          <w:szCs w:val="24"/>
        </w:rPr>
        <w:t xml:space="preserve"> urban</w:t>
      </w:r>
      <w:r w:rsidRPr="00FF5E42">
        <w:rPr>
          <w:rFonts w:eastAsia="Times New Roman" w:cs="Times New Roman"/>
          <w:color w:val="000000"/>
          <w:szCs w:val="24"/>
        </w:rPr>
        <w:t xml:space="preserve"> emissions are high</w:t>
      </w:r>
      <w:r w:rsidR="005D7BBA">
        <w:rPr>
          <w:rFonts w:eastAsia="Times New Roman" w:cs="Times New Roman"/>
          <w:color w:val="000000"/>
          <w:szCs w:val="24"/>
        </w:rPr>
        <w:t xml:space="preserve"> </w:t>
      </w:r>
      <w:r w:rsidR="0057069E">
        <w:rPr>
          <w:rFonts w:eastAsia="Times New Roman" w:cs="Times New Roman"/>
          <w:color w:val="000000"/>
          <w:szCs w:val="24"/>
        </w:rPr>
        <w:t xml:space="preserve">on a daily basis </w:t>
      </w:r>
      <w:r w:rsidR="005D7BBA">
        <w:rPr>
          <w:rFonts w:eastAsia="Times New Roman" w:cs="Times New Roman"/>
          <w:color w:val="000000"/>
          <w:szCs w:val="24"/>
        </w:rPr>
        <w:t xml:space="preserve">due to </w:t>
      </w:r>
      <w:r w:rsidR="003D09F2">
        <w:rPr>
          <w:rFonts w:eastAsia="Times New Roman" w:cs="Times New Roman"/>
          <w:color w:val="000000"/>
          <w:szCs w:val="24"/>
        </w:rPr>
        <w:t>traffic and factories</w:t>
      </w:r>
      <w:r w:rsidRPr="00FF5E42">
        <w:rPr>
          <w:rFonts w:eastAsia="Times New Roman" w:cs="Times New Roman"/>
          <w:color w:val="000000"/>
          <w:szCs w:val="24"/>
        </w:rPr>
        <w:t>.</w:t>
      </w:r>
    </w:p>
    <w:p w14:paraId="097440DA" w14:textId="27E5269F" w:rsidR="00A20B59" w:rsidRDefault="00A20B59" w:rsidP="00E26310">
      <w:pPr>
        <w:pStyle w:val="Heading2"/>
      </w:pPr>
      <w:bookmarkStart w:id="14" w:name="_Toc161431072"/>
      <w:r>
        <w:t>1.4 Sensing Aerosols</w:t>
      </w:r>
      <w:bookmarkEnd w:id="14"/>
    </w:p>
    <w:p w14:paraId="17ACEF7C" w14:textId="6CF0222D" w:rsidR="00E51852" w:rsidRDefault="001A5597" w:rsidP="00F004FE">
      <w:pPr>
        <w:spacing w:after="240"/>
      </w:pPr>
      <w:r>
        <w:tab/>
      </w:r>
      <w:r w:rsidR="00D60486">
        <w:t xml:space="preserve">There are numerous </w:t>
      </w:r>
      <w:r w:rsidR="005609F1">
        <w:t>techniques</w:t>
      </w:r>
      <w:r w:rsidR="00D60486">
        <w:t xml:space="preserve"> to </w:t>
      </w:r>
      <w:r w:rsidR="005609F1">
        <w:t xml:space="preserve">monitor </w:t>
      </w:r>
      <w:r w:rsidR="00B323D2">
        <w:t xml:space="preserve">the aerosols in our atmosphere. However, </w:t>
      </w:r>
      <w:r w:rsidR="005609F1">
        <w:t>this research</w:t>
      </w:r>
      <w:r w:rsidR="00B93A24">
        <w:t xml:space="preserve"> </w:t>
      </w:r>
      <w:r w:rsidR="00D92B0B">
        <w:t xml:space="preserve">focused on two </w:t>
      </w:r>
      <w:r w:rsidR="00C417F6">
        <w:t>types of measurements</w:t>
      </w:r>
      <w:r w:rsidR="00D92B0B">
        <w:t xml:space="preserve">: </w:t>
      </w:r>
      <w:r w:rsidR="00FE21C8">
        <w:t>ground-based</w:t>
      </w:r>
      <w:r w:rsidR="0048635C">
        <w:t>-</w:t>
      </w:r>
      <w:r w:rsidR="00FE21C8">
        <w:t xml:space="preserve">instrument networks and </w:t>
      </w:r>
      <w:r w:rsidR="00053886">
        <w:t>satellite</w:t>
      </w:r>
      <w:r w:rsidR="00755E99">
        <w:t xml:space="preserve"> remote sensings</w:t>
      </w:r>
      <w:r w:rsidR="00053886">
        <w:t>.</w:t>
      </w:r>
      <w:r w:rsidR="0075708D">
        <w:t xml:space="preserve"> </w:t>
      </w:r>
      <w:r w:rsidR="00755E99">
        <w:t>We gathered retrievals of aerosol optical depth (AOD) from these two sources</w:t>
      </w:r>
      <w:r w:rsidR="00B45B9A">
        <w:t>.</w:t>
      </w:r>
    </w:p>
    <w:p w14:paraId="7CFBB617" w14:textId="3DD380E5" w:rsidR="00B45B9A" w:rsidRDefault="00B45B9A" w:rsidP="00B45B9A">
      <w:pPr>
        <w:pStyle w:val="Heading3"/>
      </w:pPr>
      <w:bookmarkStart w:id="15" w:name="_Toc161431073"/>
      <w:r>
        <w:t>1.</w:t>
      </w:r>
      <w:r w:rsidR="00DF4DE9">
        <w:t>4.1</w:t>
      </w:r>
      <w:r w:rsidR="00C00B9D">
        <w:t xml:space="preserve"> </w:t>
      </w:r>
      <w:r w:rsidR="00B872E0">
        <w:t>Aerosol Optical Depth (AOD)</w:t>
      </w:r>
      <w:bookmarkEnd w:id="15"/>
    </w:p>
    <w:p w14:paraId="40F42AB8" w14:textId="65FA9525" w:rsidR="00DF4DE9" w:rsidRDefault="00DF4DE9" w:rsidP="00DF4DE9">
      <w:pPr>
        <w:spacing w:after="240"/>
        <w:ind w:firstLine="720"/>
        <w:rPr>
          <w:rFonts w:eastAsia="Times New Roman" w:cs="Times New Roman"/>
          <w:color w:val="000000"/>
          <w:szCs w:val="24"/>
        </w:rPr>
      </w:pPr>
      <w:r>
        <w:rPr>
          <w:rFonts w:eastAsia="Times New Roman" w:cs="Times New Roman"/>
          <w:color w:val="000000"/>
          <w:szCs w:val="24"/>
        </w:rPr>
        <w:t>AOD</w:t>
      </w:r>
      <w:r w:rsidRPr="00CD6094">
        <w:rPr>
          <w:rFonts w:eastAsia="Times New Roman" w:cs="Times New Roman"/>
          <w:color w:val="000000"/>
          <w:szCs w:val="24"/>
        </w:rPr>
        <w:t xml:space="preserve"> </w:t>
      </w:r>
      <w:r w:rsidR="00C00B9D">
        <w:rPr>
          <w:rFonts w:eastAsia="Times New Roman" w:cs="Times New Roman"/>
          <w:color w:val="000000"/>
          <w:szCs w:val="24"/>
        </w:rPr>
        <w:t xml:space="preserve">is </w:t>
      </w:r>
      <w:r w:rsidR="00B66865">
        <w:rPr>
          <w:rFonts w:eastAsia="Times New Roman" w:cs="Times New Roman"/>
          <w:color w:val="000000"/>
          <w:szCs w:val="24"/>
        </w:rPr>
        <w:t xml:space="preserve">directly </w:t>
      </w:r>
      <w:r w:rsidRPr="00CD6094">
        <w:rPr>
          <w:rFonts w:eastAsia="Times New Roman" w:cs="Times New Roman"/>
          <w:color w:val="000000"/>
          <w:szCs w:val="24"/>
        </w:rPr>
        <w:t xml:space="preserve">related to the transmittance </w:t>
      </w:r>
      <m:oMath>
        <m:r>
          <w:rPr>
            <w:rFonts w:ascii="Cambria Math" w:eastAsia="Times New Roman" w:hAnsi="Cambria Math" w:cs="Times New Roman"/>
            <w:color w:val="000000"/>
            <w:szCs w:val="24"/>
          </w:rPr>
          <m:t>t</m:t>
        </m:r>
      </m:oMath>
      <w:r w:rsidRPr="00CD6094">
        <w:rPr>
          <w:rFonts w:eastAsia="Times New Roman" w:cs="Times New Roman"/>
          <w:color w:val="000000"/>
          <w:szCs w:val="24"/>
        </w:rPr>
        <w:t xml:space="preserve"> at wavelength </w:t>
      </w:r>
      <w:r>
        <w:rPr>
          <w:rFonts w:eastAsia="Times New Roman" w:cs="Times New Roman"/>
          <w:color w:val="000000"/>
          <w:szCs w:val="24"/>
        </w:rPr>
        <w:t>λ</w:t>
      </w:r>
      <w:r w:rsidRPr="00CD6094">
        <w:rPr>
          <w:rFonts w:eastAsia="Times New Roman" w:cs="Times New Roman"/>
          <w:color w:val="000000"/>
          <w:szCs w:val="24"/>
        </w:rPr>
        <w:t xml:space="preserve"> through a column of the atmosphere</w:t>
      </w:r>
      <w:r w:rsidR="007D4544">
        <w:rPr>
          <w:rFonts w:eastAsia="Times New Roman" w:cs="Times New Roman"/>
          <w:color w:val="000000"/>
          <w:szCs w:val="24"/>
        </w:rPr>
        <w:t xml:space="preserve"> between points </w:t>
      </w:r>
      <m:oMath>
        <m:sSub>
          <m:sSubPr>
            <m:ctrlPr>
              <w:rPr>
                <w:rFonts w:ascii="Cambria Math" w:eastAsia="Times New Roman" w:hAnsi="Cambria Math" w:cs="Times New Roman"/>
                <w:i/>
                <w:color w:val="000000"/>
                <w:szCs w:val="24"/>
              </w:rPr>
            </m:ctrlPr>
          </m:sSubPr>
          <m:e>
            <m:r>
              <w:rPr>
                <w:rFonts w:ascii="Cambria Math" w:eastAsia="Times New Roman" w:hAnsi="Cambria Math" w:cs="Times New Roman"/>
                <w:color w:val="000000"/>
                <w:szCs w:val="24"/>
              </w:rPr>
              <m:t>s</m:t>
            </m:r>
          </m:e>
          <m:sub>
            <m:r>
              <w:rPr>
                <w:rFonts w:ascii="Cambria Math" w:eastAsia="Times New Roman" w:hAnsi="Cambria Math" w:cs="Times New Roman"/>
                <w:color w:val="000000"/>
                <w:szCs w:val="24"/>
              </w:rPr>
              <m:t>1</m:t>
            </m:r>
          </m:sub>
        </m:sSub>
      </m:oMath>
      <w:r w:rsidR="007D4544">
        <w:rPr>
          <w:rFonts w:eastAsia="Times New Roman" w:cs="Times New Roman"/>
          <w:color w:val="000000"/>
          <w:szCs w:val="24"/>
        </w:rPr>
        <w:t xml:space="preserve"> and </w:t>
      </w:r>
      <m:oMath>
        <m:sSub>
          <m:sSubPr>
            <m:ctrlPr>
              <w:rPr>
                <w:rFonts w:ascii="Cambria Math" w:eastAsia="Times New Roman" w:hAnsi="Cambria Math" w:cs="Times New Roman"/>
                <w:i/>
                <w:color w:val="000000"/>
                <w:szCs w:val="24"/>
              </w:rPr>
            </m:ctrlPr>
          </m:sSubPr>
          <m:e>
            <m:r>
              <w:rPr>
                <w:rFonts w:ascii="Cambria Math" w:eastAsia="Times New Roman" w:hAnsi="Cambria Math" w:cs="Times New Roman"/>
                <w:color w:val="000000"/>
                <w:szCs w:val="24"/>
              </w:rPr>
              <m:t>s</m:t>
            </m:r>
          </m:e>
          <m:sub>
            <m:r>
              <w:rPr>
                <w:rFonts w:ascii="Cambria Math" w:eastAsia="Times New Roman" w:hAnsi="Cambria Math" w:cs="Times New Roman"/>
                <w:color w:val="000000"/>
                <w:szCs w:val="24"/>
              </w:rPr>
              <m:t>2</m:t>
            </m:r>
          </m:sub>
        </m:sSub>
      </m:oMath>
      <w:r w:rsidR="00541691">
        <w:rPr>
          <w:rFonts w:eastAsia="Times New Roman" w:cs="Times New Roman"/>
          <w:color w:val="000000"/>
          <w:szCs w:val="24"/>
        </w:rPr>
        <w:t>, where t</w:t>
      </w:r>
      <w:r w:rsidR="007D4544">
        <w:rPr>
          <w:rFonts w:eastAsia="Times New Roman" w:cs="Times New Roman"/>
          <w:color w:val="000000"/>
          <w:szCs w:val="24"/>
        </w:rPr>
        <w:t xml:space="preserve">ransmittance is </w:t>
      </w:r>
      <w:r w:rsidR="003D06C5">
        <w:rPr>
          <w:rFonts w:eastAsia="Times New Roman" w:cs="Times New Roman"/>
          <w:color w:val="000000"/>
          <w:szCs w:val="24"/>
        </w:rPr>
        <w:t xml:space="preserve">simply the ratio of </w:t>
      </w:r>
      <w:r w:rsidR="00CC5F78">
        <w:rPr>
          <w:rFonts w:eastAsia="Times New Roman" w:cs="Times New Roman"/>
          <w:color w:val="000000"/>
          <w:szCs w:val="24"/>
        </w:rPr>
        <w:t>outgoing</w:t>
      </w:r>
      <w:r w:rsidR="00541691">
        <w:rPr>
          <w:rFonts w:eastAsia="Times New Roman" w:cs="Times New Roman"/>
          <w:color w:val="000000"/>
          <w:szCs w:val="24"/>
        </w:rPr>
        <w:t xml:space="preserve"> </w:t>
      </w:r>
      <m:oMath>
        <m:sSub>
          <m:sSubPr>
            <m:ctrlPr>
              <w:rPr>
                <w:rFonts w:ascii="Cambria Math" w:eastAsia="Times New Roman" w:hAnsi="Cambria Math" w:cs="Times New Roman"/>
                <w:color w:val="000000"/>
                <w:szCs w:val="24"/>
              </w:rPr>
            </m:ctrlPr>
          </m:sSubPr>
          <m:e>
            <m:r>
              <m:rPr>
                <m:sty m:val="p"/>
              </m:rPr>
              <w:rPr>
                <w:rFonts w:ascii="Cambria Math" w:eastAsia="Times New Roman" w:hAnsi="Cambria Math" w:cs="Times New Roman"/>
                <w:color w:val="000000"/>
                <w:szCs w:val="24"/>
              </w:rPr>
              <m:t>I</m:t>
            </m:r>
          </m:e>
          <m:sub>
            <m:r>
              <m:rPr>
                <m:sty m:val="p"/>
              </m:rPr>
              <w:rPr>
                <w:rFonts w:ascii="Cambria Math" w:eastAsia="Times New Roman" w:hAnsi="Cambria Math" w:cs="Times New Roman"/>
                <w:color w:val="000000"/>
                <w:szCs w:val="24"/>
              </w:rPr>
              <m:t>λ</m:t>
            </m:r>
          </m:sub>
        </m:sSub>
        <m:d>
          <m:dPr>
            <m:ctrlPr>
              <w:rPr>
                <w:rFonts w:ascii="Cambria Math" w:eastAsia="Times New Roman" w:hAnsi="Cambria Math" w:cs="Times New Roman"/>
                <w:color w:val="000000"/>
                <w:szCs w:val="24"/>
              </w:rPr>
            </m:ctrlPr>
          </m:dPr>
          <m:e>
            <m:sSub>
              <m:sSubPr>
                <m:ctrlPr>
                  <w:rPr>
                    <w:rFonts w:ascii="Cambria Math" w:eastAsia="Times New Roman" w:hAnsi="Cambria Math" w:cs="Times New Roman"/>
                    <w:color w:val="000000"/>
                    <w:szCs w:val="24"/>
                  </w:rPr>
                </m:ctrlPr>
              </m:sSubPr>
              <m:e>
                <m:r>
                  <m:rPr>
                    <m:sty m:val="p"/>
                  </m:rPr>
                  <w:rPr>
                    <w:rFonts w:ascii="Cambria Math" w:eastAsia="Times New Roman" w:hAnsi="Cambria Math" w:cs="Times New Roman"/>
                    <w:color w:val="000000"/>
                    <w:szCs w:val="24"/>
                  </w:rPr>
                  <m:t>s</m:t>
                </m:r>
              </m:e>
              <m:sub>
                <m:r>
                  <m:rPr>
                    <m:sty m:val="p"/>
                  </m:rPr>
                  <w:rPr>
                    <w:rFonts w:ascii="Cambria Math" w:eastAsia="Times New Roman" w:hAnsi="Cambria Math" w:cs="Times New Roman"/>
                    <w:color w:val="000000"/>
                    <w:szCs w:val="24"/>
                  </w:rPr>
                  <m:t>2</m:t>
                </m:r>
              </m:sub>
            </m:sSub>
          </m:e>
        </m:d>
      </m:oMath>
      <w:r w:rsidR="00CC5F78">
        <w:rPr>
          <w:rFonts w:eastAsia="Times New Roman" w:cs="Times New Roman"/>
          <w:color w:val="000000"/>
          <w:szCs w:val="24"/>
        </w:rPr>
        <w:t xml:space="preserve"> and incident</w:t>
      </w:r>
      <w:r w:rsidR="00541691">
        <w:rPr>
          <w:rFonts w:eastAsia="Times New Roman" w:cs="Times New Roman"/>
          <w:color w:val="000000"/>
          <w:szCs w:val="24"/>
        </w:rPr>
        <w:t xml:space="preserve"> </w:t>
      </w:r>
      <m:oMath>
        <m:sSub>
          <m:sSubPr>
            <m:ctrlPr>
              <w:rPr>
                <w:rFonts w:ascii="Cambria Math" w:eastAsia="Times New Roman" w:hAnsi="Cambria Math" w:cs="Times New Roman"/>
                <w:color w:val="000000"/>
                <w:szCs w:val="24"/>
              </w:rPr>
            </m:ctrlPr>
          </m:sSubPr>
          <m:e>
            <m:r>
              <m:rPr>
                <m:sty m:val="p"/>
              </m:rPr>
              <w:rPr>
                <w:rFonts w:ascii="Cambria Math" w:eastAsia="Times New Roman" w:hAnsi="Cambria Math" w:cs="Times New Roman"/>
                <w:color w:val="000000"/>
                <w:szCs w:val="24"/>
              </w:rPr>
              <m:t>I</m:t>
            </m:r>
          </m:e>
          <m:sub>
            <m:r>
              <m:rPr>
                <m:sty m:val="p"/>
              </m:rPr>
              <w:rPr>
                <w:rFonts w:ascii="Cambria Math" w:eastAsia="Times New Roman" w:hAnsi="Cambria Math" w:cs="Times New Roman"/>
                <w:color w:val="000000"/>
                <w:szCs w:val="24"/>
              </w:rPr>
              <m:t>λ</m:t>
            </m:r>
          </m:sub>
        </m:sSub>
        <m:d>
          <m:dPr>
            <m:ctrlPr>
              <w:rPr>
                <w:rFonts w:ascii="Cambria Math" w:eastAsia="Times New Roman" w:hAnsi="Cambria Math" w:cs="Times New Roman"/>
                <w:color w:val="000000"/>
                <w:szCs w:val="24"/>
              </w:rPr>
            </m:ctrlPr>
          </m:dPr>
          <m:e>
            <m:sSub>
              <m:sSubPr>
                <m:ctrlPr>
                  <w:rPr>
                    <w:rFonts w:ascii="Cambria Math" w:eastAsia="Times New Roman" w:hAnsi="Cambria Math" w:cs="Times New Roman"/>
                    <w:color w:val="000000"/>
                    <w:szCs w:val="24"/>
                  </w:rPr>
                </m:ctrlPr>
              </m:sSubPr>
              <m:e>
                <m:r>
                  <m:rPr>
                    <m:sty m:val="p"/>
                  </m:rPr>
                  <w:rPr>
                    <w:rFonts w:ascii="Cambria Math" w:eastAsia="Times New Roman" w:hAnsi="Cambria Math" w:cs="Times New Roman"/>
                    <w:color w:val="000000"/>
                    <w:szCs w:val="24"/>
                  </w:rPr>
                  <m:t>s</m:t>
                </m:r>
              </m:e>
              <m:sub>
                <m:r>
                  <m:rPr>
                    <m:sty m:val="p"/>
                  </m:rPr>
                  <w:rPr>
                    <w:rFonts w:ascii="Cambria Math" w:eastAsia="Times New Roman" w:hAnsi="Cambria Math" w:cs="Times New Roman"/>
                    <w:color w:val="000000"/>
                    <w:szCs w:val="24"/>
                  </w:rPr>
                  <m:t>1</m:t>
                </m:r>
              </m:sub>
            </m:sSub>
          </m:e>
        </m:d>
      </m:oMath>
      <w:r w:rsidR="00CC5F78">
        <w:rPr>
          <w:rFonts w:eastAsia="Times New Roman" w:cs="Times New Roman"/>
          <w:color w:val="000000"/>
          <w:szCs w:val="24"/>
        </w:rPr>
        <w:t xml:space="preserve"> </w:t>
      </w:r>
      <w:r w:rsidR="00F162FA">
        <w:rPr>
          <w:rFonts w:eastAsia="Times New Roman" w:cs="Times New Roman"/>
          <w:color w:val="000000"/>
          <w:szCs w:val="24"/>
        </w:rPr>
        <w:t xml:space="preserve">radiant </w:t>
      </w:r>
      <w:r w:rsidR="00CC5F78">
        <w:rPr>
          <w:rFonts w:eastAsia="Times New Roman" w:cs="Times New Roman"/>
          <w:color w:val="000000"/>
          <w:szCs w:val="24"/>
        </w:rPr>
        <w:t>intensity</w:t>
      </w:r>
      <w:r w:rsidR="00690C5C">
        <w:rPr>
          <w:rFonts w:eastAsia="Times New Roman" w:cs="Times New Roman"/>
          <w:color w:val="000000"/>
          <w:szCs w:val="24"/>
        </w:rPr>
        <w:t xml:space="preserve"> </w:t>
      </w:r>
      <w:r w:rsidR="00BF03AB">
        <w:rPr>
          <w:rFonts w:eastAsia="Times New Roman" w:cs="Times New Roman"/>
          <w:color w:val="000000"/>
          <w:szCs w:val="24"/>
        </w:rPr>
        <w:fldChar w:fldCharType="begin"/>
      </w:r>
      <w:r w:rsidR="00BB6527">
        <w:rPr>
          <w:rFonts w:eastAsia="Times New Roman" w:cs="Times New Roman"/>
          <w:color w:val="000000"/>
          <w:szCs w:val="24"/>
        </w:rPr>
        <w:instrText xml:space="preserve"> ADDIN ZOTERO_ITEM CSL_CITATION {"citationID":"zN1sztC7","properties":{"formattedCitation":"(Petty, 2006)","plainCitation":"(Petty, 2006)","noteIndex":0},"citationItems":[{"id":615,"uris":["http://zotero.org/groups/4584967/items/RZW4IAB3"],"itemData":{"id":615,"type":"book","abstract":"This textbook covers the essentials of atmospheric radiation at a level appropriate to advanced undergraduates and first-year graduate students. It was written specifically to be readable and technically accessible to students having no prior background in the subject area and who may or may not intend to continue with more advanced study of radiation or remote sensing. The author emphasizes physical insight, first and foremost, but backed by the essential mathematical relationships. The second edition adds new exercises, improved figures, a table of symbols, and discussions of new topics, such as the Poynting vector and the energy balance within the atmosphere. The book web page includes additional resources for courses taught using this book, including downloadable/printable PDF figures as well as solutions to most problems (for instructors of recognized courses only).","ISBN":"978-1-944441-02-9","language":"en","note":"Google-Books-ID: 2bPlEAAAQBAJ","number-of-pages":"470","publisher":"Sundog Publishing LLC","source":"Google Books","title":"A First Course in Atmospheric Radiation Second Edition","author":[{"family":"Petty","given":"Grant W."}],"issued":{"date-parts":[["2006",4,1]]},"citation-key":"pettyFirstCourseAtmospheric2006"}}],"schema":"https://github.com/citation-style-language/schema/raw/master/csl-citation.json"} </w:instrText>
      </w:r>
      <w:r w:rsidR="00BF03AB">
        <w:rPr>
          <w:rFonts w:eastAsia="Times New Roman" w:cs="Times New Roman"/>
          <w:color w:val="000000"/>
          <w:szCs w:val="24"/>
        </w:rPr>
        <w:fldChar w:fldCharType="separate"/>
      </w:r>
      <w:r w:rsidR="00BF03AB" w:rsidRPr="00BF03AB">
        <w:rPr>
          <w:rFonts w:cs="Times New Roman"/>
        </w:rPr>
        <w:t>(Petty, 2006)</w:t>
      </w:r>
      <w:r w:rsidR="00BF03AB">
        <w:rPr>
          <w:rFonts w:eastAsia="Times New Roman" w:cs="Times New Roman"/>
          <w:color w:val="000000"/>
          <w:szCs w:val="24"/>
        </w:rPr>
        <w:fldChar w:fldCharType="end"/>
      </w:r>
    </w:p>
    <w:bookmarkStart w:id="16" w:name="_Ref158719637"/>
    <w:p w14:paraId="1AA876FE" w14:textId="77777777" w:rsidR="001849F0" w:rsidRPr="002E1C88" w:rsidRDefault="00000000" w:rsidP="001849F0">
      <w:pPr>
        <w:pStyle w:val="NormalWeb"/>
        <w:spacing w:before="0" w:beforeAutospacing="0" w:after="0" w:afterAutospacing="0" w:line="480" w:lineRule="auto"/>
        <w:jc w:val="center"/>
        <w:rPr>
          <w:color w:val="000000"/>
        </w:rPr>
      </w:pPr>
      <m:oMath>
        <m:sSub>
          <m:sSubPr>
            <m:ctrlPr>
              <w:rPr>
                <w:rFonts w:ascii="Cambria Math" w:hAnsi="Cambria Math"/>
              </w:rPr>
            </m:ctrlPr>
          </m:sSubPr>
          <m:e>
            <m:r>
              <w:rPr>
                <w:rFonts w:ascii="Cambria Math" w:hAnsi="Cambria Math"/>
              </w:rPr>
              <m:t>t</m:t>
            </m:r>
          </m:e>
          <m:sub>
            <m:r>
              <w:rPr>
                <w:rFonts w:ascii="Cambria Math" w:hAnsi="Cambria Math"/>
              </w:rPr>
              <m:t>λ</m:t>
            </m:r>
          </m:sub>
        </m:sSub>
        <m:d>
          <m:dPr>
            <m:ctrlPr>
              <w:rPr>
                <w:rFonts w:ascii="Cambria Math" w:hAnsi="Cambria Math"/>
              </w:rPr>
            </m:ctrlPr>
          </m:dPr>
          <m:e>
            <m:sSub>
              <m:sSubPr>
                <m:ctrlPr>
                  <w:rPr>
                    <w:rFonts w:ascii="Cambria Math" w:hAnsi="Cambria Math"/>
                  </w:rPr>
                </m:ctrlPr>
              </m:sSubPr>
              <m:e>
                <m:r>
                  <w:rPr>
                    <w:rFonts w:ascii="Cambria Math" w:hAnsi="Cambria Math"/>
                  </w:rPr>
                  <m:t>s</m:t>
                </m:r>
              </m:e>
              <m:sub>
                <m:r>
                  <w:rPr>
                    <w:rFonts w:ascii="Cambria Math" w:hAnsi="Cambria Math"/>
                  </w:rPr>
                  <m:t>1</m:t>
                </m:r>
              </m:sub>
            </m:sSub>
            <m:r>
              <w:rPr>
                <w:rFonts w:ascii="Cambria Math" w:hAnsi="Cambria Math"/>
              </w:rPr>
              <m:t>,</m:t>
            </m:r>
            <m:sSub>
              <m:sSubPr>
                <m:ctrlPr>
                  <w:rPr>
                    <w:rFonts w:ascii="Cambria Math" w:hAnsi="Cambria Math"/>
                  </w:rPr>
                </m:ctrlPr>
              </m:sSubPr>
              <m:e>
                <m:r>
                  <w:rPr>
                    <w:rFonts w:ascii="Cambria Math" w:hAnsi="Cambria Math"/>
                  </w:rPr>
                  <m:t>s</m:t>
                </m:r>
              </m:e>
              <m:sub>
                <m:r>
                  <w:rPr>
                    <w:rFonts w:ascii="Cambria Math" w:hAnsi="Cambria Math"/>
                  </w:rPr>
                  <m:t>2</m:t>
                </m:r>
              </m:sub>
            </m:sSub>
          </m:e>
        </m:d>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I</m:t>
                </m:r>
              </m:e>
              <m:sub>
                <m:r>
                  <w:rPr>
                    <w:rFonts w:ascii="Cambria Math" w:hAnsi="Cambria Math"/>
                  </w:rPr>
                  <m:t>λ</m:t>
                </m:r>
              </m:sub>
            </m:sSub>
            <m:d>
              <m:dPr>
                <m:ctrlPr>
                  <w:rPr>
                    <w:rFonts w:ascii="Cambria Math" w:hAnsi="Cambria Math"/>
                  </w:rPr>
                </m:ctrlPr>
              </m:dPr>
              <m:e>
                <m:sSub>
                  <m:sSubPr>
                    <m:ctrlPr>
                      <w:rPr>
                        <w:rFonts w:ascii="Cambria Math" w:hAnsi="Cambria Math"/>
                      </w:rPr>
                    </m:ctrlPr>
                  </m:sSubPr>
                  <m:e>
                    <m:r>
                      <w:rPr>
                        <w:rFonts w:ascii="Cambria Math" w:hAnsi="Cambria Math"/>
                      </w:rPr>
                      <m:t>s</m:t>
                    </m:r>
                  </m:e>
                  <m:sub>
                    <m:r>
                      <w:rPr>
                        <w:rFonts w:ascii="Cambria Math" w:hAnsi="Cambria Math"/>
                      </w:rPr>
                      <m:t>2</m:t>
                    </m:r>
                  </m:sub>
                </m:sSub>
              </m:e>
            </m:d>
          </m:num>
          <m:den>
            <m:sSub>
              <m:sSubPr>
                <m:ctrlPr>
                  <w:rPr>
                    <w:rFonts w:ascii="Cambria Math" w:hAnsi="Cambria Math"/>
                  </w:rPr>
                </m:ctrlPr>
              </m:sSubPr>
              <m:e>
                <m:r>
                  <w:rPr>
                    <w:rFonts w:ascii="Cambria Math" w:hAnsi="Cambria Math"/>
                  </w:rPr>
                  <m:t>I</m:t>
                </m:r>
              </m:e>
              <m:sub>
                <m:r>
                  <w:rPr>
                    <w:rFonts w:ascii="Cambria Math" w:hAnsi="Cambria Math"/>
                  </w:rPr>
                  <m:t>λ</m:t>
                </m:r>
              </m:sub>
            </m:sSub>
            <m:d>
              <m:dPr>
                <m:ctrlPr>
                  <w:rPr>
                    <w:rFonts w:ascii="Cambria Math" w:hAnsi="Cambria Math"/>
                  </w:rPr>
                </m:ctrlPr>
              </m:dPr>
              <m:e>
                <m:sSub>
                  <m:sSubPr>
                    <m:ctrlPr>
                      <w:rPr>
                        <w:rFonts w:ascii="Cambria Math" w:hAnsi="Cambria Math"/>
                      </w:rPr>
                    </m:ctrlPr>
                  </m:sSubPr>
                  <m:e>
                    <m:r>
                      <w:rPr>
                        <w:rFonts w:ascii="Cambria Math" w:hAnsi="Cambria Math"/>
                      </w:rPr>
                      <m:t>s</m:t>
                    </m:r>
                  </m:e>
                  <m:sub>
                    <m:r>
                      <w:rPr>
                        <w:rFonts w:ascii="Cambria Math" w:hAnsi="Cambria Math"/>
                      </w:rPr>
                      <m:t>1</m:t>
                    </m:r>
                  </m:sub>
                </m:sSub>
              </m:e>
            </m:d>
          </m:den>
        </m:f>
        <m:r>
          <w:rPr>
            <w:rFonts w:ascii="Cambria Math" w:hAnsi="Cambria Math"/>
          </w:rPr>
          <m:t>=</m:t>
        </m:r>
        <m:sSup>
          <m:sSupPr>
            <m:ctrlPr>
              <w:rPr>
                <w:rFonts w:ascii="Cambria Math" w:hAnsi="Cambria Math"/>
              </w:rPr>
            </m:ctrlPr>
          </m:sSupPr>
          <m:e>
            <m:r>
              <w:rPr>
                <w:rFonts w:ascii="Cambria Math" w:hAnsi="Cambria Math"/>
              </w:rPr>
              <m:t>e</m:t>
            </m:r>
          </m:e>
          <m:sup>
            <m:r>
              <w:rPr>
                <w:rFonts w:ascii="Cambria Math" w:hAnsi="Cambria Math"/>
              </w:rPr>
              <m:t>-</m:t>
            </m:r>
            <m:sSub>
              <m:sSubPr>
                <m:ctrlPr>
                  <w:rPr>
                    <w:rFonts w:ascii="Cambria Math" w:hAnsi="Cambria Math"/>
                  </w:rPr>
                </m:ctrlPr>
              </m:sSubPr>
              <m:e>
                <m:r>
                  <w:rPr>
                    <w:rFonts w:ascii="Cambria Math" w:hAnsi="Cambria Math"/>
                  </w:rPr>
                  <m:t>τ</m:t>
                </m:r>
              </m:e>
              <m:sub>
                <m:r>
                  <w:rPr>
                    <w:rFonts w:ascii="Cambria Math" w:hAnsi="Cambria Math"/>
                  </w:rPr>
                  <m:t>λ</m:t>
                </m:r>
              </m:sub>
            </m:sSub>
            <m:d>
              <m:dPr>
                <m:ctrlPr>
                  <w:rPr>
                    <w:rFonts w:ascii="Cambria Math" w:hAnsi="Cambria Math"/>
                  </w:rPr>
                </m:ctrlPr>
              </m:dPr>
              <m:e>
                <m:sSub>
                  <m:sSubPr>
                    <m:ctrlPr>
                      <w:rPr>
                        <w:rFonts w:ascii="Cambria Math" w:hAnsi="Cambria Math"/>
                      </w:rPr>
                    </m:ctrlPr>
                  </m:sSubPr>
                  <m:e>
                    <m:r>
                      <w:rPr>
                        <w:rFonts w:ascii="Cambria Math" w:hAnsi="Cambria Math"/>
                      </w:rPr>
                      <m:t>s</m:t>
                    </m:r>
                  </m:e>
                  <m:sub>
                    <m:r>
                      <w:rPr>
                        <w:rFonts w:ascii="Cambria Math" w:hAnsi="Cambria Math"/>
                      </w:rPr>
                      <m:t>1</m:t>
                    </m:r>
                  </m:sub>
                </m:sSub>
                <m:r>
                  <w:rPr>
                    <w:rFonts w:ascii="Cambria Math" w:hAnsi="Cambria Math"/>
                  </w:rPr>
                  <m:t>,</m:t>
                </m:r>
                <m:sSub>
                  <m:sSubPr>
                    <m:ctrlPr>
                      <w:rPr>
                        <w:rFonts w:ascii="Cambria Math" w:hAnsi="Cambria Math"/>
                      </w:rPr>
                    </m:ctrlPr>
                  </m:sSubPr>
                  <m:e>
                    <m:r>
                      <w:rPr>
                        <w:rFonts w:ascii="Cambria Math" w:hAnsi="Cambria Math"/>
                      </w:rPr>
                      <m:t>s</m:t>
                    </m:r>
                  </m:e>
                  <m:sub>
                    <m:r>
                      <w:rPr>
                        <w:rFonts w:ascii="Cambria Math" w:hAnsi="Cambria Math"/>
                      </w:rPr>
                      <m:t>2</m:t>
                    </m:r>
                  </m:sub>
                </m:sSub>
              </m:e>
            </m:d>
          </m:sup>
        </m:sSup>
        <m:r>
          <w:rPr>
            <w:rFonts w:ascii="Cambria Math" w:hAnsi="Cambria Math"/>
          </w:rPr>
          <m:t>.</m:t>
        </m:r>
      </m:oMath>
      <w:bookmarkEnd w:id="16"/>
      <w:r w:rsidR="001849F0">
        <w:rPr>
          <w:color w:val="000000"/>
        </w:rPr>
        <w:t xml:space="preserve">                                (Eq. 1)</w:t>
      </w:r>
    </w:p>
    <w:p w14:paraId="126CD78D" w14:textId="4BE9A69E" w:rsidR="00DF4DE9" w:rsidRDefault="00DF4DE9" w:rsidP="001849F0">
      <w:r w:rsidRPr="00CD6094">
        <w:t>AOD quantifies the amount of light at a particular wavelength that is attenuated</w:t>
      </w:r>
      <w:r w:rsidR="006F1261">
        <w:t xml:space="preserve"> by aerosols</w:t>
      </w:r>
      <w:r w:rsidRPr="00CD6094">
        <w:t xml:space="preserve"> after passing through a column of air and therefore acts as a proxy measurement of the quantity of aerosols within that column.</w:t>
      </w:r>
    </w:p>
    <w:p w14:paraId="2FDEE07F" w14:textId="6C2F4B31" w:rsidR="00803E1B" w:rsidRPr="00CD6094" w:rsidRDefault="00803E1B" w:rsidP="00803E1B">
      <w:pPr>
        <w:pStyle w:val="Heading3"/>
      </w:pPr>
      <w:bookmarkStart w:id="17" w:name="_Toc161431074"/>
      <w:r>
        <w:t xml:space="preserve">1.4.2 </w:t>
      </w:r>
      <w:r w:rsidR="00244418">
        <w:t>Retrieving</w:t>
      </w:r>
      <w:r w:rsidR="001A71F3">
        <w:t xml:space="preserve"> AOD </w:t>
      </w:r>
      <w:r w:rsidR="00F52B5F">
        <w:t>Using Ground-Based Instruments</w:t>
      </w:r>
      <w:bookmarkEnd w:id="17"/>
    </w:p>
    <w:p w14:paraId="6675787E" w14:textId="4C0F6224" w:rsidR="0075424B" w:rsidRDefault="001A71F3" w:rsidP="00DF4DE9">
      <w:pPr>
        <w:rPr>
          <w:rFonts w:eastAsiaTheme="minorEastAsia"/>
        </w:rPr>
      </w:pPr>
      <w:r>
        <w:tab/>
      </w:r>
      <w:r w:rsidR="00210833">
        <w:t xml:space="preserve">One </w:t>
      </w:r>
      <w:r w:rsidR="00363E2B">
        <w:t>method of</w:t>
      </w:r>
      <w:r w:rsidR="00210833">
        <w:t xml:space="preserve"> </w:t>
      </w:r>
      <w:r w:rsidR="00244418">
        <w:t>retriev</w:t>
      </w:r>
      <w:r w:rsidR="00363E2B">
        <w:t>ing</w:t>
      </w:r>
      <w:r w:rsidR="00C701A5">
        <w:t xml:space="preserve"> AOD from the ground </w:t>
      </w:r>
      <w:r w:rsidR="003D7955">
        <w:t xml:space="preserve">is </w:t>
      </w:r>
      <w:r w:rsidR="00363E2B">
        <w:t>through the use of</w:t>
      </w:r>
      <w:r w:rsidR="003D7955">
        <w:t xml:space="preserve"> sunphotometers, </w:t>
      </w:r>
      <w:r w:rsidR="00895396">
        <w:t xml:space="preserve">devices that can measure irradiance </w:t>
      </w:r>
      <w:r w:rsidR="00D067EC">
        <w:t>at different wavelengths while point</w:t>
      </w:r>
      <w:r w:rsidR="00363E2B">
        <w:t>ing</w:t>
      </w:r>
      <w:r w:rsidR="00D067EC">
        <w:t xml:space="preserve"> at the sun.</w:t>
      </w:r>
      <w:r w:rsidR="00A91209">
        <w:t xml:space="preserve"> </w:t>
      </w:r>
      <w:r w:rsidR="00FF6BF2">
        <w:t>While</w:t>
      </w:r>
      <w:r w:rsidR="0075424B">
        <w:t xml:space="preserve"> the solar irradiance at the top of the atmosphere </w:t>
      </w:r>
      <m:oMath>
        <m:sSub>
          <m:sSubPr>
            <m:ctrlPr>
              <w:rPr>
                <w:rFonts w:ascii="Cambria Math" w:hAnsi="Cambria Math"/>
                <w:i/>
              </w:rPr>
            </m:ctrlPr>
          </m:sSubPr>
          <m:e>
            <m:r>
              <w:rPr>
                <w:rFonts w:ascii="Cambria Math" w:hAnsi="Cambria Math"/>
              </w:rPr>
              <m:t>I</m:t>
            </m:r>
          </m:e>
          <m:sub>
            <m:r>
              <m:rPr>
                <m:sty m:val="p"/>
              </m:rPr>
              <w:rPr>
                <w:rFonts w:ascii="Cambria Math" w:hAnsi="Cambria Math"/>
              </w:rPr>
              <m:t>λ</m:t>
            </m:r>
          </m:sub>
        </m:sSub>
        <m:d>
          <m:dPr>
            <m:ctrlPr>
              <w:rPr>
                <w:rFonts w:ascii="Cambria Math" w:hAnsi="Cambria Math"/>
                <w:i/>
              </w:rPr>
            </m:ctrlPr>
          </m:dPr>
          <m:e>
            <m:sSub>
              <m:sSubPr>
                <m:ctrlPr>
                  <w:rPr>
                    <w:rFonts w:ascii="Cambria Math" w:hAnsi="Cambria Math"/>
                    <w:i/>
                  </w:rPr>
                </m:ctrlPr>
              </m:sSubPr>
              <m:e>
                <m:r>
                  <w:rPr>
                    <w:rFonts w:ascii="Cambria Math" w:hAnsi="Cambria Math"/>
                  </w:rPr>
                  <m:t>s</m:t>
                </m:r>
              </m:e>
              <m:sub>
                <m:r>
                  <w:rPr>
                    <w:rFonts w:ascii="Cambria Math" w:hAnsi="Cambria Math"/>
                  </w:rPr>
                  <m:t>1</m:t>
                </m:r>
              </m:sub>
            </m:sSub>
          </m:e>
        </m:d>
      </m:oMath>
      <w:r w:rsidR="0075424B">
        <w:rPr>
          <w:rFonts w:eastAsiaTheme="minorEastAsia"/>
        </w:rPr>
        <w:t xml:space="preserve"> </w:t>
      </w:r>
      <w:r w:rsidR="001609D0">
        <w:rPr>
          <w:rFonts w:eastAsiaTheme="minorEastAsia"/>
        </w:rPr>
        <w:t xml:space="preserve">cannot be directly measured by these instruments because they are ground-based, it can be </w:t>
      </w:r>
      <w:r w:rsidR="00A760FD">
        <w:rPr>
          <w:rFonts w:eastAsiaTheme="minorEastAsia"/>
        </w:rPr>
        <w:t xml:space="preserve">inferred </w:t>
      </w:r>
      <w:r w:rsidR="00A824E5">
        <w:rPr>
          <w:rFonts w:eastAsiaTheme="minorEastAsia"/>
        </w:rPr>
        <w:t xml:space="preserve">using </w:t>
      </w:r>
      <w:r w:rsidR="00573875">
        <w:rPr>
          <w:rFonts w:eastAsiaTheme="minorEastAsia"/>
        </w:rPr>
        <w:t xml:space="preserve">a technique called Langley </w:t>
      </w:r>
      <w:r w:rsidR="007376B1">
        <w:rPr>
          <w:rFonts w:eastAsiaTheme="minorEastAsia"/>
        </w:rPr>
        <w:lastRenderedPageBreak/>
        <w:t>e</w:t>
      </w:r>
      <w:r w:rsidR="00573875">
        <w:rPr>
          <w:rFonts w:eastAsiaTheme="minorEastAsia"/>
        </w:rPr>
        <w:t>xtrapolation</w:t>
      </w:r>
      <w:r w:rsidR="007376B1">
        <w:rPr>
          <w:rFonts w:eastAsiaTheme="minorEastAsia"/>
        </w:rPr>
        <w:t xml:space="preserve">. Langley extrapolation assumes a plane-parallel atmosphere with minimal </w:t>
      </w:r>
      <w:r w:rsidR="00441234">
        <w:rPr>
          <w:rFonts w:eastAsiaTheme="minorEastAsia"/>
        </w:rPr>
        <w:t xml:space="preserve">temporal and spatial disturbances between two </w:t>
      </w:r>
      <w:r w:rsidR="00C906C5">
        <w:rPr>
          <w:rFonts w:eastAsiaTheme="minorEastAsia"/>
        </w:rPr>
        <w:t xml:space="preserve">or more </w:t>
      </w:r>
      <w:r w:rsidR="00274FE6">
        <w:rPr>
          <w:rFonts w:eastAsiaTheme="minorEastAsia"/>
        </w:rPr>
        <w:t>sequential observations (</w:t>
      </w:r>
      <w:r w:rsidR="00741AF4">
        <w:rPr>
          <w:rFonts w:eastAsiaTheme="minorEastAsia"/>
        </w:rPr>
        <w:t>e.g. throughout the morning)</w:t>
      </w:r>
      <w:r w:rsidR="005178D1">
        <w:rPr>
          <w:rFonts w:eastAsiaTheme="minorEastAsia"/>
        </w:rPr>
        <w:t xml:space="preserve">. </w:t>
      </w:r>
      <w:r w:rsidR="000114F6">
        <w:rPr>
          <w:rFonts w:eastAsiaTheme="minorEastAsia"/>
        </w:rPr>
        <w:t xml:space="preserve">These measurements at different solar zenith angles allow the user to extrapolate </w:t>
      </w:r>
      <w:r w:rsidR="00F70C3C">
        <w:rPr>
          <w:rFonts w:eastAsiaTheme="minorEastAsia"/>
        </w:rPr>
        <w:t xml:space="preserve">the solar irradiance at the top of the </w:t>
      </w:r>
      <w:r w:rsidR="00424FFC">
        <w:rPr>
          <w:rFonts w:eastAsiaTheme="minorEastAsia"/>
        </w:rPr>
        <w:t xml:space="preserve">atmosphere. </w:t>
      </w:r>
      <w:r w:rsidR="00A023FF">
        <w:rPr>
          <w:rFonts w:eastAsiaTheme="minorEastAsia"/>
        </w:rPr>
        <w:t xml:space="preserve">Once this value is obtained, AOD can be calculated using </w:t>
      </w:r>
      <w:r w:rsidR="00A06C6F">
        <w:rPr>
          <w:rFonts w:eastAsiaTheme="minorEastAsia"/>
        </w:rPr>
        <w:t>Eq. 1</w:t>
      </w:r>
      <w:r w:rsidR="00281758">
        <w:rPr>
          <w:rFonts w:eastAsiaTheme="minorEastAsia"/>
        </w:rPr>
        <w:t xml:space="preserve"> </w:t>
      </w:r>
      <w:r w:rsidR="00281758">
        <w:rPr>
          <w:rFonts w:eastAsiaTheme="minorEastAsia"/>
        </w:rPr>
        <w:fldChar w:fldCharType="begin"/>
      </w:r>
      <w:r w:rsidR="00BB6527">
        <w:rPr>
          <w:rFonts w:eastAsiaTheme="minorEastAsia"/>
        </w:rPr>
        <w:instrText xml:space="preserve"> ADDIN ZOTERO_ITEM CSL_CITATION {"citationID":"IzOu2ZlW","properties":{"formattedCitation":"(Shaw, 1983)","plainCitation":"(Shaw, 1983)","noteIndex":0},"citationItems":[{"id":650,"uris":["http://zotero.org/groups/4584967/items/L9H2LFXZ"],"itemData":{"id":650,"type":"article-journal","abstract":"Multi-wavelength sun photometry has been a subject of interest in meteorology for two and a half centuries. The technique provides a quantitative index that relates to total suspended aerosol in the atmospheric air column above the observer; this aerosol changes continually in the atmosphere in response to many complicated physical processes. When used in conjunction with other aerosol and meteorological measurements, sun photometry has the capability of delineating characteristic features of different air masses and the aerosol sources that affect them. This paper traces some of the early history of sun photometry and discusses a simple but modern filter wheel sun photometer and several sources of systematic error that have to be reckoned with. We provide examples of aerosol optical extinction spectra acquired at remote and pollution-prone stations with a simple and portable sun photometer.","container-title":"Bulletin of the American Meteorological Society","DOI":"10.1175/1520-0477(1983)064&lt;0004:SP&gt;2.0.CO;2","ISSN":"0003-0007, 1520-0477","issue":"1","language":"en","note":"publisher: American Meteorological Society\nsection: Bulletin of the American Meteorological Society","page":"4-10","source":"journals.ametsoc.org","title":"Sun Photometry","volume":"64","author":[{"family":"Shaw","given":"Glenn E."}],"issued":{"date-parts":[["1983",1,1]]},"citation-key":"shawSunPhotometry1983"}}],"schema":"https://github.com/citation-style-language/schema/raw/master/csl-citation.json"} </w:instrText>
      </w:r>
      <w:r w:rsidR="00281758">
        <w:rPr>
          <w:rFonts w:eastAsiaTheme="minorEastAsia"/>
        </w:rPr>
        <w:fldChar w:fldCharType="separate"/>
      </w:r>
      <w:r w:rsidR="00281758" w:rsidRPr="00281758">
        <w:rPr>
          <w:rFonts w:cs="Times New Roman"/>
        </w:rPr>
        <w:t>(Shaw, 1983)</w:t>
      </w:r>
      <w:r w:rsidR="00281758">
        <w:rPr>
          <w:rFonts w:eastAsiaTheme="minorEastAsia"/>
        </w:rPr>
        <w:fldChar w:fldCharType="end"/>
      </w:r>
      <w:r w:rsidR="00A06C6F">
        <w:rPr>
          <w:rFonts w:eastAsiaTheme="minorEastAsia"/>
        </w:rPr>
        <w:t>.</w:t>
      </w:r>
      <w:r w:rsidR="00EF73C8">
        <w:rPr>
          <w:rFonts w:eastAsiaTheme="minorEastAsia"/>
        </w:rPr>
        <w:t xml:space="preserve"> These AOD retrievals </w:t>
      </w:r>
      <w:r w:rsidR="004F76D0">
        <w:rPr>
          <w:rFonts w:eastAsiaTheme="minorEastAsia"/>
        </w:rPr>
        <w:t xml:space="preserve">are point-based, only measuring the column of atmosphere </w:t>
      </w:r>
      <w:r w:rsidR="00070F42">
        <w:rPr>
          <w:rFonts w:eastAsiaTheme="minorEastAsia"/>
        </w:rPr>
        <w:t>above the instrument.</w:t>
      </w:r>
    </w:p>
    <w:p w14:paraId="409C4BA5" w14:textId="7A696457" w:rsidR="00A06C6F" w:rsidRPr="0075424B" w:rsidRDefault="00A06C6F" w:rsidP="00DF4DE9">
      <w:pPr>
        <w:rPr>
          <w:rFonts w:eastAsiaTheme="minorEastAsia"/>
        </w:rPr>
      </w:pPr>
      <w:r>
        <w:rPr>
          <w:rFonts w:eastAsiaTheme="minorEastAsia"/>
        </w:rPr>
        <w:tab/>
        <w:t xml:space="preserve">The </w:t>
      </w:r>
      <w:r w:rsidR="00586D5C">
        <w:rPr>
          <w:rFonts w:eastAsiaTheme="minorEastAsia"/>
        </w:rPr>
        <w:t xml:space="preserve">wavelengths at which </w:t>
      </w:r>
      <w:r w:rsidR="001F7A47">
        <w:rPr>
          <w:rFonts w:eastAsiaTheme="minorEastAsia"/>
        </w:rPr>
        <w:t xml:space="preserve">these retrievals are made </w:t>
      </w:r>
      <w:r w:rsidR="0080648F">
        <w:rPr>
          <w:rFonts w:eastAsiaTheme="minorEastAsia"/>
        </w:rPr>
        <w:t xml:space="preserve">are chosen </w:t>
      </w:r>
      <w:r w:rsidR="00370986">
        <w:rPr>
          <w:rFonts w:eastAsiaTheme="minorEastAsia"/>
        </w:rPr>
        <w:t xml:space="preserve">to </w:t>
      </w:r>
      <w:r w:rsidR="006A71CB">
        <w:rPr>
          <w:rFonts w:eastAsiaTheme="minorEastAsia"/>
        </w:rPr>
        <w:t xml:space="preserve">avoid the molecular atmospheric absorption bands. </w:t>
      </w:r>
      <w:r w:rsidR="00E01603">
        <w:rPr>
          <w:rFonts w:eastAsiaTheme="minorEastAsia"/>
        </w:rPr>
        <w:t xml:space="preserve">Doing so ensures the </w:t>
      </w:r>
      <w:r w:rsidR="00222506">
        <w:rPr>
          <w:rFonts w:eastAsiaTheme="minorEastAsia"/>
        </w:rPr>
        <w:t xml:space="preserve">optical depth retrieved </w:t>
      </w:r>
      <w:r w:rsidR="0008640A">
        <w:rPr>
          <w:rFonts w:eastAsiaTheme="minorEastAsia"/>
        </w:rPr>
        <w:t>results from</w:t>
      </w:r>
      <w:r w:rsidR="00222506">
        <w:rPr>
          <w:rFonts w:eastAsiaTheme="minorEastAsia"/>
        </w:rPr>
        <w:t xml:space="preserve"> aerosol</w:t>
      </w:r>
      <w:r w:rsidR="00B20FCC">
        <w:rPr>
          <w:rFonts w:eastAsiaTheme="minorEastAsia"/>
        </w:rPr>
        <w:t xml:space="preserve">-induced extinction and not </w:t>
      </w:r>
      <w:r w:rsidR="00EF2CD2">
        <w:rPr>
          <w:rFonts w:eastAsiaTheme="minorEastAsia"/>
        </w:rPr>
        <w:t xml:space="preserve">atmospheric gases </w:t>
      </w:r>
      <w:r w:rsidR="0008640A">
        <w:rPr>
          <w:rFonts w:eastAsiaTheme="minorEastAsia"/>
        </w:rPr>
        <w:t>(e.g., O</w:t>
      </w:r>
      <w:r w:rsidR="0008640A">
        <w:rPr>
          <w:rFonts w:eastAsiaTheme="minorEastAsia"/>
          <w:vertAlign w:val="subscript"/>
        </w:rPr>
        <w:t>2</w:t>
      </w:r>
      <w:r w:rsidR="0008640A">
        <w:rPr>
          <w:rFonts w:eastAsiaTheme="minorEastAsia"/>
        </w:rPr>
        <w:t>, O</w:t>
      </w:r>
      <w:r w:rsidR="0008640A">
        <w:rPr>
          <w:rFonts w:eastAsiaTheme="minorEastAsia"/>
          <w:vertAlign w:val="subscript"/>
        </w:rPr>
        <w:t>3</w:t>
      </w:r>
      <w:r w:rsidR="0008640A">
        <w:rPr>
          <w:rFonts w:eastAsiaTheme="minorEastAsia"/>
        </w:rPr>
        <w:t>, N</w:t>
      </w:r>
      <w:r w:rsidR="0008640A">
        <w:rPr>
          <w:rFonts w:eastAsiaTheme="minorEastAsia"/>
          <w:vertAlign w:val="subscript"/>
        </w:rPr>
        <w:t>2</w:t>
      </w:r>
      <w:r w:rsidR="0008640A">
        <w:rPr>
          <w:rFonts w:eastAsiaTheme="minorEastAsia"/>
        </w:rPr>
        <w:t>, and</w:t>
      </w:r>
      <w:r w:rsidR="007B3E86">
        <w:rPr>
          <w:rFonts w:eastAsiaTheme="minorEastAsia"/>
        </w:rPr>
        <w:t xml:space="preserve"> CO</w:t>
      </w:r>
      <w:r w:rsidR="007B3E86">
        <w:rPr>
          <w:rFonts w:eastAsiaTheme="minorEastAsia"/>
          <w:vertAlign w:val="subscript"/>
        </w:rPr>
        <w:t>2</w:t>
      </w:r>
      <w:r w:rsidR="0008640A">
        <w:rPr>
          <w:rFonts w:eastAsiaTheme="minorEastAsia"/>
        </w:rPr>
        <w:t xml:space="preserve">) </w:t>
      </w:r>
      <w:r w:rsidR="00EF2CD2">
        <w:rPr>
          <w:rFonts w:eastAsiaTheme="minorEastAsia"/>
        </w:rPr>
        <w:t xml:space="preserve">and water vapor </w:t>
      </w:r>
      <w:r w:rsidR="00EF2CD2">
        <w:rPr>
          <w:rFonts w:eastAsiaTheme="minorEastAsia"/>
        </w:rPr>
        <w:fldChar w:fldCharType="begin"/>
      </w:r>
      <w:r w:rsidR="00BB6527">
        <w:rPr>
          <w:rFonts w:eastAsiaTheme="minorEastAsia"/>
        </w:rPr>
        <w:instrText xml:space="preserve"> ADDIN ZOTERO_ITEM CSL_CITATION {"citationID":"6w6r2VB5","properties":{"formattedCitation":"(Angstrom, 1929; Shaw, 1983)","plainCitation":"(Angstrom, 1929; Shaw, 1983)","noteIndex":0},"citationItems":[{"id":153,"uris":["http://zotero.org/groups/4584967/items/T5A5U423"],"itemData":{"id":153,"type":"article-journal","container-title":"Geografiska Annaler","page":"156-166","title":"On the Atmospheric Transmission of Sun Radiation and on Dust in the Air","volume":"11","author":[{"family":"Angstrom","given":"A."}],"issued":{"date-parts":[["1929"]]},"citation-key":"angstromAtmosphericTransmissionSun1929"}},{"id":650,"uris":["http://zotero.org/groups/4584967/items/L9H2LFXZ"],"itemData":{"id":650,"type":"article-journal","abstract":"Multi-wavelength sun photometry has been a subject of interest in meteorology for two and a half centuries. The technique provides a quantitative index that relates to total suspended aerosol in the atmospheric air column above the observer; this aerosol changes continually in the atmosphere in response to many complicated physical processes. When used in conjunction with other aerosol and meteorological measurements, sun photometry has the capability of delineating characteristic features of different air masses and the aerosol sources that affect them. This paper traces some of the early history of sun photometry and discusses a simple but modern filter wheel sun photometer and several sources of systematic error that have to be reckoned with. We provide examples of aerosol optical extinction spectra acquired at remote and pollution-prone stations with a simple and portable sun photometer.","container-title":"Bulletin of the American Meteorological Society","DOI":"10.1175/1520-0477(1983)064&lt;0004:SP&gt;2.0.CO;2","ISSN":"0003-0007, 1520-0477","issue":"1","language":"en","note":"publisher: American Meteorological Society\nsection: Bulletin of the American Meteorological Society","page":"4-10","source":"journals.ametsoc.org","title":"Sun Photometry","volume":"64","author":[{"family":"Shaw","given":"Glenn E."}],"issued":{"date-parts":[["1983",1,1]]},"citation-key":"shawSunPhotometry1983"}}],"schema":"https://github.com/citation-style-language/schema/raw/master/csl-citation.json"} </w:instrText>
      </w:r>
      <w:r w:rsidR="00EF2CD2">
        <w:rPr>
          <w:rFonts w:eastAsiaTheme="minorEastAsia"/>
        </w:rPr>
        <w:fldChar w:fldCharType="separate"/>
      </w:r>
      <w:r w:rsidR="008C4FE4" w:rsidRPr="008C4FE4">
        <w:rPr>
          <w:rFonts w:cs="Times New Roman"/>
        </w:rPr>
        <w:t>(Angstrom, 1929; Shaw, 1983)</w:t>
      </w:r>
      <w:r w:rsidR="00EF2CD2">
        <w:rPr>
          <w:rFonts w:eastAsiaTheme="minorEastAsia"/>
        </w:rPr>
        <w:fldChar w:fldCharType="end"/>
      </w:r>
      <w:r w:rsidR="00EF2CD2">
        <w:rPr>
          <w:rFonts w:eastAsiaTheme="minorEastAsia"/>
        </w:rPr>
        <w:t>.</w:t>
      </w:r>
    </w:p>
    <w:p w14:paraId="40527480" w14:textId="733CE947" w:rsidR="00F52B5F" w:rsidRDefault="008C4FE4" w:rsidP="008C4FE4">
      <w:pPr>
        <w:pStyle w:val="Heading3"/>
      </w:pPr>
      <w:bookmarkStart w:id="18" w:name="_Toc161431075"/>
      <w:r>
        <w:t xml:space="preserve">1.4.3 </w:t>
      </w:r>
      <w:r w:rsidR="00351431">
        <w:t>Retrieving</w:t>
      </w:r>
      <w:r>
        <w:t xml:space="preserve"> AOD </w:t>
      </w:r>
      <w:r w:rsidR="00351431">
        <w:t>U</w:t>
      </w:r>
      <w:r>
        <w:t xml:space="preserve">sing </w:t>
      </w:r>
      <w:r w:rsidR="00351431">
        <w:t>Satellites</w:t>
      </w:r>
      <w:bookmarkEnd w:id="18"/>
    </w:p>
    <w:p w14:paraId="11EF591A" w14:textId="64CB0D43" w:rsidR="008A1E1C" w:rsidRDefault="00351431" w:rsidP="00A0013F">
      <w:r>
        <w:tab/>
      </w:r>
      <w:r w:rsidR="00A8718D">
        <w:t xml:space="preserve">Another method of retrieving </w:t>
      </w:r>
      <w:r w:rsidR="00070F42">
        <w:t>AOD is through radiometers mounted on satellites.</w:t>
      </w:r>
      <w:r w:rsidR="00C60932">
        <w:t xml:space="preserve"> </w:t>
      </w:r>
      <w:r w:rsidR="00646BC4">
        <w:t>Radiometers</w:t>
      </w:r>
      <w:r w:rsidR="00106966">
        <w:t xml:space="preserve"> are</w:t>
      </w:r>
      <w:r w:rsidR="00646BC4">
        <w:t xml:space="preserve"> </w:t>
      </w:r>
      <w:r w:rsidR="0010450C">
        <w:t>similar to</w:t>
      </w:r>
      <w:r w:rsidR="00646BC4">
        <w:t xml:space="preserve"> photometers, </w:t>
      </w:r>
      <w:r w:rsidR="00106966">
        <w:t xml:space="preserve">but instead </w:t>
      </w:r>
      <w:r w:rsidR="00646BC4">
        <w:t xml:space="preserve">measure </w:t>
      </w:r>
      <w:r w:rsidR="005F39C8">
        <w:t xml:space="preserve">radiant flux. </w:t>
      </w:r>
      <w:r w:rsidR="009338AB">
        <w:t>Th</w:t>
      </w:r>
      <w:r w:rsidR="007B3E86">
        <w:t>ese measurements</w:t>
      </w:r>
      <w:r w:rsidR="009338AB">
        <w:t xml:space="preserve"> </w:t>
      </w:r>
      <w:r w:rsidR="00130842">
        <w:t xml:space="preserve">also </w:t>
      </w:r>
      <w:r w:rsidR="009338AB">
        <w:t xml:space="preserve">enable </w:t>
      </w:r>
      <w:r w:rsidR="00130842">
        <w:t xml:space="preserve">a retrieval of AOD but through a more complicated retrieval algorithm due to the added complexity from </w:t>
      </w:r>
      <w:r w:rsidR="00751BD9">
        <w:t>light reflecting off the Earth and its atmosphere.</w:t>
      </w:r>
      <w:r w:rsidR="00070F42">
        <w:t xml:space="preserve"> </w:t>
      </w:r>
      <w:r w:rsidR="00564051">
        <w:t>This method allows for area</w:t>
      </w:r>
      <w:r w:rsidR="004B5593">
        <w:t xml:space="preserve">-averaged retrievals of AOD </w:t>
      </w:r>
      <w:r w:rsidR="00232C16">
        <w:t xml:space="preserve">and </w:t>
      </w:r>
      <w:r w:rsidR="00D6280B">
        <w:t>has</w:t>
      </w:r>
      <w:r w:rsidR="00232C16">
        <w:t xml:space="preserve"> </w:t>
      </w:r>
      <w:r w:rsidR="00B9669A">
        <w:t xml:space="preserve">become the primary source for monitoring </w:t>
      </w:r>
      <w:r w:rsidR="00AB5221">
        <w:t xml:space="preserve">loadings of aerosols at the global scale </w:t>
      </w:r>
      <w:r w:rsidR="00AB5221">
        <w:fldChar w:fldCharType="begin"/>
      </w:r>
      <w:r w:rsidR="00BB6527">
        <w:instrText xml:space="preserve"> ADDIN ZOTERO_ITEM CSL_CITATION {"citationID":"tN4laE0j","properties":{"formattedCitation":"(X. Wei et al., 2020)","plainCitation":"(X. Wei et al., 2020)","dontUpdate":true,"noteIndex":0},"citationItems":[{"id":653,"uris":["http://zotero.org/groups/4584967/items/IECY8EXE"],"itemData":{"id":653,"type":"article-journal","abstract":"Aerosol optical depth (AOD) is widely recognized as a critical indicator in understanding atmospheric physics and regional air quality because of its capability for quantifying aerosol loading in the atmosphere. Retrieving AOD from space-borne sensors’ observations has become the primary technique for monitoring aerosol loading on a large scale. There is currently a renewed interest in designing new satellite sensors and developing more advanced retrieval algorithms to measure AOD from space in order to better quantify concentrations of particulate matters (PMs) for advanced air quality management, environmental health assessment, and climate change studies. However, retrieving high-resolution AOD at varying scales is still a challenging task due to the low signal-to-noise ratio in sensing, algorithmic synthesis constraints, downscaling issues, and data gaps resulting from adverse impacts such as cloud contamination. Current state-of-the-art technologies still do not permit delicate urban-scale environmental health studies based on appropriate AOD-PMs relationships. This review paper provides a holistic view of the major advances in AOD measurements, elucidates the limitations of current AOD products, presents the challenges with respect to the derivation of high-resolution AOD, and highlights perspectives regarding the possible improvements of satellite-based AOD estimation.","container-title":"Critical Reviews in Environmental Science and Technology","DOI":"10.1080/10643389.2019.1665944","ISSN":"1064-3389","issue":"16","note":"publisher: Taylor &amp; Francis\n_eprint: https://doi.org/10.1080/10643389.2019.1665944","page":"1640-1725","source":"Taylor and Francis+NEJM","title":"Satellite remote sensing of aerosol optical depth: advances, challenges, and perspectives","title-short":"Satellite remote sensing of aerosol optical depth","volume":"50","author":[{"family":"Wei","given":"X."},{"family":"Chang","given":"N. B."},{"family":"Bai","given":"K."},{"family":"Gao","given":"W."}],"issued":{"date-parts":[["2020",8,17]]},"citation-key":"weiSatelliteRemoteSensing2020"}}],"schema":"https://github.com/citation-style-language/schema/raw/master/csl-citation.json"} </w:instrText>
      </w:r>
      <w:r w:rsidR="00AB5221">
        <w:fldChar w:fldCharType="separate"/>
      </w:r>
      <w:r w:rsidR="00AB5221" w:rsidRPr="00AB5221">
        <w:rPr>
          <w:rFonts w:cs="Times New Roman"/>
        </w:rPr>
        <w:t>(Wei et al., 2020)</w:t>
      </w:r>
      <w:r w:rsidR="00AB5221">
        <w:fldChar w:fldCharType="end"/>
      </w:r>
      <w:r w:rsidR="00AB5221">
        <w:t>.</w:t>
      </w:r>
      <w:r w:rsidR="00642E1E">
        <w:t xml:space="preserve"> </w:t>
      </w:r>
      <w:r w:rsidR="003B34F5">
        <w:t xml:space="preserve">Satellite-retrieved AOD datasets are complementary to </w:t>
      </w:r>
      <w:r w:rsidR="00222F83">
        <w:t>sunphotometer</w:t>
      </w:r>
      <w:r w:rsidR="003B34F5">
        <w:t xml:space="preserve"> AOD datasets, as the former can </w:t>
      </w:r>
      <w:r w:rsidR="00164567">
        <w:t xml:space="preserve">cover areas that are inaccessible for </w:t>
      </w:r>
      <w:r w:rsidR="00222F83">
        <w:t>sunphotometer</w:t>
      </w:r>
      <w:r w:rsidR="00164567">
        <w:t xml:space="preserve"> stations and the latter can </w:t>
      </w:r>
      <w:r w:rsidR="00E95DAF">
        <w:t xml:space="preserve">be used to calibrate the </w:t>
      </w:r>
      <w:r w:rsidR="00933DD3">
        <w:t xml:space="preserve">retrieval algorithms of the </w:t>
      </w:r>
      <w:r w:rsidR="00A0013F">
        <w:t xml:space="preserve">former </w:t>
      </w:r>
      <w:r w:rsidR="00A0013F">
        <w:fldChar w:fldCharType="begin"/>
      </w:r>
      <w:r w:rsidR="00BB6527">
        <w:instrText xml:space="preserve"> ADDIN ZOTERO_ITEM CSL_CITATION {"citationID":"F2YU8SJa","properties":{"formattedCitation":"(X. Wei et al., 2020)","plainCitation":"(X. Wei et al., 2020)","dontUpdate":true,"noteIndex":0},"citationItems":[{"id":653,"uris":["http://zotero.org/groups/4584967/items/IECY8EXE"],"itemData":{"id":653,"type":"article-journal","abstract":"Aerosol optical depth (AOD) is widely recognized as a critical indicator in understanding atmospheric physics and regional air quality because of its capability for quantifying aerosol loading in the atmosphere. Retrieving AOD from space-borne sensors’ observations has become the primary technique for monitoring aerosol loading on a large scale. There is currently a renewed interest in designing new satellite sensors and developing more advanced retrieval algorithms to measure AOD from space in order to better quantify concentrations of particulate matters (PMs) for advanced air quality management, environmental health assessment, and climate change studies. However, retrieving high-resolution AOD at varying scales is still a challenging task due to the low signal-to-noise ratio in sensing, algorithmic synthesis constraints, downscaling issues, and data gaps resulting from adverse impacts such as cloud contamination. Current state-of-the-art technologies still do not permit delicate urban-scale environmental health studies based on appropriate AOD-PMs relationships. This review paper provides a holistic view of the major advances in AOD measurements, elucidates the limitations of current AOD products, presents the challenges with respect to the derivation of high-resolution AOD, and highlights perspectives regarding the possible improvements of satellite-based AOD estimation.","container-title":"Critical Reviews in Environmental Science and Technology","DOI":"10.1080/10643389.2019.1665944","ISSN":"1064-3389","issue":"16","note":"publisher: Taylor &amp; Francis\n_eprint: https://doi.org/10.1080/10643389.2019.1665944","page":"1640-1725","source":"Taylor and Francis+NEJM","title":"Satellite remote sensing of aerosol optical depth: advances, challenges, and perspectives","title-short":"Satellite remote sensing of aerosol optical depth","volume":"50","author":[{"family":"Wei","given":"X."},{"family":"Chang","given":"N. B."},{"family":"Bai","given":"K."},{"family":"Gao","given":"W."}],"issued":{"date-parts":[["2020",8,17]]},"citation-key":"weiSatelliteRemoteSensing2020"}}],"schema":"https://github.com/citation-style-language/schema/raw/master/csl-citation.json"} </w:instrText>
      </w:r>
      <w:r w:rsidR="00A0013F">
        <w:fldChar w:fldCharType="separate"/>
      </w:r>
      <w:r w:rsidR="00A0013F" w:rsidRPr="00A0013F">
        <w:rPr>
          <w:rFonts w:cs="Times New Roman"/>
        </w:rPr>
        <w:t>(</w:t>
      </w:r>
      <w:r w:rsidR="00A0013F" w:rsidRPr="004770E8">
        <w:t>Wei</w:t>
      </w:r>
      <w:r w:rsidR="00A0013F" w:rsidRPr="00A0013F">
        <w:rPr>
          <w:rFonts w:cs="Times New Roman"/>
        </w:rPr>
        <w:t xml:space="preserve"> et al., 2020)</w:t>
      </w:r>
      <w:r w:rsidR="00A0013F">
        <w:fldChar w:fldCharType="end"/>
      </w:r>
      <w:r w:rsidR="00A0013F">
        <w:t>.</w:t>
      </w:r>
    </w:p>
    <w:p w14:paraId="256B368F" w14:textId="6367239C" w:rsidR="00D565B8" w:rsidRDefault="00BC18B1" w:rsidP="00D565B8">
      <w:pPr>
        <w:spacing w:after="240"/>
        <w:ind w:firstLine="720"/>
        <w:rPr>
          <w:rFonts w:eastAsia="Times New Roman" w:cs="Times New Roman"/>
          <w:color w:val="000000"/>
          <w:szCs w:val="24"/>
        </w:rPr>
      </w:pPr>
      <w:r>
        <w:rPr>
          <w:rFonts w:eastAsia="Times New Roman" w:cs="Times New Roman"/>
          <w:color w:val="000000"/>
          <w:szCs w:val="24"/>
        </w:rPr>
        <w:t>Examples of such radiometers include</w:t>
      </w:r>
      <w:r w:rsidR="00200499" w:rsidRPr="004B722A">
        <w:rPr>
          <w:rFonts w:eastAsia="Times New Roman" w:cs="Times New Roman"/>
          <w:color w:val="000000"/>
          <w:szCs w:val="24"/>
        </w:rPr>
        <w:t xml:space="preserve"> the Moderate Resolution Imaging Spectroradiometer (MODIS) onboard Terra and Aqua satellites and the Visible Infrared Imaging </w:t>
      </w:r>
      <w:r w:rsidR="00200499" w:rsidRPr="004B722A">
        <w:rPr>
          <w:rFonts w:eastAsia="Times New Roman" w:cs="Times New Roman"/>
          <w:color w:val="000000"/>
          <w:szCs w:val="24"/>
        </w:rPr>
        <w:lastRenderedPageBreak/>
        <w:t xml:space="preserve">Radiometer Suite (VIIRS) onboard Suomi-NPP satellite. </w:t>
      </w:r>
      <w:r w:rsidR="00D565B8" w:rsidRPr="004B722A">
        <w:rPr>
          <w:rFonts w:eastAsia="Times New Roman" w:cs="Times New Roman"/>
          <w:color w:val="000000"/>
          <w:szCs w:val="24"/>
        </w:rPr>
        <w:t>The three major retrieval algorithms used for retrieving AOD are Dark Target (DT)</w:t>
      </w:r>
      <w:r w:rsidR="00D565B8">
        <w:rPr>
          <w:rFonts w:eastAsia="Times New Roman" w:cs="Times New Roman"/>
          <w:color w:val="000000"/>
          <w:szCs w:val="24"/>
        </w:rPr>
        <w:t xml:space="preserve"> </w:t>
      </w:r>
      <w:r w:rsidR="00D565B8">
        <w:rPr>
          <w:rFonts w:eastAsia="Times New Roman" w:cs="Times New Roman"/>
          <w:color w:val="000000"/>
          <w:szCs w:val="24"/>
        </w:rPr>
        <w:fldChar w:fldCharType="begin"/>
      </w:r>
      <w:r w:rsidR="00BB6527">
        <w:rPr>
          <w:rFonts w:eastAsia="Times New Roman" w:cs="Times New Roman"/>
          <w:color w:val="000000"/>
          <w:szCs w:val="24"/>
        </w:rPr>
        <w:instrText xml:space="preserve"> ADDIN ZOTERO_ITEM CSL_CITATION {"citationID":"nzZNJRz6","properties":{"formattedCitation":"(Chu et al., 2002; Kaufman et al., 1997; Remer et al., 2002, 2005; Tanr\\uc0\\u233{} et al., 1997a, 1999)","plainCitation":"(Chu et al., 2002; Kaufman et al., 1997; Remer et al., 2002, 2005; Tanré et al., 1997a, 1999)","noteIndex":0},"citationItems":[{"id":342,"uris":["http://zotero.org/groups/4584967/items/CIR8NUKD"],"itemData":{"id":342,"type":"article-journal","abstract":"Aerosol optical depths (τa) are derived operationally for the first time from the MODIS (Moderate Resolution Imaging Spectroradiometer) measurements over vegetated and partially vegetated land at 0.47 and 0.66 μm wavelengths. The extensive validation made during July – September 2000 encompasses 315 co-located τa in space and time derived by MODIS and AERONET (Aerosol Robotic Network) from more than 30 AERONET sites. The lack of AERONET measurements in East Asia, India and Australia makes this validation unavailable for those regions. The MODIS aerosol retrievals, except in coastal zones, are found within the retrieval errors of Δτa = ±0.05 ±0.2 τa. The root mean square (RMS) errors are ≤ 0.1 in the continental inland regions and up to 0.3 in the coastal regions (attributed mainly to water contaminated signals). With this validation we believe that MODIS aerosol products can be used quantitatively in many applications with caution for possible residual clouds, snow/ice, and water contamination.","container-title":"Geophysical Research Letters","DOI":"10.1029/2001GL013205","ISSN":"1944-8007","issue":"12","journalAbbreviation":"Geophys. Res. Lett.","language":"en","license":"Copyright 2002 by the American Geophysical Union.","page":"MOD2-1","source":"Wiley Online Library","title":"Validation of MODIS aerosol optical depth retrieval over land","volume":"29","author":[{"family":"Chu","given":"D. A."},{"family":"Kaufman","given":"Y. J."},{"family":"Ichoku","given":"C."},{"family":"Remer","given":"L. A."},{"family":"Tanré","given":"D."},{"family":"Holben","given":"B. N"}],"issued":{"date-parts":[["2002",6,1]]},"citation-key":"chuValidationMODISAerosol2002"}},{"id":150,"uris":["http://zotero.org/groups/4584967/items/6ZZA23IV"],"itemData":{"id":150,"type":"article-journal","abstract":"Daily distribution of the aerosol optical thickness and columnar mass concentration will be derived over the continents, from the EOS moderate resolution imaging spectroradiometer (MODIS) using dark land targets. Dark land covers are mainly vegetated areas and dark soils observed in the red and blue channels; therefore the method will be limited to the moist parts of the continents (excluding water and ice cover). After the launch of MODIS the distribution of elevated aerosol concentrations, for example, biomass burning in the tropics or urban industrial aerosol in the midlatitudes, will be continuously monitored. The algorithm takes advantage of the MODIS wide spectral range and high spatial resolution and the strong spectral dependence of the aerosol opacity for most aerosol types that result in low optical thickness in the mid-IR (2.1 and 3.8 μm). The main steps of the algorithm are (1) identification of dark pixels in the mid-IR; (2) estimation of their reflectance at 0.47 and 0.66 μm; and (3) derivation of the optical thickness and mass concentration of the accumulation mode from the detected radiance. To differentiate between dust and aerosol dominated by accumulation mode particles, for example, smoke or sulfates, ratios of the aerosol path radiance at 0.47 and 0.66 μm are used. New dynamic aerosol models for biomass burning aerosol, dust and aerosol from industrial/urban origin, are used to determine the aerosol optical properties used in the algorithm. The error in the retrieved aerosol optical thicknesses, τa is expected to be Δτa = 0.05±0.2τa. Daily values are stored on a resolution of 10×10 pixels (1 km nadir resolution). Weighted and gridded 8-day and monthly composites of the optical thickness, the aerosol mass concentration and spectral radiative forcing are generated for selected scattering angles to increase the accuracy. The daily aerosol information over land and oceans [Tanré et al., this issue], combined with continuous aerosol remote sensing from the ground, will be used to study aerosol climatology, to monitor the sources and sinks of specific aerosol types, and to study the interaction of aerosol with water vapor and clouds and their radiative forcing of climate. The aerosol information will also be used for atmospheric corrections of remotely sensed surface reflectance. In this paper, examples of applications and validations are provided.","container-title":"Journal of Geophysical Research: Atmospheres","DOI":"10.1029/96JD03988","ISSN":"2156-2202","issue":"D14","journalAbbreviation":"J. Geophys. Res.","language":"en","page":"17051-17067","source":"Wiley Online Library","title":"Operational remote sensing of tropospheric aerosol over land from EOS moderate resolution imaging spectroradiometer","volume":"102","author":[{"family":"Kaufman","given":"Y. J."},{"family":"Tanré","given":"D."},{"family":"Remer","given":"L. A."},{"family":"Vermote","given":"E. F."},{"family":"Chu","given":"A."},{"family":"Holben","given":"B. N."}],"issued":{"date-parts":[["1997",7,27]]},"citation-key":"kaufmanOperationalRemoteSensing1997"}},{"id":532,"uris":["http://zotero.org/groups/4584967/items/MSRWM8YU"],"itemData":{"id":532,"type":"article-journal","abstract":"The MODerate resolution Imaging Spectroradiometer (MODIS) algorithm for determining aerosol characteristics over ocean is performing within expected accuracy. A two-month data set of MODIS retrievals co-located with observations from the AErosol RObotic NETwork (AERONET) ground-based sunphotometer network provides the necessary validation. Spectral radiation measured by MODIS (in the range 550–2100 nm) is used to retrieve the aerosol optical thickness, effective particle radius and ratio between the submicron and micron size particles. MODIS-retrieved aerosol optical thickness at 660 nm and 870 nm fall within the expected uncertainty, with the ensemble average at 660 nm differing by only 2% from the AERONET observations and having virtually no offset. Roughly seventy percent of MODIS retrievals of aerosol effective radius for optical thickness greater than 0.15 agree with AERONET retrievals to within ±0.10 μm.","container-title":"Geophysical Research Letters","DOI":"10.1029/2001GL013204","ISSN":"1944-8007","issue":"12","language":"en","license":"Copyright 2002 by the American Geophysical Union.","note":"_eprint: https://onlinelibrary.wiley.com/doi/pdf/10.1029/2001GL013204","page":"MOD3-1-MOD3-4","source":"Wiley Online Library","title":"Validation of MODIS aerosol retrieval over ocean","volume":"29","author":[{"family":"Remer","given":"L. A."},{"family":"Tanré","given":"D."},{"family":"Kaufman","given":"Y. J."},{"family":"Ichoku","given":"C."},{"family":"Mattoo","given":"S."},{"family":"Levy","given":"R."},{"family":"Chu","given":"D. A."},{"family":"Holben","given":"B."},{"family":"Dubovik","given":"O."},{"family":"Smirnov","given":"A."},{"family":"Martins","given":"J. V."},{"family":"Li","given":"R.-R."},{"family":"Ahmad","given":"Z."}],"issued":{"date-parts":[["2002"]]},"citation-key":"remerValidationMODISAerosol2002"}},{"id":533,"uris":["http://zotero.org/groups/4584967/items/893B83LT"],"itemData":{"id":533,"type":"article-journal","abstract":"Abstract The Moderate Resolution Imaging Spectroradiometer (MODIS) aboard both NASA’s Terra and Aqua satellites is making near-global daily observations of the earth in a wide spectral range (0.41–15 μm). These measurements are used to derive spectral aerosol optical thickness and aerosol size parameters over both land and ocean. The aerosol products available over land include aerosol optical thickness at three visible wavelengths, a measure of the fraction of aerosol optical thickness attributed to the fine mode, and several derived parameters including reflected spectral solar flux at the top of the atmosphere. Over the ocean, the aerosol optical thickness is provided in seven wavelengths from 0.47 to 2.13 μm. In addition, quantitative aerosol size information includes effective radius of the aerosol and quantitative fraction of optical thickness attributed to the fine mode. Spectral irradiance contributed by the aerosol, mass concentration, and number of cloud condensation nuclei round out the list of available aerosol products over the ocean. The spectral optical thickness and effective radius of the aerosol over the ocean are validated by comparison with two years of Aerosol Robotic Network (AERONET) data gleaned from 132 AERONET stations. Eight thousand MODIS aerosol retrievals collocated with AERONET measurements confirm that one standard deviation of MODIS optical thickness retrievals fall within the predicted uncertainty of Δτ = ±0.03 ±0.05τ over ocean and Δτ = ±0.05 ± 0.15τ over land. Two hundred and seventy-one MODIS aerosol retrievals collocated with AERONET inversions at island and coastal sites suggest that one standard deviation of MODIS effective radius retrievals falls within Δreff = ±0.11 μm. The accuracy of the MODIS retrievals suggests that the product can be used to help narrow the uncertainties associated with aerosol radiative forcing of global climate.","container-title":"Journal of the Atmospheric Sciences","DOI":"10.1175/JAS3385.1","ISSN":"0022-4928, 1520-0469","issue":"4","language":"EN","note":"publisher: American Meteorological Society\nsection: Journal of the Atmospheric Sciences","page":"947-973","source":"journals.ametsoc.org","title":"The MODIS Aerosol Algorithm, Products, and Validation","volume":"62","author":[{"family":"Remer","given":"L. A."},{"family":"Kaufman","given":"Y. J."},{"family":"Tanré","given":"D."},{"family":"Mattoo","given":"S."},{"family":"Chu","given":"D. A."},{"family":"Martins","given":"J. V."},{"family":"Li","given":"R.-R."},{"family":"Ichoku","given":"C."},{"family":"Levy","given":"R. C."},{"family":"Kleidman","given":"R. G."},{"family":"Eck","given":"T. F."},{"family":"Vermote","given":"E."},{"family":"Holben","given":"B. N."}],"issued":{"date-parts":[["2005",4,1]]},"citation-key":"remerMODISAerosolAlgorithm2005"}},{"id":534,"uris":["http://zotero.org/groups/4584967/items/NR2I4N3J"],"itemData":{"id":534,"type":"article-journal","abstract":"Spectral radiances measured at the top of the atmosphere in a wide spectral range (0.55–2.13 μm) are used to monitor the aerosol optical thickness and the aerosol size distribution (integrated on the vertical column) of the ambient (undisturbed) aerosol over the oceans. Even for the moderate resolution imaging spectrometer (MODIS) wide spectral range, only three parameters that describe the aerosol loading and size distribution can be retrieved. These three parameters are not always unique. For instance, the spectral radiance of an aerosol with a bilognormal size distribution can be simulated very well with a single lognormal aerosol with an appropriate mean radius and width of distribution. Preassumptions on the general structure of the size distribution are therefore required in the inversion of MODIS data. The retrieval of the aerosol properties is performed using lookup table computations. The volume size distribution in the lookup table is described with two lognormal modes: a single mode to describe the accumulation mode particles (radius &lt;0.5 μm) and a single coarse mode to describe dust and/or salt particles (radius &gt;1.0 μm). Note that two accumulation modes may be present, one dominated by gas phase processes and a second dominated by cloud phase processes. The coarse mode can also be split into several partially overlapping modes describing maritime salt particles and dust. The aerosol parameters we expect to retrieve are η, the fractional contribution of the accumulation mode to scattering; τ, the spectral optical thickness; and rm, the mean particle size of the dominant mode. Additional radiative quantities such as asymmetry parameter and effective radius are derived subsequently. The impact of the surface conditions, wind speed and chlorophyll content on the retrieval is estimated, the impact of potential sources of error like the calibration of the instrument is also tested. The algorithm has been applied successfully to actual data sets provided by the Thematic Mapper on Landsat 5 and by the MODIS airborne simulator on the ER-2 and tested against ground and airborne measurements. A first estimate of the general accuracy is Δτ = ±0.05±0.05τ (at 550 nm), Δrm = 0.3rm, Δη = ±0.25.","container-title":"Journal of Geophysical Research: Atmospheres","DOI":"10.1029/96JD03437","ISSN":"2156-2202","issue":"D14","language":"en","license":"Copyright 1997 by the American Geophysical Union.","note":"_eprint: https://onlinelibrary.wiley.com/doi/pdf/10.1029/96JD03437","page":"16971-16988","source":"Wiley Online Library","title":"Remote sensing of aerosol properties over oceans using the MODIS/EOS spectral radiances","volume":"102","author":[{"family":"Tanré","given":"D."},{"family":"Kaufman","given":"Y. J."},{"family":"Herman","given":"M."},{"family":"Mattoo","given":"S."}],"issued":{"date-parts":[["1997"]]},"citation-key":"tanreRemoteSensingAerosol1997a"}},{"id":535,"uris":["http://zotero.org/groups/4584967/items/N6ZA5T7S"],"itemData":{"id":535,"type":"article-journal","abstract":"Radiation and in-situ measurements collected during the Tropospheric Aerosol Radiative Forcing Observational Experiment (TARFOX) are used to test the method for remote sensing of aerosol properties and loading from the MODIS instrument. MODIS, a Moderate Resolution Imaging Spectroradiometer, will be launched in 1999 aboard the first EOS (Earth Observing System). Following the MODIS procedure [Tanré et al, 1997], the spectral radiance at the top of the atmosphere (TOA) measured over the ocean in a wide spectral range (0.55–2.13 μm) is used to derive the aerosol optical thickness (proportional to the aerosol total loading) and the aerosol size distribution (integrated over the vertical column) of the ambient (undisturbed) aerosol by comparing measured radiances with values in look-up table (LUT). The LUT includes the gas-phase oxidation accumulation mode, cloud-phase accumulation mode, and a coarse mode that represents maritime particles (salt) and dust. In each inversion, one accumulation and one coarse mode can be retrieved. The inversion retrieves the ratio of the contribution to the optical thicknesses of the two particle modes and the mean particle size that best fits the measurements. This algorithm is successfully applied to the data sets acquired during TARFOX. The MODIS airborne simulator (MAS) aboard the NASA ER-2 aircraft flew several times during the experiment above the University of Washington C-131A research aircraft on which the six-channel Ames Airborne Tracking Sun Photometer (AATS-6) was mounted. It flew also above surface-based Sun photometers. Optical thicknesses (at λ = 550 nm) as well as the spectral dependence from the various data sets compare very well.","container-title":"Journal of Geophysical Research: Atmospheres","DOI":"10.1029/1998JD200077","ISSN":"2156-2202","issue":"D2","language":"en","license":"Copyright 1999 by the American Geophysical Union.","note":"_eprint: https://onlinelibrary.wiley.com/doi/pdf/10.1029/1998JD200077","page":"2261-2278","source":"Wiley Online Library","title":"Retrieval of aerosol optical thickness and size distribution over ocean from the MODIS airborne simulator during TARFOX","volume":"104","author":[{"family":"Tanré","given":"D."},{"family":"Remer","given":"L. A."},{"family":"Kaufman","given":"Y. J."},{"family":"Mattoo","given":"S."},{"family":"Hobbs","given":"P. V."},{"family":"Livingston","given":"J. M."},{"family":"Russell","given":"P. B."},{"family":"Smirnov","given":"A."}],"issued":{"date-parts":[["1999"]]},"citation-key":"tanreRetrievalAerosolOptical1999"}}],"schema":"https://github.com/citation-style-language/schema/raw/master/csl-citation.json"} </w:instrText>
      </w:r>
      <w:r w:rsidR="00D565B8">
        <w:rPr>
          <w:rFonts w:eastAsia="Times New Roman" w:cs="Times New Roman"/>
          <w:color w:val="000000"/>
          <w:szCs w:val="24"/>
        </w:rPr>
        <w:fldChar w:fldCharType="separate"/>
      </w:r>
      <w:r w:rsidR="0035615F" w:rsidRPr="0035615F">
        <w:rPr>
          <w:rFonts w:cs="Times New Roman"/>
          <w:szCs w:val="24"/>
        </w:rPr>
        <w:t>(Chu et al., 2002; Kaufman et al., 1997; Remer et al., 2002, 2005; Tanré et al., 1997a, 1999)</w:t>
      </w:r>
      <w:r w:rsidR="00D565B8">
        <w:rPr>
          <w:rFonts w:eastAsia="Times New Roman" w:cs="Times New Roman"/>
          <w:color w:val="000000"/>
          <w:szCs w:val="24"/>
        </w:rPr>
        <w:fldChar w:fldCharType="end"/>
      </w:r>
      <w:r w:rsidR="00D565B8" w:rsidRPr="004B722A">
        <w:rPr>
          <w:rFonts w:eastAsia="Times New Roman" w:cs="Times New Roman"/>
          <w:color w:val="000000"/>
          <w:szCs w:val="24"/>
        </w:rPr>
        <w:t>, Deep Blue (DB)</w:t>
      </w:r>
      <w:r w:rsidR="00D565B8">
        <w:rPr>
          <w:rFonts w:eastAsia="Times New Roman" w:cs="Times New Roman"/>
          <w:color w:val="000000"/>
          <w:szCs w:val="24"/>
        </w:rPr>
        <w:t xml:space="preserve"> </w:t>
      </w:r>
      <w:r w:rsidR="00D565B8">
        <w:rPr>
          <w:rFonts w:eastAsia="Times New Roman" w:cs="Times New Roman"/>
          <w:color w:val="000000"/>
          <w:szCs w:val="24"/>
        </w:rPr>
        <w:fldChar w:fldCharType="begin"/>
      </w:r>
      <w:r w:rsidR="00BB6527">
        <w:rPr>
          <w:rFonts w:eastAsia="Times New Roman" w:cs="Times New Roman"/>
          <w:color w:val="000000"/>
          <w:szCs w:val="24"/>
        </w:rPr>
        <w:instrText xml:space="preserve"> ADDIN ZOTERO_ITEM CSL_CITATION {"citationID":"HXrFY6In","properties":{"formattedCitation":"(N. C. Hsu et al., 2004, 2013; Jeong et al., 2011; A. M. Sayer et al., 2013; A. M. Sayer, Hsu, Bettenhausen, Ahmad, et al., 2012; A. M. Sayer, Hsu, Bettenhausen, Jeong, et al., 2012)","plainCitation":"(N. C. Hsu et al., 2004, 2013; Jeong et al., 2011; A. M. Sayer et al., 2013; A. M. Sayer, Hsu, Bettenhausen, Ahmad, et al., 2012; A. M. Sayer, Hsu, Bettenhausen, Jeong, et al., 2012)","dontUpdate":true,"noteIndex":0},"citationItems":[{"id":495,"uris":["http://zotero.org/groups/4584967/items/G2JN2YLQ"],"itemData":{"id":495,"type":"article-journal","abstract":"Retrieving aerosol properties from satellite remote sensing over a bright surface is a challenging problem in the research of atmospheric and land applications. In this paper we propose a new approach to retrieve aerosol properties over surfaces such as arid, semiarid, and urban areas, where the surface reflectance is usually very bright in the red part of visible spectrum and in the near infrared, but is much darker in the blue spectral region (i.e., wavelength &lt;500 nm). In order to infer atmospheric properties from these data, a global surface reflectance database of 0.1/spl deg/ latitude by 0.1/spl deg/ longitude resolution was constructed over bright surfaces for visible wavelengths using the minimum reflectivity technique (e.g., finding the clearest scene during each season for a given location). The aerosol optical thickness and aerosol type are then determined simultaneously in the algorithm using lookup tables to match the satellite observed spectral radiances. Examples of aerosol optical thickness derived using this algorithm over the Sahara Desert and Arabian Peninsula reveal various dust sources, which are important contributors to airborne dust transported over long distances. Comparisons of the satellite inferred aerosol optical thickness and the values from ground-based Aerosol Robotic Network (AERONET) sun/sky radiometer measurements indicate good agreement (i.e., within 30%) over the sites in Nigeria and Saudi Arabia. This new algorithm, when applied to Moderate Resolution Imaging Spectroradiometer (MODIS), Sea-viewing Wide Field of view Sensor (SeaWiFS), and Global Imager (GLI) satellite data, will provide high spatial resolution (/spl sim/1 km) global information of aerosol optical thickness over bright surfaces on a daily basis.","container-title":"IEEE Transactions on Geoscience and Remote Sensing","DOI":"10.1109/TGRS.2004.824067","ISSN":"1558-0644","issue":"3","note":"event-title: IEEE Transactions on Geoscience and Remote Sensing","page":"557-569","source":"IEEE Xplore","title":"Aerosol properties over bright-reflecting source regions","volume":"42","author":[{"family":"Hsu","given":"N.C."},{"family":"Tsay","given":"Si-Chee"},{"family":"King","given":"M.D."},{"family":"Herman","given":"J.R."}],"issued":{"date-parts":[["2004",3]]},"citation-key":"hsuAerosolPropertiesBrightreflecting2004"}},{"id":540,"uris":["http://zotero.org/groups/4584967/items/J6NFKCA7"],"itemData":{"id":540,"type":"article-journal","abstract":"The aerosol products retrieved using the Moderate Resolution Imaging Spectroradiometer (MODIS) collection 5.1 Deep Blue algorithm have provided useful information about aerosol properties over bright-reflecting land surfaces, such as desert, semiarid, and urban regions. However, many components of the C5.1 retrieval algorithm needed to be improved; for example, the use of a static surface database to estimate surface reflectances. This is particularly important over regions of mixed vegetated and nonvegetated surfaces, which may undergo strong seasonal changes in land cover. In order to address this issue, we develop a hybrid approach, which takes advantage of the combination of precalculated surface reflectance database and normalized difference vegetation index in determining the surface reflectance for aerosol retrievals. As a result, the spatial coverage of aerosol data generated by the enhanced Deep Blue algorithm has been extended from the arid and semiarid regions to the entire land areas. In this paper, the changes made in the enhanced Deep Blue algorithm regarding the surface reflectance estimation, aerosol model selection, and cloud screening schemes for producing the MODIS collection 6 aerosol products are discussed. A similar approach has also been applied to the algorithm that generates the Sea-viewing Wide Field-of-view Sensor (SeaWiFS) Deep Blue products. Based upon our preliminary results of comparing the enhanced Deep Blue aerosol products with the Aerosol Robotic Network (AERONET) measurements, the expected error of the Deep Blue aerosol optical thickness (AOT) is estimated to be better than 0.05 + 20%. Using 10 AERONET sites with long-term time series, 79% of the best quality Deep Blue AOT values are found to fall within this expected error.","container-title":"Journal of Geophysical Research: Atmospheres","DOI":"10.1002/jgrd.50712","ISSN":"2169-8996","issue":"16","language":"en","license":"©2013. The authors.","note":"_eprint: https://onlinelibrary.wiley.com/doi/pdf/10.1002/jgrd.50712","page":"9296-9315","source":"Wiley Online Library","title":"Enhanced Deep Blue aerosol retrieval algorithm: The second generation","title-short":"Enhanced Deep Blue aerosol retrieval algorithm","volume":"118","author":[{"family":"Hsu","given":"N. C."},{"family":"Jeong","given":"M.-J."},{"family":"Bettenhausen","given":"C."},{"family":"Sayer","given":"A. M."},{"family":"Hansell","given":"R."},{"family":"Seftor","given":"C. S."},{"family":"Huang","given":"J."},{"family":"Tsay","given":"S.-C."}],"issued":{"date-parts":[["2013"]]},"citation-key":"hsuEnhancedDeepBlue2013"}},{"id":536,"uris":["http://zotero.org/groups/4584967/items/XQ2II3MG"],"itemData":{"id":536,"type":"article-journal","abstract":"The retrieval of aerosol properties from spaceborne sensors requires highly accurate and precise radiometric measurements, thus placing stringent requirements on sensor calibration and characterization. For the Terra/Moderate Resolution Imaging Spectroradiometer (MODIS), the characteristics of the detectors of certain bands, particularly band 8 [(B8); 412 nm], have changed significantly over time, leading to increased calibration uncertainty. In this paper, we explore a possibility of utilizing a cross calibration method developed for characterizing the Terra/ MODIS detectors in the ocean bands by the National Aeronautics and Space Administration Ocean Biology Processing Group to improve aerosol retrieval over bright land surfaces. We found that the Terra/MODIS B8 reflectance corrected using the cross calibration method resulted in significant improvements for the retrieved aerosol optical thickness when compared with that from the Multi-angle Imaging Spectroradiometer, Aqua/MODIS, and the Aerosol Robotic Network. The method reported in this paper is implemented for the operational processing of the Terra/MODIS Deep Blue aerosol products.","container-title":"IEEE Transactions on Geoscience and Remote Sensing","DOI":"10.1109/TGRS.2011.2153205","ISSN":"1558-0644","issue":"12","note":"event-title: IEEE Transactions on Geoscience and Remote Sensing","page":"4877-4888","source":"IEEE Xplore","title":"Impacts of Cross-Platform Vicarious Calibration on the Deep Blue Aerosol Retrievals for Moderate Resolution Imaging Spectroradiometer Aboard Terra","volume":"49","author":[{"family":"Jeong","given":"Myeong-Jae"},{"family":"Hsu","given":"N. Christina"},{"family":"Kwiatkowska","given":"Ewa J."},{"family":"Franz","given":"Bryan A."},{"family":"Meister","given":"Gerhard"},{"family":"Salustro","given":"Clare E."}],"issued":{"date-parts":[["2011",12]]},"citation-key":"jeongImpactsCrossPlatformVicarious2011"}},{"id":335,"uris":["http://zotero.org/groups/4584967/items/MJPHJ5TT"],"itemData":{"id":335,"type":"article-journal","abstract":"The “Deep Blue” aerosol optical depth (AOD) retrieval algorithm was introduced in Collection 5 of the Moderate Resolution Imaging Spectroradiometer (MODIS) product suite, and complemented the existing “Dark Target” land and ocean algorithms by retrieving AOD over bright arid land surfaces, such as deserts. The forthcoming Collection 6 of MODIS products will include a “second generation” Deep Blue algorithm, expanding coverage to all cloud-free and snow-free land surfaces. The Deep Blue dataset will also provide an estimate of the absolute uncertainty on AOD at 550 nm for each retrieval. This study describes the validation of Deep Blue Collection 6 AOD at 550 nm (τM) from MODIS Aqua against Aerosol Robotic Network (AERONET) data from 60 sites to quantify these uncertainties. The highest quality (denoted quality assurance flag value 3) data are shown to have an absolute uncertainty of approximately (0.086+0.56τM)/AMF, where AMF is the geometric air mass factor. For a typical AMF of 2.8, this is approximately 0.03+0.20τM, comparable in quality to other satellite AOD datasets. Regional variability of retrieval performance and comparisons against Collection 5 results are also discussed.","container-title":"Journal of Geophysical Research: Atmospheres","DOI":"10.1002/jgrd.50600","ISSN":"2169-8996","issue":"14","journalAbbreviation":"J. Geophys. Res. Atmos.","language":"en","page":"7864-7872","source":"Wiley Online Library","title":"Validation and uncertainty estimates for MODIS Collection 6 “Deep Blue” aerosol data","volume":"118","author":[{"family":"Sayer","given":"A. M."},{"family":"Hsu","given":"N. C."},{"family":"Bettenhausen","given":"C."},{"family":"Jeong","given":"M.-J."}],"issued":{"date-parts":[["2013",7,27]]},"citation-key":"sayerValidationUncertaintyEstimates2013"}},{"id":538,"uris":["http://zotero.org/groups/4584967/items/C9IQ9GRW"],"itemData":{"id":538,"type":"article-journal","abstract":"The Sea-viewing Wide Field-of-view Sensor (SeaWiFS) provides a well-calibrated 13-year (1997–2010) record of top-of-atmosphere radiance, suitable for use in retrieval of atmospheric aerosol optical depth (AOD). This paper presents and validates a SeaWiFS Ocean Aerosol Retrieval (SOAR) algorithm, which retrieves the AOD at 550 nm and the partition of aerosol particle volume between fine and coarse modes. The algorithm has been applied over water to the whole SeaWiFS record. The data set includes quality flags to identify those retrievals suitable for quantitative use. SOAR has been validated against Aerosol Robotic Network (AERONET) and Maritime Aerosol Network (MAN) data and found to compare well (correlation 0.86 at 550 nm and 0.88 at 870 nm for AERONET, and 0.87 at 550 nm and 0.85 at 870 nm for MAN, using recommended quality control settings). These comparisons are used to identify the typical level of uncertainty on the AOD, estimated as 0.03 + 15% at 550 nm and 0.03 + 10% at 870 nm. The data set also includes the Ångström exponent, although as expected this is noisy for low aerosol loadings (correlation 0.50; 0.78 for points where the AOD at 550 nm is 0.3 or more). Retrieved AOD is compared with colocated observations from other satellite sensors; regional and seasonal patterns are found to be common between all data sets, and differences generally linked to factors such as cloud screening and retrieval assumptions.","container-title":"Journal of Geophysical Research: Atmospheres","DOI":"10.1029/2011JD016599","ISSN":"2156-2202","issue":"D3","language":"en","license":"Copyright 2012 by the American Geophysical Union","note":"_eprint: https://onlinelibrary.wiley.com/doi/pdf/10.1029/2011JD016599","source":"Wiley Online Library","title":"SeaWiFS Ocean Aerosol Retrieval (SOAR): Algorithm, validation, and comparison with other data sets","title-short":"SeaWiFS Ocean Aerosol Retrieval (SOAR)","URL":"https://onlinelibrary.wiley.com/doi/abs/10.1029/2011JD016599","volume":"117","author":[{"family":"Sayer","given":"A. M."},{"family":"Hsu","given":"N. C."},{"family":"Bettenhausen","given":"C."},{"family":"Ahmad","given":"Z."},{"family":"Holben","given":"B. N."},{"family":"Smirnov","given":"A."},{"family":"Thomas","given":"G. E."},{"family":"Zhang","given":"J."}],"accessed":{"date-parts":[["2024",2,10]]},"issued":{"date-parts":[["2012"]]},"citation-key":"sayerSeaWiFSOceanAerosol2012"}},{"id":537,"uris":["http://zotero.org/groups/4584967/items/M63NZLLC"],"itemData":{"id":537,"type":"article-journal","abstract":"This study evaluates a new spectral aerosol optical depth (AOD) dataset derived from Sea-viewing Wide Field-of-view Sensor (SeaWiFS) measurements over land. First, the data are validated against Aerosol Robotic Network (AERONET) direct-sun AOD measurements and found to compare well on a global basis. If only data with the highest quality flag are used, the correlation is 0.86 and 72% of matchups fall within an expected absolute uncertainty of 0.05 + 20% (for the wavelength of 550 nm). The quality is similar at other wavelengths and stable over the 13-yr (1997–2010) mission length. Performance tends to be better over vegetated, low-lying terrain with typical AOD of 0.3 or less, such as found over much of North America and Eurasia. Performance tends to be poorer for low-AOD conditions near backscattering geometries, where SeaWiFS overestimates AOD, or optically-thick cases of absorbing aerosol, where SeaWiFS tends to underestimate AOD. Second, the SeaWiFS data are compared with midvisible AOD derived from the Moderate Resolution Imaging Spectrometer (MODIS) and Multiangle Imaging Spectroradiometer (MISR). All instruments show similar spatial and seasonal distributions of AOD, although there are regional and seasonal offsets between them. At locations where AERONET data are available, these offsets are largely consistent with the known validation characteristics of each dataset. With the results of this study in mind, the SeaWiFS over-land AOD record is suitable for quantitative scientific use.","container-title":"Atmospheric Measurement Techniques","DOI":"10.5194/amt-5-1761-2012","ISSN":"1867-1381","issue":"7","language":"English","note":"publisher: Copernicus GmbH","page":"1761-1778","source":"Copernicus Online Journals","title":"Global and regional evaluation of over-land spectral aerosol optical depth retrievals from SeaWiFS","volume":"5","author":[{"family":"Sayer","given":"A. M."},{"family":"Hsu","given":"N. C."},{"family":"Bettenhausen","given":"C."},{"family":"Jeong","given":"M.-J."},{"family":"Holben","given":"B. N."},{"family":"Zhang","given":"J."}],"issued":{"date-parts":[["2012",7,25]]},"citation-key":"sayerGlobalRegionalEvaluation2012"}}],"schema":"https://github.com/citation-style-language/schema/raw/master/csl-citation.json"} </w:instrText>
      </w:r>
      <w:r w:rsidR="00D565B8">
        <w:rPr>
          <w:rFonts w:eastAsia="Times New Roman" w:cs="Times New Roman"/>
          <w:color w:val="000000"/>
          <w:szCs w:val="24"/>
        </w:rPr>
        <w:fldChar w:fldCharType="separate"/>
      </w:r>
      <w:r w:rsidR="000A570E" w:rsidRPr="000A570E">
        <w:rPr>
          <w:rFonts w:cs="Times New Roman"/>
        </w:rPr>
        <w:t>(Hsu et al., 2004, 2013; Jeong et al., 2011;</w:t>
      </w:r>
      <w:r w:rsidR="003D56C7">
        <w:rPr>
          <w:rFonts w:cs="Times New Roman"/>
        </w:rPr>
        <w:t xml:space="preserve"> </w:t>
      </w:r>
      <w:r w:rsidR="000A570E" w:rsidRPr="000A570E">
        <w:rPr>
          <w:rFonts w:cs="Times New Roman"/>
        </w:rPr>
        <w:t>Sayer et al., 2013;</w:t>
      </w:r>
      <w:r w:rsidR="003D56C7">
        <w:rPr>
          <w:rFonts w:cs="Times New Roman"/>
        </w:rPr>
        <w:t xml:space="preserve"> </w:t>
      </w:r>
      <w:r w:rsidR="000A570E" w:rsidRPr="000A570E">
        <w:rPr>
          <w:rFonts w:cs="Times New Roman"/>
        </w:rPr>
        <w:t xml:space="preserve">Sayer, Hsu, Bettenhausen, </w:t>
      </w:r>
      <w:r w:rsidR="000A570E" w:rsidRPr="004770E8">
        <w:t>Ahmad</w:t>
      </w:r>
      <w:r w:rsidR="000A570E" w:rsidRPr="000A570E">
        <w:rPr>
          <w:rFonts w:cs="Times New Roman"/>
        </w:rPr>
        <w:t>, et al., 2012; Sayer, Hsu, Bettenhausen, Jeong, et al., 2012)</w:t>
      </w:r>
      <w:r w:rsidR="00D565B8">
        <w:rPr>
          <w:rFonts w:eastAsia="Times New Roman" w:cs="Times New Roman"/>
          <w:color w:val="000000"/>
          <w:szCs w:val="24"/>
        </w:rPr>
        <w:fldChar w:fldCharType="end"/>
      </w:r>
      <w:r w:rsidR="00D565B8" w:rsidRPr="004B722A">
        <w:rPr>
          <w:rFonts w:eastAsia="Times New Roman" w:cs="Times New Roman"/>
          <w:color w:val="000000"/>
          <w:szCs w:val="24"/>
        </w:rPr>
        <w:t>, and Multi-Angle Implementation of Atmospheric Correction (MAIAC)</w:t>
      </w:r>
      <w:r w:rsidR="00D565B8">
        <w:rPr>
          <w:rFonts w:eastAsia="Times New Roman" w:cs="Times New Roman"/>
          <w:color w:val="000000"/>
          <w:szCs w:val="24"/>
        </w:rPr>
        <w:t xml:space="preserve"> </w:t>
      </w:r>
      <w:r w:rsidR="00D565B8">
        <w:rPr>
          <w:rFonts w:eastAsia="Times New Roman" w:cs="Times New Roman"/>
          <w:color w:val="000000"/>
          <w:szCs w:val="24"/>
        </w:rPr>
        <w:fldChar w:fldCharType="begin"/>
      </w:r>
      <w:r w:rsidR="00BB6527">
        <w:rPr>
          <w:rFonts w:eastAsia="Times New Roman" w:cs="Times New Roman"/>
          <w:color w:val="000000"/>
          <w:szCs w:val="24"/>
        </w:rPr>
        <w:instrText xml:space="preserve"> ADDIN ZOTERO_ITEM CSL_CITATION {"citationID":"8v1XyMJE","properties":{"formattedCitation":"(Lyapustin et al., 2012, 2018; Lyapustin, Martonchik, et al., 2011; Lyapustin, Wang, et al., 2011; Lyapustin &amp; Wang, 2008)","plainCitation":"(Lyapustin et al., 2012, 2018; Lyapustin, Martonchik, et al., 2011; Lyapustin, Wang, et al., 2011; Lyapustin &amp; Wang, 2008)","noteIndex":0},"citationItems":[{"id":544,"uris":["http://zotero.org/groups/4584967/items/74UMSHMY"],"itemData":{"id":544,"type":"article-journal","abstract":"An aerosol component of a new multiangle implementation of atmospheric correction (MAIAC) algorithm is presented. MAIAC is a generic algorithm developed for the Moderate Resolution Imaging Spectroradiometer (MODIS), which performs aerosol retrievals and atmospheric correction over both dark vegetated surfaces and bright deserts based on a time series analysis and image-based processing. The MAIAC look-up tables explicitly include surface bidirectional reflectance. The aerosol algorithm derives the spectral regression coefficient (SRC) relating surface bidirectional reflectance in the blue (0.47 μm) and shortwave infrared (2.1 μm) bands; this quantity is prescribed in the MODIS operational Dark Target algorithm based on a parameterized formula. The MAIAC aerosol products include aerosol optical thickness and a fine-mode fraction at resolution of 1 km. This high resolution, required in many applications such as air quality, brings new information about aerosol sources and, potentially, their strength. AERONET validation shows that the MAIAC and MOD04 algorithms have similar accuracy over dark and vegetated surfaces and that MAIAC generally improves accuracy over brighter surfaces due to the SRC retrieval and explicit bidirectional reflectance factor characterization, as demonstrated for several U.S. West Coast AERONET sites. Due to its generic nature and developed angular correction, MAIAC performs aerosol retrievals over bright deserts, as demonstrated for the Solar Village Aerosol Robotic Network (AERONET) site in Saudi Arabia.","container-title":"Journal of Geophysical Research: Atmospheres","DOI":"10.1029/2010JD014986","ISSN":"2156-2202","issue":"D3","language":"en","license":"Copyright 2011 by the American Geophysical Union.","note":"_eprint: https://onlinelibrary.wiley.com/doi/pdf/10.1029/2010JD014986","source":"Wiley Online Library","title":"Multiangle implementation of atmospheric correction (MAIAC): 2. Aerosol algorithm","title-short":"Multiangle implementation of atmospheric correction (MAIAC)","URL":"https://onlinelibrary.wiley.com/doi/abs/10.1029/2010JD014986","volume":"116","author":[{"family":"Lyapustin","given":"A."},{"family":"Wang","given":"Y."},{"family":"Laszlo","given":"I."},{"family":"Kahn","given":"R."},{"family":"Korkin","given":"S."},{"family":"Remer","given":"L."},{"family":"Levy","given":"R."},{"family":"Reid","given":"J. S."}],"accessed":{"date-parts":[["2024",2,10]]},"issued":{"date-parts":[["2011"]]},"citation-key":"lyapustinMultiangleImplementationAtmospheric2011a"}},{"id":139,"uris":["http://zotero.org/groups/4584967/items/5NP8UZFQ"],"itemData":{"id":139,"type":"article-journal","abstract":"&lt;p&gt;&lt;strong&gt;Abstract.&lt;/strong&gt; This paper describes the latest version of the algorithm MAIAC used for processing the MODIS Collection 6 data record. Since initial publication in 2011–2012, MAIAC has changed considerably to adapt to global processing and improve cloud/snow detection, aerosol retrievals and atmospheric correction of MODIS data. The main changes include (1) transition from a 25 to 1&amp;thinsp;km scale for retrieval of the spectral regression coefficient (SRC) which helped to remove occasional blockiness at 25&amp;thinsp;km scale in the aerosol optical depth (AOD) and in the surface reflectance, (2) continuous improvements of cloud detection, (3) introduction of smoke and dust tests to discriminate absorbing fine- and coarse-mode aerosols, (4) adding over-water processing, (5) general optimization of the LUT-based radiative transfer for the global processing, and others. MAIAC provides an interdisciplinary suite of atmospheric and land products, including cloud mask (CM), column water vapor (CWV), AOD at 0.47 and 0.55&amp;thinsp;&lt;span class=\"inline-formula\"&gt;µ&lt;/span&gt;m, aerosol type (background, smoke or dust) and fine-mode fraction over water; spectral bidirectional reflectance factors (BRF), parameters of Ross-thick Li-sparse (RTLS) bidirectional reflectance distribution function (BRDF) model and instantaneous albedo. For snow-covered surfaces, we provide subpixel snow fraction and snow grain size. All products come in standard HDF4 format at 1&amp;thinsp;km resolution, except for BRF, which is also provided at 500&amp;thinsp;m resolution on a sinusoidal grid adopted by the MODIS Land team. All products are provided on per-observation basis in daily files except for the BRDF/Albedo product, which is reported every 8 days. Because MAIAC uses a time series approach, BRDF/Albedo is naturally gap-filled over land where missing values are filled-in with results from the previous retrieval. While the BRDF model is reported for MODIS Land bands 1–7 and ocean band 8, BRF is reported for both land and ocean bands 1–12. This paper focuses on MAIAC cloud detection, aerosol retrievals and atmospheric correction and describes MCD19 data products and quality assurance (QA) flags.&lt;/p&gt;","container-title":"Atmospheric Measurement Techniques","DOI":"https://doi.org/10.5194/amt-11-5741-2018","ISSN":"1867-1381","issue":"10","language":"English","note":"publisher: Copernicus GmbH","page":"5741-5765","source":"www.atmos-meas-tech.net","title":"MODIS Collection 6 MAIAC algorithm","volume":"11","author":[{"family":"Lyapustin","given":"A."},{"family":"Wang","given":"Y."},{"family":"Korkin","given":"S."},{"family":"Huang","given":"D."}],"issued":{"date-parts":[["2018",10,18]]},"citation-key":"lyapustinMODISCollectionMAIAC2018"}},{"id":140,"uris":["http://zotero.org/groups/4584967/items/WFGCHIS3"],"itemData":{"id":140,"type":"article-journal","abstract":"This paper describes the atmospheric correction (AC) component of the Multi-Angle Implementation of Atmospheric Correction algorithm (MAIAC) which introduces a new way to compute parameters of the Ross-Thick Li-Sparse (RTLS) Bi-directional reflectance distribution function (BRDF), spectral surface albedo and bidirectional reflectance factors (BRF) from satellite measurements obtained by the Moderate Resolution Imaging Spectroradiometer (MODIS). MAIAC uses a time series and spatial analysis for cloud detection, aerosol retrievals and atmospheric correction. It implements a moving window of up to 16days of MODIS data gridded to 1km resolution in a selected projection. The RTLS parameters are computed directly by fitting the cloud-free MODIS top of atmosphere (TOA) reflectance data stored in the processing queue. The RTLS retrieval is applied when the land surface is stable or changes slowly. In case of rapid or large magnitude change (as for instance caused by disturbance), MAIAC follows the MODIS operational BRDF/albedo algorithm and uses a scaling approach where the BRDF shape is assumed stable but its magnitude is adjusted based on the latest single measurement. To assess the stability of the surface, MAIAC features a change detection algorithm which analyzes relative change of reflectance in the Red and NIR bands during the accumulation period. To adjust for the reflectance variability with the sun-observer geometry and allow comparison among different days (view geometries), the BRFs are normalized to the fixed view geometry using the RTLS model. An empirical analysis of MODIS data suggests that the RTLS inversion remains robust when the relative change of geometry-normalized reflectance stays below 15%. This first of two papers introduces the algorithm, a second, companion paper illustrates its potential by analyzing MODIS data over a tropical rainforest and assessing errors and uncertainties of MAIAC compared to conventional MODIS products.","container-title":"Remote Sensing of Environment","DOI":"10.1016/j.rse.2012.09.002","ISSN":"0034-4257","journalAbbreviation":"Remote Sensing of Environment","page":"385-393","source":"ScienceDirect","title":"Multi-angle implementation of atmospheric correction for MODIS (MAIAC): 3. Atmospheric correction","title-short":"Multi-angle implementation of atmospheric correction for MODIS (MAIAC)","volume":"127","author":[{"family":"Lyapustin","given":"A."},{"family":"Wang","given":"Y."},{"family":"Laszlo","given":"I."},{"family":"Hilker","given":"T."},{"family":"G.Hall","given":"F."},{"family":"Sellers","given":"P. J."},{"family":"Tucker","given":"C. J."},{"family":"Korkin","given":"S. V."}],"issued":{"date-parts":[["2012",12,1]]},"citation-key":"lyapustinMultiangleImplementationAtmospheric2012"}},{"id":542,"uris":["http://zotero.org/groups/4584967/items/X3PHE475"],"itemData":{"id":542,"type":"article-journal","abstract":"This paper describes a radiative transfer basis of the algorithm MAIAC which performs simultaneous retrievals of atmospheric aerosol and bidirectional surface reflectance from the Moderate Resolution Imaging Spectroradiometer (MODIS). The retrievals are based on an accurate semianalytical solution for the top-of-atmosphere reflectance expressed as an explicit function of three parameters of the Ross–Thick Li–Sparse model of surface bidirectional reflectance. This solution depends on certain functions of atmospheric properties and geometry which are precomputed in the look-up table (LUT). This paper further considers correction of the LUT functions for variations of surface pressure/height and of atmospheric water vapor, which is a common task in the operational remote sensing. It introduces a new analytical method for the water vapor correction of the multiple-scattering path radiance. It also summarizes the few basic principles that provide a high efficiency and accuracy of the LUT-based radiative transfer for the aerosol/surface retrievals and optimize the size of LUT. For example, the single-scattering path radiance is calculated analytically for a given surface pressure and atmospheric water vapor. The same is true for the direct surface-reflected radiance, which along with the single-scattering path radiance largely defines the angular dependence of measurements. For these calculations, the aerosol phase functions and kernels of the surface bidirectional reflectance model are precalculated at a high angular resolution. The other radiative transfer functions depend rather smoothly on angles because of multiple scattering and can be calculated at coarser angular resolution to reduce the LUT size. At the same time, this resolution should be high enough to use the nearest neighbor geometry angles to avoid costly three-dimensional interpolation. The pressure correction is implemented via linear interpolation between two LUTs computed for the standard and reduced pressure levels. A linear mixture and a modified linear mixture methods are used to represent different aerosol types in the aerosol/surface retrievals from several base models of the fine and coarse aerosol fractions. In summary, the developed LUT algorithm allows fast high-accuracy simulations of the outgoing radiance with full variability of the atmospheric and surface bidirectional reflectance properties for the aerosol/surface remote sensing.","container-title":"Journal of Geophysical Research: Atmospheres","DOI":"10.1029/2010JD014985","ISSN":"2156-2202","issue":"D3","language":"en","license":"Copyright 2011 by the American Geophysical Union.","note":"_eprint: https://onlinelibrary.wiley.com/doi/pdf/10.1029/2010JD014985","source":"Wiley Online Library","title":"Multiangle implementation of atmospheric correction (MAIAC): 1. Radiative transfer basis and look-up tables","title-short":"Multiangle implementation of atmospheric correction (MAIAC)","URL":"https://onlinelibrary.wiley.com/doi/abs/10.1029/2010JD014985","volume":"116","author":[{"family":"Lyapustin","given":"A."},{"family":"Martonchik","given":"J."},{"family":"Wang","given":"Y."},{"family":"Laszlo","given":"I."},{"family":"Korkin","given":"S."}],"accessed":{"date-parts":[["2024",2,10]]},"issued":{"date-parts":[["2011"]]},"citation-key":"lyapustinMultiangleImplementationAtmospheric2011"}},{"id":522,"uris":["http://zotero.org/groups/4584967/items/BTW9CSDR"],"itemData":{"id":522,"type":"manuscript","abstract":"Atmospheric aerosols interact with sun light by scattering and absorbing radiation. By changing irradiance of the Earth surface, modifying cloud fractional cover and microphysical properties and a number of other mechanisms, they affect the energy balance, hydrological cycle, and planetary climate [IPCC, 2007]. In many world regions there is a growing impact of aerosols on air quality and human health. The Earth Observing System [NASA, 1999] initiated high quality global Earth observations and operational aerosol retrievals over land. With the wide swath (2300 km) of MODIS instrument, the MODIS Dark Target algorithm [Kaufman et al., 1997; Remer et al., 2005; Levy et al., 2007] currently complemented with the Deep Blue method [Hsu et al., 2004] provides daily global view of planetary atmospheric aerosol. The MISR algorithm [Martonchik et al., 1998; Diner et al., 2005] makes high quality aerosol retrievals in 300 km swaths covering the globe in 8 days. With MODIS aerosol program being very successful, there are still several unresolved issues in the retrieval algorithms. The current processing is pixel-based and relies on a single-orbit data. Such an approach produces a single measurement for every pixel characterized by two main unknowns, aerosol optical thickness (AOT) and surface reflectance (SR). This lack of information constitutes a fundamental problem of the remote sensing which cannot be resolved without a priori information. For example, MODIS Dark Target algorithm makes spectral assumptions about surface reflectance, whereas the Deep Blue method uses ancillary global database of surface reflectance composed from minimal monthly measurements with Rayleigh correction. Both algorithms use Lambertian surface model. The surface-related assumptions in the aerosol retrievals may affect subsequent atmospheric correction in unintended way. For example, the Dark Target algorithm uses an empirical relationship to predict SR in the Blue (B3) and Red (B1) bands from the 2.1 m channel (B7) for the purpose of aerosol retrieval. Obviously, the subsequent atmospheric correction will produce the same SR in the red and blue bands as predicted, i.e. an empirical function of 2.1. In other words, the spectral, spatial and temporal variability of surface reflectance in the Blue and Red bands appears borrowed from band B7. This may have certain implications for the vegetation and global carbon analysis because the chlorophyll-sensing bands B1, B3 are effectively substituted in terms of variability by band B7, which is sensitive to the plant liquid water. This chapter describes a new recently developed generic aerosol-surface retrieval algorithm for MODIS. The Multi-Angle Implementation of Atmospheric Correction (MAIAC) algorithm simultaneously retrieves AOT and surface bi-directional reflection factor (BRF) using the time series of MODIS measurements.","note":"NTRS Author Affiliations: NASA Goddard Space Flight Center\nNTRS Document ID: 20080023335\nNTRS Research Center: Goddard Space Flight Center (GSFC)","source":"NASA NTRS","title":"The Time Series Technique for Aerosol Retrievals over Land from MODIS: Algorithm MAIAC","title-short":"The Time Series Technique for Aerosol Retrievals over Land from MODIS","URL":"https://ntrs.nasa.gov/citations/20080023335","author":[{"family":"Lyapustin","given":"A."},{"family":"Wang","given":"Y."}],"accessed":{"date-parts":[["2024",2,7]]},"issued":{"date-parts":[["2008",1,1]]},"citation-key":"lyapustinTimeSeriesTechnique2008"}}],"schema":"https://github.com/citation-style-language/schema/raw/master/csl-citation.json"} </w:instrText>
      </w:r>
      <w:r w:rsidR="00D565B8">
        <w:rPr>
          <w:rFonts w:eastAsia="Times New Roman" w:cs="Times New Roman"/>
          <w:color w:val="000000"/>
          <w:szCs w:val="24"/>
        </w:rPr>
        <w:fldChar w:fldCharType="separate"/>
      </w:r>
      <w:r w:rsidR="007E6369" w:rsidRPr="007E6369">
        <w:rPr>
          <w:rFonts w:cs="Times New Roman"/>
        </w:rPr>
        <w:t>(Lyapustin et al., 2012, 2018; Lyapustin, Martonchik, et al., 2011; Lyapustin, Wang, et al., 2011; Lyapustin &amp; Wang, 2008)</w:t>
      </w:r>
      <w:r w:rsidR="00D565B8">
        <w:rPr>
          <w:rFonts w:eastAsia="Times New Roman" w:cs="Times New Roman"/>
          <w:color w:val="000000"/>
          <w:szCs w:val="24"/>
        </w:rPr>
        <w:fldChar w:fldCharType="end"/>
      </w:r>
      <w:r w:rsidR="00D565B8">
        <w:rPr>
          <w:rFonts w:eastAsia="Times New Roman" w:cs="Times New Roman"/>
          <w:color w:val="000000"/>
          <w:szCs w:val="24"/>
        </w:rPr>
        <w:t>.</w:t>
      </w:r>
    </w:p>
    <w:p w14:paraId="1D18CC3D" w14:textId="71684107" w:rsidR="00D565B8" w:rsidRPr="004B722A" w:rsidRDefault="00D565B8" w:rsidP="00D565B8">
      <w:pPr>
        <w:spacing w:after="240"/>
        <w:ind w:firstLine="720"/>
        <w:rPr>
          <w:rFonts w:eastAsia="Times New Roman" w:cs="Times New Roman"/>
          <w:szCs w:val="24"/>
        </w:rPr>
      </w:pPr>
      <w:r w:rsidRPr="004B722A">
        <w:rPr>
          <w:rFonts w:eastAsia="Times New Roman" w:cs="Times New Roman"/>
          <w:color w:val="000000"/>
          <w:szCs w:val="24"/>
        </w:rPr>
        <w:t>DT is the original aerosol retrieval algorithm developed for the MODIS sensors and was implemented on board Terra and Aqua</w:t>
      </w:r>
      <w:r w:rsidR="00164C3B">
        <w:rPr>
          <w:rFonts w:eastAsia="Times New Roman" w:cs="Times New Roman"/>
          <w:color w:val="000000"/>
          <w:szCs w:val="24"/>
        </w:rPr>
        <w:t xml:space="preserve"> </w:t>
      </w:r>
      <w:r>
        <w:rPr>
          <w:rFonts w:eastAsia="Times New Roman" w:cs="Times New Roman"/>
          <w:color w:val="000000"/>
          <w:szCs w:val="24"/>
        </w:rPr>
        <w:fldChar w:fldCharType="begin"/>
      </w:r>
      <w:r w:rsidR="00BB6527">
        <w:rPr>
          <w:rFonts w:eastAsia="Times New Roman" w:cs="Times New Roman"/>
          <w:color w:val="000000"/>
          <w:szCs w:val="24"/>
        </w:rPr>
        <w:instrText xml:space="preserve"> ADDIN ZOTERO_ITEM CSL_CITATION {"citationID":"aRdhQFlI","properties":{"formattedCitation":"(Kaufman et al., 1997)","plainCitation":"(Kaufman et al., 1997)","noteIndex":0},"citationItems":[{"id":150,"uris":["http://zotero.org/groups/4584967/items/6ZZA23IV"],"itemData":{"id":150,"type":"article-journal","abstract":"Daily distribution of the aerosol optical thickness and columnar mass concentration will be derived over the continents, from the EOS moderate resolution imaging spectroradiometer (MODIS) using dark land targets. Dark land covers are mainly vegetated areas and dark soils observed in the red and blue channels; therefore the method will be limited to the moist parts of the continents (excluding water and ice cover). After the launch of MODIS the distribution of elevated aerosol concentrations, for example, biomass burning in the tropics or urban industrial aerosol in the midlatitudes, will be continuously monitored. The algorithm takes advantage of the MODIS wide spectral range and high spatial resolution and the strong spectral dependence of the aerosol opacity for most aerosol types that result in low optical thickness in the mid-IR (2.1 and 3.8 μm). The main steps of the algorithm are (1) identification of dark pixels in the mid-IR; (2) estimation of their reflectance at 0.47 and 0.66 μm; and (3) derivation of the optical thickness and mass concentration of the accumulation mode from the detected radiance. To differentiate between dust and aerosol dominated by accumulation mode particles, for example, smoke or sulfates, ratios of the aerosol path radiance at 0.47 and 0.66 μm are used. New dynamic aerosol models for biomass burning aerosol, dust and aerosol from industrial/urban origin, are used to determine the aerosol optical properties used in the algorithm. The error in the retrieved aerosol optical thicknesses, τa is expected to be Δτa = 0.05±0.2τa. Daily values are stored on a resolution of 10×10 pixels (1 km nadir resolution). Weighted and gridded 8-day and monthly composites of the optical thickness, the aerosol mass concentration and spectral radiative forcing are generated for selected scattering angles to increase the accuracy. The daily aerosol information over land and oceans [Tanré et al., this issue], combined with continuous aerosol remote sensing from the ground, will be used to study aerosol climatology, to monitor the sources and sinks of specific aerosol types, and to study the interaction of aerosol with water vapor and clouds and their radiative forcing of climate. The aerosol information will also be used for atmospheric corrections of remotely sensed surface reflectance. In this paper, examples of applications and validations are provided.","container-title":"Journal of Geophysical Research: Atmospheres","DOI":"10.1029/96JD03988","ISSN":"2156-2202","issue":"D14","journalAbbreviation":"J. Geophys. Res.","language":"en","page":"17051-17067","source":"Wiley Online Library","title":"Operational remote sensing of tropospheric aerosol over land from EOS moderate resolution imaging spectroradiometer","volume":"102","author":[{"family":"Kaufman","given":"Y. J."},{"family":"Tanré","given":"D."},{"family":"Remer","given":"L. A."},{"family":"Vermote","given":"E. F."},{"family":"Chu","given":"A."},{"family":"Holben","given":"B. N."}],"issued":{"date-parts":[["1997",7,27]]},"citation-key":"kaufmanOperationalRemoteSensing1997"}}],"schema":"https://github.com/citation-style-language/schema/raw/master/csl-citation.json"} </w:instrText>
      </w:r>
      <w:r>
        <w:rPr>
          <w:rFonts w:eastAsia="Times New Roman" w:cs="Times New Roman"/>
          <w:color w:val="000000"/>
          <w:szCs w:val="24"/>
        </w:rPr>
        <w:fldChar w:fldCharType="separate"/>
      </w:r>
      <w:r w:rsidR="0035615F" w:rsidRPr="0035615F">
        <w:rPr>
          <w:rFonts w:cs="Times New Roman"/>
        </w:rPr>
        <w:t>(Kaufman et al., 1997)</w:t>
      </w:r>
      <w:r>
        <w:rPr>
          <w:rFonts w:eastAsia="Times New Roman" w:cs="Times New Roman"/>
          <w:color w:val="000000"/>
          <w:szCs w:val="24"/>
        </w:rPr>
        <w:fldChar w:fldCharType="end"/>
      </w:r>
      <w:r>
        <w:rPr>
          <w:rFonts w:eastAsia="Times New Roman" w:cs="Times New Roman"/>
          <w:color w:val="000000"/>
          <w:szCs w:val="24"/>
        </w:rPr>
        <w:t>.</w:t>
      </w:r>
      <w:r w:rsidRPr="004B722A">
        <w:rPr>
          <w:rFonts w:eastAsia="Times New Roman" w:cs="Times New Roman"/>
          <w:color w:val="000000"/>
          <w:szCs w:val="24"/>
        </w:rPr>
        <w:t xml:space="preserve"> The algorithm works by organizing radiance data into 10km boxes, removing distortion effects (</w:t>
      </w:r>
      <w:r>
        <w:rPr>
          <w:rFonts w:eastAsia="Times New Roman" w:cs="Times New Roman"/>
          <w:color w:val="000000"/>
          <w:szCs w:val="24"/>
        </w:rPr>
        <w:t xml:space="preserve">e.g., </w:t>
      </w:r>
      <w:r w:rsidRPr="004B722A">
        <w:rPr>
          <w:rFonts w:eastAsia="Times New Roman" w:cs="Times New Roman"/>
          <w:color w:val="000000"/>
          <w:szCs w:val="24"/>
        </w:rPr>
        <w:t xml:space="preserve">gas absorption, angular effects) from the satellite signal, establishing a land/ocean mask, separating the aerosol signal from noise (clouds, surface inhomogeneities, etc.), inferring the AOD from the </w:t>
      </w:r>
      <w:r>
        <w:rPr>
          <w:rFonts w:eastAsia="Times New Roman" w:cs="Times New Roman"/>
          <w:color w:val="000000"/>
          <w:szCs w:val="24"/>
        </w:rPr>
        <w:t xml:space="preserve">cloud-free </w:t>
      </w:r>
      <w:r w:rsidRPr="004B722A">
        <w:rPr>
          <w:rFonts w:eastAsia="Times New Roman" w:cs="Times New Roman"/>
          <w:color w:val="000000"/>
          <w:szCs w:val="24"/>
        </w:rPr>
        <w:t xml:space="preserve">signal. As the name suggests, the DT algorithm is intended for use over dark surfaces, mainly vegetated </w:t>
      </w:r>
      <w:r>
        <w:rPr>
          <w:rFonts w:eastAsia="Times New Roman" w:cs="Times New Roman"/>
          <w:color w:val="000000"/>
          <w:szCs w:val="24"/>
        </w:rPr>
        <w:t xml:space="preserve">land </w:t>
      </w:r>
      <w:r w:rsidRPr="004B722A">
        <w:rPr>
          <w:rFonts w:eastAsia="Times New Roman" w:cs="Times New Roman"/>
          <w:color w:val="000000"/>
          <w:szCs w:val="24"/>
        </w:rPr>
        <w:t xml:space="preserve">areas and the ocean. This is an issue for areas like the western </w:t>
      </w:r>
      <w:r>
        <w:rPr>
          <w:rFonts w:eastAsia="Times New Roman" w:cs="Times New Roman"/>
          <w:color w:val="000000"/>
          <w:szCs w:val="24"/>
        </w:rPr>
        <w:t>U.S.,</w:t>
      </w:r>
      <w:r w:rsidRPr="004B722A">
        <w:rPr>
          <w:rFonts w:eastAsia="Times New Roman" w:cs="Times New Roman"/>
          <w:color w:val="000000"/>
          <w:szCs w:val="24"/>
        </w:rPr>
        <w:t xml:space="preserve"> which has </w:t>
      </w:r>
      <w:r>
        <w:rPr>
          <w:rFonts w:eastAsia="Times New Roman" w:cs="Times New Roman"/>
          <w:color w:val="000000"/>
          <w:szCs w:val="24"/>
        </w:rPr>
        <w:t>many</w:t>
      </w:r>
      <w:r w:rsidRPr="004B722A">
        <w:rPr>
          <w:rFonts w:eastAsia="Times New Roman" w:cs="Times New Roman"/>
          <w:color w:val="000000"/>
          <w:szCs w:val="24"/>
        </w:rPr>
        <w:t xml:space="preserve"> more bright surface regions such as deserts, snowpack, and salt pans compared to the eastern </w:t>
      </w:r>
      <w:r>
        <w:rPr>
          <w:rFonts w:eastAsia="Times New Roman" w:cs="Times New Roman"/>
          <w:color w:val="000000"/>
          <w:szCs w:val="24"/>
        </w:rPr>
        <w:t xml:space="preserve">U.S. </w:t>
      </w:r>
      <w:r w:rsidRPr="004B722A">
        <w:rPr>
          <w:rFonts w:eastAsia="Times New Roman" w:cs="Times New Roman"/>
          <w:color w:val="000000"/>
          <w:szCs w:val="24"/>
        </w:rPr>
        <w:fldChar w:fldCharType="begin"/>
      </w:r>
      <w:r w:rsidR="00BB6527">
        <w:rPr>
          <w:rFonts w:eastAsia="Times New Roman" w:cs="Times New Roman"/>
          <w:color w:val="000000"/>
          <w:szCs w:val="24"/>
        </w:rPr>
        <w:instrText xml:space="preserve"> ADDIN ZOTERO_ITEM CSL_CITATION {"citationID":"nuZyd3dn","properties":{"formattedCitation":"(S. M. Lor\\uc0\\u237{}a-Salazar et al., 2016)","plainCitation":"(S. M. Loría-Salazar et al., 2016)","dontUpdate":true,"noteIndex":0},"citationItems":[{"id":256,"uris":["http://zotero.org/groups/4584967/items/QGXSZ279"],"itemData":{"id":256,"type":"article-journal","abstract":"Satellite characterization of local aerosol pollution is desirable because of the potential for broad spatial coverage, enabling transport studies of pollution from major sources, such as biomass burning events. However, retrieval of quantitative measures of air pollution such as Aerosol Optical Depth (AOD) from satellite measurements is challenging over land because the underlying surface albedo may be heterogeneous in space and time. Ground-based sunphotometer measurements of AOD are unaffected by surface albedo and are crucial in enabling evaluation, testing, and further development of satellite instruments and retrieval algorithms. Columnar aerosol optical properties from ground-based sunphotometers (Cimel CE-318) as part of AERONET and MODIS aerosol retrievals from Aqua and Terra satellites were compared over semi-arid California and Nevada during the summer season of 2012. Sunphotometer measurements were used as a ‘ground truth’ to evaluate the current state of satellite retrievals in this spatiotemporal domain. Satellite retrieved (MODIS Collection 6) AOD showed the presence of wildfires in northern California during August. During the study period, the dark-target (DT) retrieval algorithm appears to overestimate AERONET AOD by an average factor of 3.85 in the entire study domain. AOD from the deep-blue (DB) algorithm overestimates AERONET AOD by an average factor of 1.64.\n\nLow AOD correlation was also found between AERONET, DT, and DB retrievals. Smoke from fires strengthened the aerosol signal, but MODIS versus AERONET AOD correlation hardly increased during fire events (r2</w:instrText>
      </w:r>
      <w:r w:rsidR="00BB6527">
        <w:rPr>
          <w:rFonts w:ascii="Cambria Math" w:eastAsia="Times New Roman" w:hAnsi="Cambria Math" w:cs="Cambria Math"/>
          <w:color w:val="000000"/>
          <w:szCs w:val="24"/>
        </w:rPr>
        <w:instrText>∼</w:instrText>
      </w:r>
      <w:r w:rsidR="00BB6527">
        <w:rPr>
          <w:rFonts w:eastAsia="Times New Roman" w:cs="Times New Roman"/>
          <w:color w:val="000000"/>
          <w:szCs w:val="24"/>
        </w:rPr>
        <w:instrText>0.1–0.2 during non-fire periods and r2</w:instrText>
      </w:r>
      <w:r w:rsidR="00BB6527">
        <w:rPr>
          <w:rFonts w:ascii="Cambria Math" w:eastAsia="Times New Roman" w:hAnsi="Cambria Math" w:cs="Cambria Math"/>
          <w:color w:val="000000"/>
          <w:szCs w:val="24"/>
        </w:rPr>
        <w:instrText>∼</w:instrText>
      </w:r>
      <w:r w:rsidR="00BB6527">
        <w:rPr>
          <w:rFonts w:eastAsia="Times New Roman" w:cs="Times New Roman"/>
          <w:color w:val="000000"/>
          <w:szCs w:val="24"/>
        </w:rPr>
        <w:instrText>0–0.31 during fire periods). Furthermore, aerosol from fires increased the normalized mean bias (NMB) of MODIS retrievals of AOD (NMB</w:instrText>
      </w:r>
      <w:r w:rsidR="00BB6527">
        <w:rPr>
          <w:rFonts w:ascii="Cambria Math" w:eastAsia="Times New Roman" w:hAnsi="Cambria Math" w:cs="Cambria Math"/>
          <w:color w:val="000000"/>
          <w:szCs w:val="24"/>
        </w:rPr>
        <w:instrText>∼</w:instrText>
      </w:r>
      <w:r w:rsidR="00BB6527">
        <w:rPr>
          <w:rFonts w:eastAsia="Times New Roman" w:cs="Times New Roman"/>
          <w:color w:val="000000"/>
          <w:szCs w:val="24"/>
        </w:rPr>
        <w:instrText>23%–154% for non-fire periods and NMB</w:instrText>
      </w:r>
      <w:r w:rsidR="00BB6527">
        <w:rPr>
          <w:rFonts w:ascii="Cambria Math" w:eastAsia="Times New Roman" w:hAnsi="Cambria Math" w:cs="Cambria Math"/>
          <w:color w:val="000000"/>
          <w:szCs w:val="24"/>
        </w:rPr>
        <w:instrText>∼</w:instrText>
      </w:r>
      <w:r w:rsidR="00BB6527">
        <w:rPr>
          <w:rFonts w:eastAsia="Times New Roman" w:cs="Times New Roman"/>
          <w:color w:val="000000"/>
          <w:szCs w:val="24"/>
        </w:rPr>
        <w:instrText xml:space="preserve">77%–196% for fire periods). Ångström Extinction Exponent (AEE) from DB for both Terra and Aqua did not correlate with AERONET observations. High surface reflectance and incorrect aerosol physical parametrizations may still be affecting the DT and DB MODIS AOD retrievals in the semi-arid western U.S.","container-title":"Atmospheric Environment","DOI":"10.1016/j.atmosenv.2016.08.070","ISSN":"1352-2310","journalAbbreviation":"Atmospheric Environment","page":"345-360","source":"ScienceDirect","title":"Evaluation of MODIS columnar aerosol retrievals using AERONET in semi-arid Nevada and California, U.S.A., during the summer of 2012","volume":"144","author":[{"family":"Loría-Salazar","given":"S. M."},{"family":"Holmes","given":"H. A."},{"family":"Arnott","given":"W. P."},{"family":"Barnard","given":"J. C."},{"family":"Moosmüller","given":"H."}],"issued":{"date-parts":[["2016",11]]},"citation-key":"loria-salazarEvaluationMODISColumnar2016"}}],"schema":"https://github.com/citation-style-language/schema/raw/master/csl-citation.json"} </w:instrText>
      </w:r>
      <w:r w:rsidRPr="004B722A">
        <w:rPr>
          <w:rFonts w:eastAsia="Times New Roman" w:cs="Times New Roman"/>
          <w:color w:val="000000"/>
          <w:szCs w:val="24"/>
        </w:rPr>
        <w:fldChar w:fldCharType="separate"/>
      </w:r>
      <w:r w:rsidRPr="004B722A">
        <w:rPr>
          <w:rFonts w:cs="Times New Roman"/>
          <w:szCs w:val="24"/>
        </w:rPr>
        <w:t>(Loría-Salazar et al., 2016)</w:t>
      </w:r>
      <w:r w:rsidRPr="004B722A">
        <w:rPr>
          <w:rFonts w:eastAsia="Times New Roman" w:cs="Times New Roman"/>
          <w:color w:val="000000"/>
          <w:szCs w:val="24"/>
        </w:rPr>
        <w:fldChar w:fldCharType="end"/>
      </w:r>
      <w:r>
        <w:rPr>
          <w:rFonts w:eastAsia="Times New Roman" w:cs="Times New Roman"/>
          <w:color w:val="000000"/>
          <w:szCs w:val="24"/>
        </w:rPr>
        <w:t xml:space="preserve"> .The DT algorithm was not selected as the primary AOD training input of the gap-filled AOD model because the challenges presented accurately retrieve AOD on bright surfaces</w:t>
      </w:r>
      <w:r w:rsidRPr="004B722A">
        <w:rPr>
          <w:rFonts w:eastAsia="Times New Roman" w:cs="Times New Roman"/>
          <w:color w:val="000000"/>
          <w:szCs w:val="24"/>
        </w:rPr>
        <w:t>.</w:t>
      </w:r>
    </w:p>
    <w:p w14:paraId="4BB37F35" w14:textId="69C389BE" w:rsidR="00200499" w:rsidRPr="004B722A" w:rsidRDefault="00D565B8" w:rsidP="00D565B8">
      <w:pPr>
        <w:spacing w:after="240"/>
        <w:ind w:firstLine="720"/>
        <w:rPr>
          <w:rFonts w:eastAsia="Times New Roman" w:cs="Times New Roman"/>
          <w:szCs w:val="24"/>
        </w:rPr>
      </w:pPr>
      <w:r w:rsidRPr="004B722A">
        <w:rPr>
          <w:rFonts w:eastAsia="Times New Roman" w:cs="Times New Roman"/>
          <w:color w:val="000000"/>
          <w:szCs w:val="24"/>
        </w:rPr>
        <w:t>Hsu et al.</w:t>
      </w:r>
      <w:r w:rsidR="00351C35">
        <w:rPr>
          <w:rFonts w:eastAsia="Times New Roman" w:cs="Times New Roman"/>
          <w:color w:val="000000"/>
          <w:szCs w:val="24"/>
        </w:rPr>
        <w:t>,</w:t>
      </w:r>
      <w:r w:rsidRPr="004B722A">
        <w:rPr>
          <w:rFonts w:eastAsia="Times New Roman" w:cs="Times New Roman"/>
          <w:color w:val="000000"/>
          <w:szCs w:val="24"/>
        </w:rPr>
        <w:t xml:space="preserve"> </w:t>
      </w:r>
      <w:r>
        <w:rPr>
          <w:rFonts w:eastAsia="Times New Roman" w:cs="Times New Roman"/>
          <w:color w:val="000000"/>
          <w:szCs w:val="24"/>
        </w:rPr>
        <w:t xml:space="preserve">(2004) </w:t>
      </w:r>
      <w:r w:rsidRPr="004B722A">
        <w:rPr>
          <w:rFonts w:eastAsia="Times New Roman" w:cs="Times New Roman"/>
          <w:color w:val="000000"/>
          <w:szCs w:val="24"/>
        </w:rPr>
        <w:t>introduced the DB algorithm</w:t>
      </w:r>
      <w:r>
        <w:rPr>
          <w:rFonts w:eastAsia="Times New Roman" w:cs="Times New Roman"/>
          <w:color w:val="000000"/>
          <w:szCs w:val="24"/>
        </w:rPr>
        <w:t xml:space="preserve"> </w:t>
      </w:r>
      <w:r w:rsidRPr="004B722A">
        <w:rPr>
          <w:rFonts w:eastAsia="Times New Roman" w:cs="Times New Roman"/>
          <w:color w:val="000000"/>
          <w:szCs w:val="24"/>
        </w:rPr>
        <w:fldChar w:fldCharType="begin"/>
      </w:r>
      <w:r w:rsidR="00BB6527">
        <w:rPr>
          <w:rFonts w:eastAsia="Times New Roman" w:cs="Times New Roman"/>
          <w:color w:val="000000"/>
          <w:szCs w:val="24"/>
        </w:rPr>
        <w:instrText xml:space="preserve"> ADDIN ZOTERO_ITEM CSL_CITATION {"citationID":"JDXb12F9","properties":{"formattedCitation":"(N. C. Hsu, 2017; N. C. Hsu et al., 2004, 2019; N. Y. Hsu, 2016)","plainCitation":"(N. C. Hsu, 2017; N. C. Hsu et al., 2004, 2019; N. Y. Hsu, 2016)","dontUpdate":true,"noteIndex":0},"citationItems":[{"id":190,"uris":["http://zotero.org/groups/4584967/items/2C8SNW9H"],"itemData":{"id":190,"type":"speech","event-place":"San Francisco, CA","event-title":"American Geophysical Union","publisher-place":"San Francisco, CA","title":"Assessing long-term climate data continuity of the Deep Blue aerosol products from MODIS to VIIRS","author":[{"family":"Hsu","given":"N. Y."}],"issued":{"date-parts":[["2016",12]]},"citation-key":"hsuAssessingLongtermClimate2016"}},{"id":211,"uris":["http://zotero.org/groups/4584967/items/FRQENZGI"],"itemData":{"id":211,"type":"document","title":"Changes to MODIS Deep Blue aerosol products between collection 6 and collection 6.1","author":[{"family":"Hsu","given":"N.C."}],"issued":{"date-parts":[["2017"]]},"citation-key":"hsuChangesMODISDeep2017"}},{"id":357,"uris":["http://zotero.org/groups/4584967/items/ZW5KD32D"],"itemData":{"id":357,"type":"article-journal","abstract":"A primary goal of the Deep Blue (DB) project is to create consistent long-term aerosol data records, suitable for climate studies, using multiple satellite instruments. In order to continue Earth Observing System (EOS)-era aerosol products into the Joint Polar Satellite System era, we have successfully ported the DB algorithm to process data from the Visible Infrared Imaging Radiometer Suite (VIIRS). Although the basic structure of the VIIRS algorithm is similar to that for the Moderate Resolution Imaging Spectroradiometer (MODIS), many enhancements have been made compared to the MODIS collection 6 (C6) version. Most have also been implemented in the latest MODIS Collection 6.1 (C6.1). For example, a new smoke mask was developed based on the spectral curvature of measured reflectance to distinguish biomass burning smoke from weakly absorbing urban/industrial aerosols. Consequently, a new aerosol-type flag was added into the VIIRS DB data set. In addition, new dust models have been developed to account for the nonsphericity of mineral dust. As a result, a discontinuity in the retrieved aerosol optical depth (AOD) of Saharan dust plumes seen in MODIS C6 products near the boundary between North Africa and the Atlantic has been much reduced. We have also evaluated the VIIRS and MODIS Terra/Aqua C6.1 AOD against Aerosol Robotic Network data. VIIRS and MODIS retrievals show similar performance; around 80% of matchups agree with Aerosol Robotic Network within the expected error of ±(0.05 + 20)%, indicating that DB can provide consistent AOD through the historical EOS and present Joint Polar Satellite System eras.","container-title":"Journal of Geophysical Research: Atmospheres","DOI":"10.1029/2018JD029688","ISSN":"2169-8996","issue":"7","language":"en","license":"Published 2019. This article is a US Government work and is in the public domain in the USA.","page":"4026-4053","source":"Wiley Online Library","title":"VIIRS Deep Blue Aerosol Products Over Land: Extending the EOS Long-Term Aerosol Data Records","title-short":"VIIRS Deep Blue Aerosol Products Over Land","volume":"124","author":[{"family":"Hsu","given":"N. C."},{"family":"Lee","given":"J."},{"family":"Sayer","given":"A. M."},{"family":"Kim","given":"W."},{"family":"Bettenhausen","given":"C."},{"family":"Tsay","given":"S.-C."}],"issued":{"date-parts":[["2019"]]},"citation-key":"hsuVIIRSDeepBlue2019"}},{"id":495,"uris":["http://zotero.org/groups/4584967/items/G2JN2YLQ"],"itemData":{"id":495,"type":"article-journal","abstract":"Retrieving aerosol properties from satellite remote sensing over a bright surface is a challenging problem in the research of atmospheric and land applications. In this paper we propose a new approach to retrieve aerosol properties over surfaces such as arid, semiarid, and urban areas, where the surface reflectance is usually very bright in the red part of visible spectrum and in the near infrared, but is much darker in the blue spectral region (i.e., wavelength &lt;500 nm). In order to infer atmospheric properties from these data, a global surface reflectance database of 0.1/spl deg/ latitude by 0.1/spl deg/ longitude resolution was constructed over bright surfaces for visible wavelengths using the minimum reflectivity technique (e.g., finding the clearest scene during each season for a given location). The aerosol optical thickness and aerosol type are then determined simultaneously in the algorithm using lookup tables to match the satellite observed spectral radiances. Examples of aerosol optical thickness derived using this algorithm over the Sahara Desert and Arabian Peninsula reveal various dust sources, which are important contributors to airborne dust transported over long distances. Comparisons of the satellite inferred aerosol optical thickness and the values from ground-based Aerosol Robotic Network (AERONET) sun/sky radiometer measurements indicate good agreement (i.e., within 30%) over the sites in Nigeria and Saudi Arabia. This new algorithm, when applied to Moderate Resolution Imaging Spectroradiometer (MODIS), Sea-viewing Wide Field of view Sensor (SeaWiFS), and Global Imager (GLI) satellite data, will provide high spatial resolution (/spl sim/1 km) global information of aerosol optical thickness over bright surfaces on a daily basis.","container-title":"IEEE Transactions on Geoscience and Remote Sensing","DOI":"10.1109/TGRS.2004.824067","ISSN":"1558-0644","issue":"3","note":"event-title: IEEE Transactions on Geoscience and Remote Sensing","page":"557-569","source":"IEEE Xplore","title":"Aerosol properties over bright-reflecting source regions","volume":"42","author":[{"family":"Hsu","given":"N.C."},{"family":"Tsay","given":"Si-Chee"},{"family":"King","given":"M.D."},{"family":"Herman","given":"J.R."}],"issued":{"date-parts":[["2004",3]]},"citation-key":"hsuAerosolPropertiesBrightreflecting2004"}}],"schema":"https://github.com/citation-style-language/schema/raw/master/csl-citation.json"} </w:instrText>
      </w:r>
      <w:r w:rsidRPr="004B722A">
        <w:rPr>
          <w:rFonts w:eastAsia="Times New Roman" w:cs="Times New Roman"/>
          <w:color w:val="000000"/>
          <w:szCs w:val="24"/>
        </w:rPr>
        <w:fldChar w:fldCharType="separate"/>
      </w:r>
      <w:r w:rsidR="00A25CFD">
        <w:rPr>
          <w:rFonts w:cs="Times New Roman"/>
          <w:szCs w:val="24"/>
        </w:rPr>
        <w:t>(</w:t>
      </w:r>
      <w:r w:rsidRPr="004B722A">
        <w:rPr>
          <w:rFonts w:cs="Times New Roman"/>
          <w:szCs w:val="24"/>
        </w:rPr>
        <w:t>Hsu, 2017;</w:t>
      </w:r>
      <w:r w:rsidR="00A25CFD">
        <w:rPr>
          <w:rFonts w:cs="Times New Roman"/>
          <w:szCs w:val="24"/>
        </w:rPr>
        <w:t xml:space="preserve"> </w:t>
      </w:r>
      <w:r w:rsidRPr="004B722A">
        <w:rPr>
          <w:rFonts w:cs="Times New Roman"/>
          <w:szCs w:val="24"/>
        </w:rPr>
        <w:t>Hsu et al., 2004, 2019; Hsu, 2016)</w:t>
      </w:r>
      <w:r w:rsidRPr="004B722A">
        <w:rPr>
          <w:rFonts w:eastAsia="Times New Roman" w:cs="Times New Roman"/>
          <w:color w:val="000000"/>
          <w:szCs w:val="24"/>
        </w:rPr>
        <w:fldChar w:fldCharType="end"/>
      </w:r>
      <w:r w:rsidRPr="004B722A">
        <w:rPr>
          <w:rFonts w:eastAsia="Times New Roman" w:cs="Times New Roman"/>
          <w:color w:val="000000"/>
          <w:szCs w:val="24"/>
        </w:rPr>
        <w:t xml:space="preserve">. This algorithm retrieved AOD over bright surfaces by leveraging </w:t>
      </w:r>
      <w:r w:rsidR="002F043E">
        <w:rPr>
          <w:rFonts w:eastAsia="Times New Roman" w:cs="Times New Roman"/>
          <w:color w:val="000000"/>
          <w:szCs w:val="24"/>
        </w:rPr>
        <w:t xml:space="preserve">blue spectral wavelengths (&lt;500 nm) </w:t>
      </w:r>
      <w:r w:rsidR="00B14401">
        <w:rPr>
          <w:rFonts w:eastAsia="Times New Roman" w:cs="Times New Roman"/>
          <w:color w:val="000000"/>
          <w:szCs w:val="24"/>
        </w:rPr>
        <w:t xml:space="preserve">which render these surfaces much darker than in </w:t>
      </w:r>
      <w:r w:rsidRPr="004B722A">
        <w:rPr>
          <w:rFonts w:eastAsia="Times New Roman" w:cs="Times New Roman"/>
          <w:color w:val="000000"/>
          <w:szCs w:val="24"/>
        </w:rPr>
        <w:t>the red and infrared part of the spectrum</w:t>
      </w:r>
      <w:r>
        <w:rPr>
          <w:rFonts w:eastAsia="Times New Roman" w:cs="Times New Roman"/>
          <w:color w:val="000000"/>
          <w:szCs w:val="24"/>
        </w:rPr>
        <w:t xml:space="preserve">, but </w:t>
      </w:r>
      <w:r w:rsidRPr="004B722A">
        <w:rPr>
          <w:rFonts w:eastAsia="Times New Roman" w:cs="Times New Roman"/>
          <w:color w:val="000000"/>
          <w:szCs w:val="24"/>
        </w:rPr>
        <w:t>much darker in the blue spectral region (&lt;500 nm)</w:t>
      </w:r>
      <w:r>
        <w:rPr>
          <w:rFonts w:eastAsia="Times New Roman" w:cs="Times New Roman"/>
          <w:color w:val="000000"/>
          <w:szCs w:val="24"/>
        </w:rPr>
        <w:t xml:space="preserve"> (</w:t>
      </w:r>
      <w:r>
        <w:rPr>
          <w:rFonts w:eastAsia="Times New Roman" w:cs="Times New Roman"/>
          <w:color w:val="000000"/>
          <w:szCs w:val="24"/>
        </w:rPr>
        <w:fldChar w:fldCharType="begin"/>
      </w:r>
      <w:r>
        <w:rPr>
          <w:rFonts w:eastAsia="Times New Roman" w:cs="Times New Roman"/>
          <w:color w:val="000000"/>
          <w:szCs w:val="24"/>
        </w:rPr>
        <w:instrText xml:space="preserve"> REF _Ref158853149 \h </w:instrText>
      </w:r>
      <w:r>
        <w:rPr>
          <w:rFonts w:eastAsia="Times New Roman" w:cs="Times New Roman"/>
          <w:color w:val="000000"/>
          <w:szCs w:val="24"/>
        </w:rPr>
      </w:r>
      <w:r>
        <w:rPr>
          <w:rFonts w:eastAsia="Times New Roman" w:cs="Times New Roman"/>
          <w:color w:val="000000"/>
          <w:szCs w:val="24"/>
        </w:rPr>
        <w:fldChar w:fldCharType="separate"/>
      </w:r>
      <w:r w:rsidR="00C54A78" w:rsidRPr="005674A3">
        <w:t xml:space="preserve">Figure </w:t>
      </w:r>
      <w:r w:rsidR="00C54A78">
        <w:rPr>
          <w:noProof/>
        </w:rPr>
        <w:t>3</w:t>
      </w:r>
      <w:r>
        <w:rPr>
          <w:rFonts w:eastAsia="Times New Roman" w:cs="Times New Roman"/>
          <w:color w:val="000000"/>
          <w:szCs w:val="24"/>
        </w:rPr>
        <w:fldChar w:fldCharType="end"/>
      </w:r>
      <w:r>
        <w:rPr>
          <w:rFonts w:eastAsia="Times New Roman" w:cs="Times New Roman"/>
          <w:color w:val="000000"/>
          <w:szCs w:val="24"/>
        </w:rPr>
        <w:t>)</w:t>
      </w:r>
      <w:r w:rsidRPr="004B722A">
        <w:rPr>
          <w:rFonts w:eastAsia="Times New Roman" w:cs="Times New Roman"/>
          <w:color w:val="000000"/>
          <w:szCs w:val="24"/>
        </w:rPr>
        <w:t xml:space="preserve">. The DB algorithm also includes a high-resolution surface reflectance lookup table and can retrieve AOD </w:t>
      </w:r>
      <w:r w:rsidRPr="004B722A">
        <w:rPr>
          <w:rFonts w:eastAsia="Times New Roman" w:cs="Times New Roman"/>
          <w:color w:val="000000"/>
          <w:szCs w:val="24"/>
        </w:rPr>
        <w:lastRenderedPageBreak/>
        <w:t>over bright surfaces</w:t>
      </w:r>
      <w:r>
        <w:rPr>
          <w:rFonts w:eastAsia="Times New Roman" w:cs="Times New Roman"/>
          <w:color w:val="000000"/>
          <w:szCs w:val="24"/>
        </w:rPr>
        <w:t xml:space="preserve"> with higher accuracy than the DT algorithm </w:t>
      </w:r>
      <w:r>
        <w:rPr>
          <w:rFonts w:eastAsia="Times New Roman" w:cs="Times New Roman"/>
          <w:color w:val="000000"/>
          <w:szCs w:val="24"/>
        </w:rPr>
        <w:fldChar w:fldCharType="begin"/>
      </w:r>
      <w:r w:rsidR="00BB6527">
        <w:rPr>
          <w:rFonts w:eastAsia="Times New Roman" w:cs="Times New Roman"/>
          <w:color w:val="000000"/>
          <w:szCs w:val="24"/>
        </w:rPr>
        <w:instrText xml:space="preserve"> ADDIN ZOTERO_ITEM CSL_CITATION {"citationID":"XS3mp17B","properties":{"formattedCitation":"(N. C. Hsu et al., 2004)","plainCitation":"(N. C. Hsu et al., 2004)","dontUpdate":true,"noteIndex":0},"citationItems":[{"id":495,"uris":["http://zotero.org/groups/4584967/items/G2JN2YLQ"],"itemData":{"id":495,"type":"article-journal","abstract":"Retrieving aerosol properties from satellite remote sensing over a bright surface is a challenging problem in the research of atmospheric and land applications. In this paper we propose a new approach to retrieve aerosol properties over surfaces such as arid, semiarid, and urban areas, where the surface reflectance is usually very bright in the red part of visible spectrum and in the near infrared, but is much darker in the blue spectral region (i.e., wavelength &lt;500 nm). In order to infer atmospheric properties from these data, a global surface reflectance database of 0.1/spl deg/ latitude by 0.1/spl deg/ longitude resolution was constructed over bright surfaces for visible wavelengths using the minimum reflectivity technique (e.g., finding the clearest scene during each season for a given location). The aerosol optical thickness and aerosol type are then determined simultaneously in the algorithm using lookup tables to match the satellite observed spectral radiances. Examples of aerosol optical thickness derived using this algorithm over the Sahara Desert and Arabian Peninsula reveal various dust sources, which are important contributors to airborne dust transported over long distances. Comparisons of the satellite inferred aerosol optical thickness and the values from ground-based Aerosol Robotic Network (AERONET) sun/sky radiometer measurements indicate good agreement (i.e., within 30%) over the sites in Nigeria and Saudi Arabia. This new algorithm, when applied to Moderate Resolution Imaging Spectroradiometer (MODIS), Sea-viewing Wide Field of view Sensor (SeaWiFS), and Global Imager (GLI) satellite data, will provide high spatial resolution (/spl sim/1 km) global information of aerosol optical thickness over bright surfaces on a daily basis.","container-title":"IEEE Transactions on Geoscience and Remote Sensing","DOI":"10.1109/TGRS.2004.824067","ISSN":"1558-0644","issue":"3","note":"event-title: IEEE Transactions on Geoscience and Remote Sensing","page":"557-569","source":"IEEE Xplore","title":"Aerosol properties over bright-reflecting source regions","volume":"42","author":[{"family":"Hsu","given":"N.C."},{"family":"Tsay","given":"Si-Chee"},{"family":"King","given":"M.D."},{"family":"Herman","given":"J.R."}],"issued":{"date-parts":[["2004",3]]},"citation-key":"hsuAerosolPropertiesBrightreflecting2004"}}],"schema":"https://github.com/citation-style-language/schema/raw/master/csl-citation.json"} </w:instrText>
      </w:r>
      <w:r>
        <w:rPr>
          <w:rFonts w:eastAsia="Times New Roman" w:cs="Times New Roman"/>
          <w:color w:val="000000"/>
          <w:szCs w:val="24"/>
        </w:rPr>
        <w:fldChar w:fldCharType="separate"/>
      </w:r>
      <w:r w:rsidRPr="003D643F">
        <w:rPr>
          <w:rFonts w:cs="Times New Roman"/>
        </w:rPr>
        <w:t>(Hsu et al., 2004)</w:t>
      </w:r>
      <w:r>
        <w:rPr>
          <w:rFonts w:eastAsia="Times New Roman" w:cs="Times New Roman"/>
          <w:color w:val="000000"/>
          <w:szCs w:val="24"/>
        </w:rPr>
        <w:fldChar w:fldCharType="end"/>
      </w:r>
      <w:r w:rsidRPr="004B722A">
        <w:rPr>
          <w:rFonts w:eastAsia="Times New Roman" w:cs="Times New Roman"/>
          <w:color w:val="000000"/>
          <w:szCs w:val="24"/>
        </w:rPr>
        <w:t xml:space="preserve">. This is useful in providing a more spatially complete distribution of AOD and informing </w:t>
      </w:r>
      <w:r>
        <w:rPr>
          <w:rFonts w:eastAsia="Times New Roman" w:cs="Times New Roman"/>
          <w:color w:val="000000"/>
          <w:szCs w:val="24"/>
        </w:rPr>
        <w:t xml:space="preserve">of </w:t>
      </w:r>
      <w:r w:rsidRPr="004B722A">
        <w:rPr>
          <w:rFonts w:eastAsia="Times New Roman" w:cs="Times New Roman"/>
          <w:color w:val="000000"/>
          <w:szCs w:val="24"/>
        </w:rPr>
        <w:t>different forms of aerosols and their emission sources. Namely, for desert areas, this means dust aerosols.</w:t>
      </w:r>
    </w:p>
    <w:p w14:paraId="4023F403" w14:textId="77777777" w:rsidR="00200499" w:rsidRPr="004B722A" w:rsidRDefault="00200499" w:rsidP="00200499">
      <w:pPr>
        <w:keepNext/>
        <w:spacing w:after="240"/>
        <w:rPr>
          <w:rFonts w:cs="Times New Roman"/>
          <w:szCs w:val="24"/>
        </w:rPr>
      </w:pPr>
      <w:r w:rsidRPr="004B722A">
        <w:rPr>
          <w:rFonts w:eastAsia="Times New Roman" w:cs="Times New Roman"/>
          <w:noProof/>
          <w:color w:val="000000"/>
          <w:szCs w:val="24"/>
          <w:bdr w:val="none" w:sz="0" w:space="0" w:color="auto" w:frame="1"/>
        </w:rPr>
        <w:drawing>
          <wp:inline distT="0" distB="0" distL="0" distR="0" wp14:anchorId="0D17CE72" wp14:editId="6557A6D5">
            <wp:extent cx="5943600" cy="1971675"/>
            <wp:effectExtent l="0" t="0" r="0" b="9525"/>
            <wp:docPr id="199618123" name="Picture 4" descr="A close-up of a mountai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618123" name="Picture 4" descr="A close-up of a mountain&#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3600" cy="1971675"/>
                    </a:xfrm>
                    <a:prstGeom prst="rect">
                      <a:avLst/>
                    </a:prstGeom>
                    <a:noFill/>
                    <a:ln>
                      <a:noFill/>
                    </a:ln>
                  </pic:spPr>
                </pic:pic>
              </a:graphicData>
            </a:graphic>
          </wp:inline>
        </w:drawing>
      </w:r>
    </w:p>
    <w:p w14:paraId="3E54F62D" w14:textId="0FAD1DC1" w:rsidR="00200499" w:rsidRPr="005674A3" w:rsidRDefault="00200499" w:rsidP="00D52313">
      <w:pPr>
        <w:pStyle w:val="Caption"/>
        <w:rPr>
          <w:rFonts w:eastAsia="Times New Roman"/>
        </w:rPr>
      </w:pPr>
      <w:bookmarkStart w:id="19" w:name="_Ref158853149"/>
      <w:bookmarkStart w:id="20" w:name="_Toc159825965"/>
      <w:r w:rsidRPr="005674A3">
        <w:t xml:space="preserve">Figure </w:t>
      </w:r>
      <w:r>
        <w:fldChar w:fldCharType="begin"/>
      </w:r>
      <w:r>
        <w:instrText xml:space="preserve"> SEQ Figure \* ARABIC </w:instrText>
      </w:r>
      <w:r>
        <w:fldChar w:fldCharType="separate"/>
      </w:r>
      <w:r w:rsidR="00C54A78">
        <w:rPr>
          <w:noProof/>
        </w:rPr>
        <w:t>3</w:t>
      </w:r>
      <w:r>
        <w:rPr>
          <w:noProof/>
        </w:rPr>
        <w:fldChar w:fldCharType="end"/>
      </w:r>
      <w:bookmarkEnd w:id="19"/>
      <w:r w:rsidRPr="005674A3">
        <w:t xml:space="preserve">: An image over northern Africa showing the presence of dust aerosols and the effectiveness of the Deep Blue wavelength at </w:t>
      </w:r>
      <w:r w:rsidR="00441DCC">
        <w:t>isolating</w:t>
      </w:r>
      <w:r w:rsidRPr="005674A3">
        <w:t xml:space="preserve"> these aerosols.</w:t>
      </w:r>
      <w:r w:rsidR="00902CB2">
        <w:t xml:space="preserve"> Source: </w:t>
      </w:r>
      <w:r w:rsidR="00004ED8">
        <w:t>MODIS Terra.</w:t>
      </w:r>
      <w:bookmarkEnd w:id="20"/>
    </w:p>
    <w:p w14:paraId="025170B9" w14:textId="32D12A44" w:rsidR="008C1F6A" w:rsidRDefault="008C1F6A" w:rsidP="008C1F6A">
      <w:pPr>
        <w:spacing w:after="240"/>
        <w:ind w:firstLine="720"/>
        <w:rPr>
          <w:rFonts w:eastAsia="Times New Roman" w:cs="Times New Roman"/>
          <w:color w:val="000000"/>
          <w:szCs w:val="24"/>
        </w:rPr>
      </w:pPr>
      <w:r w:rsidRPr="004B722A">
        <w:rPr>
          <w:rFonts w:eastAsia="Times New Roman" w:cs="Times New Roman"/>
          <w:color w:val="000000"/>
          <w:szCs w:val="24"/>
        </w:rPr>
        <w:t>MAIAC is a</w:t>
      </w:r>
      <w:r>
        <w:rPr>
          <w:rFonts w:eastAsia="Times New Roman" w:cs="Times New Roman"/>
          <w:color w:val="000000"/>
          <w:szCs w:val="24"/>
        </w:rPr>
        <w:t xml:space="preserve">nother AOD retrieval </w:t>
      </w:r>
      <w:r w:rsidRPr="004B722A">
        <w:rPr>
          <w:rFonts w:eastAsia="Times New Roman" w:cs="Times New Roman"/>
          <w:color w:val="000000"/>
          <w:szCs w:val="24"/>
        </w:rPr>
        <w:t xml:space="preserve">algorithm developed by Alexei Lyapustin and Yujie Wang </w:t>
      </w:r>
      <w:r>
        <w:rPr>
          <w:rFonts w:eastAsia="Times New Roman" w:cs="Times New Roman"/>
          <w:color w:val="000000"/>
          <w:szCs w:val="24"/>
        </w:rPr>
        <w:t xml:space="preserve">in 2008 </w:t>
      </w:r>
      <w:r>
        <w:rPr>
          <w:rFonts w:eastAsia="Times New Roman" w:cs="Times New Roman"/>
          <w:color w:val="000000"/>
          <w:szCs w:val="24"/>
        </w:rPr>
        <w:fldChar w:fldCharType="begin"/>
      </w:r>
      <w:r w:rsidR="00BB6527">
        <w:rPr>
          <w:rFonts w:eastAsia="Times New Roman" w:cs="Times New Roman"/>
          <w:color w:val="000000"/>
          <w:szCs w:val="24"/>
        </w:rPr>
        <w:instrText xml:space="preserve"> ADDIN ZOTERO_ITEM CSL_CITATION {"citationID":"Xw5C7iyh","properties":{"formattedCitation":"(Lyapustin &amp; Wang, 2008)","plainCitation":"(Lyapustin &amp; Wang, 2008)","noteIndex":0},"citationItems":[{"id":522,"uris":["http://zotero.org/groups/4584967/items/BTW9CSDR"],"itemData":{"id":522,"type":"manuscript","abstract":"Atmospheric aerosols interact with sun light by scattering and absorbing radiation. By changing irradiance of the Earth surface, modifying cloud fractional cover and microphysical properties and a number of other mechanisms, they affect the energy balance, hydrological cycle, and planetary climate [IPCC, 2007]. In many world regions there is a growing impact of aerosols on air quality and human health. The Earth Observing System [NASA, 1999] initiated high quality global Earth observations and operational aerosol retrievals over land. With the wide swath (2300 km) of MODIS instrument, the MODIS Dark Target algorithm [Kaufman et al., 1997; Remer et al., 2005; Levy et al., 2007] currently complemented with the Deep Blue method [Hsu et al., 2004] provides daily global view of planetary atmospheric aerosol. The MISR algorithm [Martonchik et al., 1998; Diner et al., 2005] makes high quality aerosol retrievals in 300 km swaths covering the globe in 8 days. With MODIS aerosol program being very successful, there are still several unresolved issues in the retrieval algorithms. The current processing is pixel-based and relies on a single-orbit data. Such an approach produces a single measurement for every pixel characterized by two main unknowns, aerosol optical thickness (AOT) and surface reflectance (SR). This lack of information constitutes a fundamental problem of the remote sensing which cannot be resolved without a priori information. For example, MODIS Dark Target algorithm makes spectral assumptions about surface reflectance, whereas the Deep Blue method uses ancillary global database of surface reflectance composed from minimal monthly measurements with Rayleigh correction. Both algorithms use Lambertian surface model. The surface-related assumptions in the aerosol retrievals may affect subsequent atmospheric correction in unintended way. For example, the Dark Target algorithm uses an empirical relationship to predict SR in the Blue (B3) and Red (B1) bands from the 2.1 m channel (B7) for the purpose of aerosol retrieval. Obviously, the subsequent atmospheric correction will produce the same SR in the red and blue bands as predicted, i.e. an empirical function of 2.1. In other words, the spectral, spatial and temporal variability of surface reflectance in the Blue and Red bands appears borrowed from band B7. This may have certain implications for the vegetation and global carbon analysis because the chlorophyll-sensing bands B1, B3 are effectively substituted in terms of variability by band B7, which is sensitive to the plant liquid water. This chapter describes a new recently developed generic aerosol-surface retrieval algorithm for MODIS. The Multi-Angle Implementation of Atmospheric Correction (MAIAC) algorithm simultaneously retrieves AOT and surface bi-directional reflection factor (BRF) using the time series of MODIS measurements.","note":"NTRS Author Affiliations: NASA Goddard Space Flight Center\nNTRS Document ID: 20080023335\nNTRS Research Center: Goddard Space Flight Center (GSFC)","source":"NASA NTRS","title":"The Time Series Technique for Aerosol Retrievals over Land from MODIS: Algorithm MAIAC","title-short":"The Time Series Technique for Aerosol Retrievals over Land from MODIS","URL":"https://ntrs.nasa.gov/citations/20080023335","author":[{"family":"Lyapustin","given":"A."},{"family":"Wang","given":"Y."}],"accessed":{"date-parts":[["2024",2,7]]},"issued":{"date-parts":[["2008",1,1]]},"citation-key":"lyapustinTimeSeriesTechnique2008"}}],"schema":"https://github.com/citation-style-language/schema/raw/master/csl-citation.json"} </w:instrText>
      </w:r>
      <w:r>
        <w:rPr>
          <w:rFonts w:eastAsia="Times New Roman" w:cs="Times New Roman"/>
          <w:color w:val="000000"/>
          <w:szCs w:val="24"/>
        </w:rPr>
        <w:fldChar w:fldCharType="separate"/>
      </w:r>
      <w:r w:rsidR="007E6369" w:rsidRPr="007E6369">
        <w:rPr>
          <w:rFonts w:cs="Times New Roman"/>
        </w:rPr>
        <w:t>(Lyapustin &amp; Wang, 2008)</w:t>
      </w:r>
      <w:r>
        <w:rPr>
          <w:rFonts w:eastAsia="Times New Roman" w:cs="Times New Roman"/>
          <w:color w:val="000000"/>
          <w:szCs w:val="24"/>
        </w:rPr>
        <w:fldChar w:fldCharType="end"/>
      </w:r>
      <w:r>
        <w:rPr>
          <w:rFonts w:eastAsia="Times New Roman" w:cs="Times New Roman"/>
          <w:color w:val="000000"/>
          <w:szCs w:val="24"/>
        </w:rPr>
        <w:t xml:space="preserve"> </w:t>
      </w:r>
      <w:r w:rsidRPr="004B722A">
        <w:rPr>
          <w:rFonts w:eastAsia="Times New Roman" w:cs="Times New Roman"/>
          <w:color w:val="000000"/>
          <w:szCs w:val="24"/>
        </w:rPr>
        <w:t>that takes a</w:t>
      </w:r>
      <w:r>
        <w:rPr>
          <w:rFonts w:eastAsia="Times New Roman" w:cs="Times New Roman"/>
          <w:color w:val="000000"/>
          <w:szCs w:val="24"/>
        </w:rPr>
        <w:t>n entir</w:t>
      </w:r>
      <w:r w:rsidRPr="004B722A">
        <w:rPr>
          <w:rFonts w:eastAsia="Times New Roman" w:cs="Times New Roman"/>
          <w:color w:val="000000"/>
          <w:szCs w:val="24"/>
        </w:rPr>
        <w:t>ely different approach for cloud masking, aerosol retrievals, and atmospheric correction</w:t>
      </w:r>
      <w:r w:rsidR="00340F8B">
        <w:rPr>
          <w:rFonts w:eastAsia="Times New Roman" w:cs="Times New Roman"/>
          <w:color w:val="000000"/>
          <w:szCs w:val="24"/>
        </w:rPr>
        <w:t xml:space="preserve">, </w:t>
      </w:r>
      <w:r w:rsidR="00EF6642">
        <w:rPr>
          <w:rFonts w:eastAsia="Times New Roman" w:cs="Times New Roman"/>
          <w:color w:val="000000"/>
          <w:szCs w:val="24"/>
        </w:rPr>
        <w:t xml:space="preserve">considering previous retrievals and </w:t>
      </w:r>
      <w:r w:rsidRPr="004B722A">
        <w:rPr>
          <w:rFonts w:eastAsia="Times New Roman" w:cs="Times New Roman"/>
          <w:color w:val="000000"/>
          <w:szCs w:val="24"/>
        </w:rPr>
        <w:t>treat</w:t>
      </w:r>
      <w:r w:rsidR="00340F8B">
        <w:rPr>
          <w:rFonts w:eastAsia="Times New Roman" w:cs="Times New Roman"/>
          <w:color w:val="000000"/>
          <w:szCs w:val="24"/>
        </w:rPr>
        <w:t>ing</w:t>
      </w:r>
      <w:r w:rsidRPr="004B722A">
        <w:rPr>
          <w:rFonts w:eastAsia="Times New Roman" w:cs="Times New Roman"/>
          <w:color w:val="000000"/>
          <w:szCs w:val="24"/>
        </w:rPr>
        <w:t xml:space="preserve"> these parameters as time series</w:t>
      </w:r>
      <w:r>
        <w:rPr>
          <w:rFonts w:eastAsia="Times New Roman" w:cs="Times New Roman"/>
          <w:color w:val="000000"/>
          <w:szCs w:val="24"/>
        </w:rPr>
        <w:t>.</w:t>
      </w:r>
      <w:r w:rsidRPr="004B722A">
        <w:rPr>
          <w:rFonts w:eastAsia="Times New Roman" w:cs="Times New Roman"/>
          <w:color w:val="000000"/>
          <w:szCs w:val="24"/>
        </w:rPr>
        <w:t xml:space="preserve"> It also has an extremely high resolution of 1</w:t>
      </w:r>
      <w:r w:rsidR="00EF6642">
        <w:rPr>
          <w:rFonts w:eastAsia="Times New Roman" w:cs="Times New Roman"/>
          <w:color w:val="000000"/>
          <w:szCs w:val="24"/>
        </w:rPr>
        <w:t xml:space="preserve"> </w:t>
      </w:r>
      <w:r w:rsidRPr="004B722A">
        <w:rPr>
          <w:rFonts w:eastAsia="Times New Roman" w:cs="Times New Roman"/>
          <w:color w:val="000000"/>
          <w:szCs w:val="24"/>
        </w:rPr>
        <w:t xml:space="preserve">km, compared to the </w:t>
      </w:r>
      <w:r>
        <w:rPr>
          <w:rFonts w:eastAsia="Times New Roman" w:cs="Times New Roman"/>
          <w:color w:val="000000"/>
          <w:szCs w:val="24"/>
        </w:rPr>
        <w:t>3</w:t>
      </w:r>
      <w:r w:rsidR="00676F37">
        <w:rPr>
          <w:rFonts w:eastAsia="Times New Roman" w:cs="Times New Roman"/>
          <w:color w:val="000000"/>
          <w:szCs w:val="24"/>
        </w:rPr>
        <w:t xml:space="preserve">, </w:t>
      </w:r>
      <w:r w:rsidRPr="004B722A">
        <w:rPr>
          <w:rFonts w:eastAsia="Times New Roman" w:cs="Times New Roman"/>
          <w:color w:val="000000"/>
          <w:szCs w:val="24"/>
        </w:rPr>
        <w:t>6</w:t>
      </w:r>
      <w:r w:rsidR="00676F37">
        <w:rPr>
          <w:rFonts w:eastAsia="Times New Roman" w:cs="Times New Roman"/>
          <w:color w:val="000000"/>
          <w:szCs w:val="24"/>
        </w:rPr>
        <w:t xml:space="preserve">, and </w:t>
      </w:r>
      <w:r w:rsidRPr="004B722A">
        <w:rPr>
          <w:rFonts w:eastAsia="Times New Roman" w:cs="Times New Roman"/>
          <w:color w:val="000000"/>
          <w:szCs w:val="24"/>
        </w:rPr>
        <w:t>10</w:t>
      </w:r>
      <w:r w:rsidR="00EF6642">
        <w:rPr>
          <w:rFonts w:eastAsia="Times New Roman" w:cs="Times New Roman"/>
          <w:color w:val="000000"/>
          <w:szCs w:val="24"/>
        </w:rPr>
        <w:t xml:space="preserve"> km</w:t>
      </w:r>
      <w:r w:rsidRPr="004B722A">
        <w:rPr>
          <w:rFonts w:eastAsia="Times New Roman" w:cs="Times New Roman"/>
          <w:color w:val="000000"/>
          <w:szCs w:val="24"/>
        </w:rPr>
        <w:t xml:space="preserve"> resolution of DT and DB. Unfortunately, MAIAC Collection 6, which was the latest collection at the time of </w:t>
      </w:r>
      <w:r>
        <w:rPr>
          <w:rFonts w:eastAsia="Times New Roman" w:cs="Times New Roman"/>
          <w:color w:val="000000"/>
          <w:szCs w:val="24"/>
        </w:rPr>
        <w:t>the gap-filled model input selection</w:t>
      </w:r>
      <w:r w:rsidR="008029C1">
        <w:rPr>
          <w:rFonts w:eastAsia="Times New Roman" w:cs="Times New Roman"/>
          <w:color w:val="000000"/>
          <w:szCs w:val="24"/>
        </w:rPr>
        <w:t>,</w:t>
      </w:r>
      <w:r w:rsidR="009540F2">
        <w:rPr>
          <w:rFonts w:eastAsia="Times New Roman" w:cs="Times New Roman"/>
          <w:color w:val="000000"/>
          <w:szCs w:val="24"/>
        </w:rPr>
        <w:t xml:space="preserve"> was not chosen</w:t>
      </w:r>
      <w:r w:rsidR="008029C1">
        <w:rPr>
          <w:rFonts w:eastAsia="Times New Roman" w:cs="Times New Roman"/>
          <w:color w:val="000000"/>
          <w:szCs w:val="24"/>
        </w:rPr>
        <w:t xml:space="preserve"> as</w:t>
      </w:r>
      <w:r w:rsidR="00613CA4">
        <w:rPr>
          <w:rFonts w:eastAsia="Times New Roman" w:cs="Times New Roman"/>
          <w:color w:val="000000"/>
          <w:szCs w:val="24"/>
        </w:rPr>
        <w:t xml:space="preserve"> MAIAC AOD underestimated high AOD loadings such as smoke in comparison to ground-truth AERONET AOD</w:t>
      </w:r>
      <w:r w:rsidR="008029C1">
        <w:rPr>
          <w:rFonts w:eastAsia="Times New Roman" w:cs="Times New Roman"/>
          <w:color w:val="000000"/>
          <w:szCs w:val="24"/>
        </w:rPr>
        <w:t xml:space="preserve"> </w:t>
      </w:r>
      <w:r w:rsidRPr="004B722A">
        <w:rPr>
          <w:rFonts w:eastAsia="Times New Roman" w:cs="Times New Roman"/>
          <w:color w:val="000000"/>
          <w:szCs w:val="24"/>
        </w:rPr>
        <w:fldChar w:fldCharType="begin"/>
      </w:r>
      <w:r w:rsidR="00BB6527">
        <w:rPr>
          <w:rFonts w:eastAsia="Times New Roman" w:cs="Times New Roman"/>
          <w:color w:val="000000"/>
          <w:szCs w:val="24"/>
        </w:rPr>
        <w:instrText xml:space="preserve"> ADDIN ZOTERO_ITEM CSL_CITATION {"citationID":"VapsXSAP","properties":{"formattedCitation":"(S. Marcela Lor\\uc0\\u237{}a-Salazar et al., 2021)","plainCitation":"(S. Marcela Loría-Salazar et al., 2021)","dontUpdate":true,"noteIndex":0},"citationItems":[{"id":255,"uris":["http://zotero.org/groups/4584967/items/A9XX6HIV"],"itemData":{"id":255,"type":"article-journal","abstract":"We analyze new aerosol products from NASA satellite retrievals over the western USA during August 2013, with special attention to locally generated wildfire smoke and downwind plume structures. Aerosol optical depth (AOD) at 550 nm from MODerate Resolution Imaging Spectroradiometer (MODIS) (Terra and Aqua Collections 6 and 6.1) and Visible Infrared Imaging Radiometer Suite (VIIRS) Deep Blue (DB) and MODIS (Terra and Aqua) Multi-Angle Implementation of Atmospheric Correction (MAIAC) retrievals are evaluated against ground-based AErosol RObotic NETwork (AERONET) observations. We find a significant improvement in correlation with AERONET and other metrics in the latest DB AOD (MODIS C6.1 r2 = 0.75, VIIRS r2 = 0.79) compared to MODIS C6 (r2 = 0.62). In general, MAIAC (r2 = 0.84) and DB (MODIS C6.1 and VIIRS) present similar statistical evaluation metrics for the western USA and are useful tools to characterize aerosol loading associated with wildfire smoke. We also evaluate three novel NASA MODIS plume injection height (PIH) products, one from MAIAC and two from the Aerosol Single scattering albedo and layer Height Estimation (ASHE) (MODIS and VIIRS) algorithm. Both Terra and Aqua MAIAC PIHs statistically agree with ground-based and satellite lidar observations near the fire source, as do ASHE, although the latter is sensitive to assumptions about aerosol absorption properties. We introduce a first-order approximation Smoke Height Boundary Layer Ratio (SHBLR) to qualitatively distinguish between aerosol pollution within the planetary boundary layer and the free troposphere. We summarize the scope, limitations, and suggestions for scientific applications of surface level aerosol concentrations specific to wildfire emissions and smoke plumes using these novel NASA MODIS and VIIRS aerosol products.","container-title":"Journal of Geophysical Research: Atmospheres","DOI":"10.1029/2020JD034180","ISSN":"2169-8996","issue":"11","language":"en","note":"_eprint: https://agupubs.onlinelibrary.wiley.com/doi/pdf/10.1029/2020JD034180","page":"e2020JD034180","source":"Wiley Online Library","title":"Evaluation of Novel NASA Moderate Resolution Imaging Spectroradiometer and Visible Infrared Imaging Radiometer Suite Aerosol Products and Assessment of Smoke Height Boundary Layer Ratio During Extreme Smoke Events in the Western USA","volume":"126","author":[{"family":"Loría-Salazar","given":"S. Marcela"},{"family":"Sayer","given":"A. M."},{"family":"Barnes","given":"John"},{"family":"Huang","given":"Jingting"},{"family":"Flynn","given":"Connor"},{"family":"Lareau","given":"Neil"},{"family":"Lee","given":"Jaehwa"},{"family":"Lyapustin","given":"Alexei"},{"family":"Redemann","given":"Jens"},{"family":"Welton","given":"Ellsworth J."},{"family":"Wilkins","given":"Joseph L."},{"family":"Holmes","given":"Heather A."}],"issued":{"date-parts":[["2021"]]},"citation-key":"loria-salazarEvaluationNovelNASA2021"}}],"schema":"https://github.com/citation-style-language/schema/raw/master/csl-citation.json"} </w:instrText>
      </w:r>
      <w:r w:rsidRPr="004B722A">
        <w:rPr>
          <w:rFonts w:eastAsia="Times New Roman" w:cs="Times New Roman"/>
          <w:color w:val="000000"/>
          <w:szCs w:val="24"/>
        </w:rPr>
        <w:fldChar w:fldCharType="separate"/>
      </w:r>
      <w:r w:rsidRPr="004B722A">
        <w:rPr>
          <w:rFonts w:cs="Times New Roman"/>
          <w:szCs w:val="24"/>
        </w:rPr>
        <w:t>(Loría-Salazar et al., 2021)</w:t>
      </w:r>
      <w:r w:rsidRPr="004B722A">
        <w:rPr>
          <w:rFonts w:eastAsia="Times New Roman" w:cs="Times New Roman"/>
          <w:color w:val="000000"/>
          <w:szCs w:val="24"/>
        </w:rPr>
        <w:fldChar w:fldCharType="end"/>
      </w:r>
      <w:r w:rsidRPr="004B722A">
        <w:rPr>
          <w:rFonts w:eastAsia="Times New Roman" w:cs="Times New Roman"/>
          <w:color w:val="000000"/>
          <w:szCs w:val="24"/>
        </w:rPr>
        <w:t>.</w:t>
      </w:r>
      <w:r>
        <w:rPr>
          <w:rFonts w:eastAsia="Times New Roman" w:cs="Times New Roman"/>
          <w:color w:val="000000"/>
          <w:szCs w:val="24"/>
        </w:rPr>
        <w:t xml:space="preserve"> </w:t>
      </w:r>
    </w:p>
    <w:p w14:paraId="639D20BF" w14:textId="77777777" w:rsidR="00200499" w:rsidRPr="00A0013F" w:rsidRDefault="00200499" w:rsidP="00A0013F"/>
    <w:p w14:paraId="08F0150A" w14:textId="5343B375" w:rsidR="00092347" w:rsidRPr="00F32FAD" w:rsidRDefault="00092347" w:rsidP="00C604DD">
      <w:pPr>
        <w:pStyle w:val="Heading2"/>
      </w:pPr>
      <w:bookmarkStart w:id="21" w:name="_Toc161431076"/>
      <w:r>
        <w:t>1.</w:t>
      </w:r>
      <w:r w:rsidR="008A1E1C">
        <w:t>5</w:t>
      </w:r>
      <w:r>
        <w:t xml:space="preserve"> </w:t>
      </w:r>
      <w:r w:rsidR="00826F3D">
        <w:t xml:space="preserve">Estimating </w:t>
      </w:r>
      <w:r>
        <w:t>PM</w:t>
      </w:r>
      <w:r>
        <w:rPr>
          <w:vertAlign w:val="subscript"/>
        </w:rPr>
        <w:t>2.5</w:t>
      </w:r>
      <w:r>
        <w:t xml:space="preserve"> </w:t>
      </w:r>
      <w:r w:rsidR="00826F3D">
        <w:t>U</w:t>
      </w:r>
      <w:r w:rsidR="00F32FAD">
        <w:t>sing AOD</w:t>
      </w:r>
      <w:bookmarkEnd w:id="21"/>
    </w:p>
    <w:p w14:paraId="3172AEC9" w14:textId="1D426BD9" w:rsidR="00CE7E07" w:rsidRPr="00CE7E07" w:rsidRDefault="00D75DA7" w:rsidP="00CE7E07">
      <w:pPr>
        <w:spacing w:after="240"/>
        <w:ind w:firstLine="720"/>
        <w:rPr>
          <w:rFonts w:eastAsia="Times New Roman" w:cs="Times New Roman"/>
          <w:szCs w:val="24"/>
        </w:rPr>
      </w:pPr>
      <w:r>
        <w:rPr>
          <w:rFonts w:eastAsia="Times New Roman" w:cs="Times New Roman"/>
          <w:color w:val="000000"/>
          <w:szCs w:val="24"/>
        </w:rPr>
        <w:t>Satellite retrievals of AOD ha</w:t>
      </w:r>
      <w:r w:rsidR="00F32FAD">
        <w:rPr>
          <w:rFonts w:eastAsia="Times New Roman" w:cs="Times New Roman"/>
          <w:color w:val="000000"/>
          <w:szCs w:val="24"/>
        </w:rPr>
        <w:t>ve</w:t>
      </w:r>
      <w:r w:rsidR="000F727C">
        <w:rPr>
          <w:rFonts w:eastAsia="Times New Roman" w:cs="Times New Roman"/>
          <w:color w:val="000000"/>
          <w:szCs w:val="24"/>
        </w:rPr>
        <w:t xml:space="preserve"> commonly</w:t>
      </w:r>
      <w:r>
        <w:rPr>
          <w:rFonts w:eastAsia="Times New Roman" w:cs="Times New Roman"/>
          <w:color w:val="000000"/>
          <w:szCs w:val="24"/>
        </w:rPr>
        <w:t xml:space="preserve"> been used </w:t>
      </w:r>
      <w:r w:rsidR="00CE7E07" w:rsidRPr="00CE7E07">
        <w:rPr>
          <w:rFonts w:eastAsia="Times New Roman" w:cs="Times New Roman"/>
          <w:color w:val="000000"/>
          <w:szCs w:val="24"/>
        </w:rPr>
        <w:t xml:space="preserve">as a spatial predictor of </w:t>
      </w:r>
      <w:r w:rsidR="00D040BB">
        <w:rPr>
          <w:rFonts w:eastAsia="Times New Roman" w:cs="Times New Roman"/>
          <w:color w:val="000000"/>
          <w:szCs w:val="24"/>
        </w:rPr>
        <w:t xml:space="preserve">daily </w:t>
      </w:r>
      <w:r w:rsidRPr="00CE7E07">
        <w:rPr>
          <w:rFonts w:eastAsia="Times New Roman" w:cs="Times New Roman"/>
          <w:color w:val="000000"/>
          <w:szCs w:val="24"/>
        </w:rPr>
        <w:t>surface</w:t>
      </w:r>
      <w:r>
        <w:rPr>
          <w:rFonts w:eastAsia="Times New Roman" w:cs="Times New Roman"/>
          <w:color w:val="000000"/>
          <w:szCs w:val="24"/>
        </w:rPr>
        <w:t>-</w:t>
      </w:r>
      <w:r w:rsidR="00CE7E07" w:rsidRPr="00CE7E07">
        <w:rPr>
          <w:rFonts w:eastAsia="Times New Roman" w:cs="Times New Roman"/>
          <w:color w:val="000000"/>
          <w:szCs w:val="24"/>
        </w:rPr>
        <w:t>level PM</w:t>
      </w:r>
      <w:r w:rsidR="00CE7E07" w:rsidRPr="00E777C2">
        <w:rPr>
          <w:rFonts w:eastAsia="Times New Roman" w:cs="Times New Roman"/>
          <w:color w:val="000000"/>
          <w:szCs w:val="24"/>
          <w:vertAlign w:val="subscript"/>
        </w:rPr>
        <w:t>2.5</w:t>
      </w:r>
      <w:r w:rsidR="00CE7E07" w:rsidRPr="00CE7E07">
        <w:rPr>
          <w:rFonts w:eastAsia="Times New Roman" w:cs="Times New Roman"/>
          <w:color w:val="000000"/>
          <w:szCs w:val="24"/>
        </w:rPr>
        <w:t xml:space="preserve">. These attempts have included statistical, chemical transport, and machine </w:t>
      </w:r>
      <w:r w:rsidR="00CE7E07" w:rsidRPr="00CE7E07">
        <w:rPr>
          <w:rFonts w:eastAsia="Times New Roman" w:cs="Times New Roman"/>
          <w:color w:val="000000"/>
          <w:szCs w:val="24"/>
        </w:rPr>
        <w:lastRenderedPageBreak/>
        <w:t xml:space="preserve">learning models </w:t>
      </w:r>
      <w:r w:rsidR="00F85C46">
        <w:rPr>
          <w:rFonts w:eastAsia="Times New Roman" w:cs="Times New Roman"/>
          <w:color w:val="000000"/>
          <w:szCs w:val="24"/>
        </w:rPr>
        <w:fldChar w:fldCharType="begin"/>
      </w:r>
      <w:r w:rsidR="00BB6527">
        <w:rPr>
          <w:rFonts w:eastAsia="Times New Roman" w:cs="Times New Roman"/>
          <w:color w:val="000000"/>
          <w:szCs w:val="24"/>
        </w:rPr>
        <w:instrText xml:space="preserve"> ADDIN ZOTERO_ITEM CSL_CITATION {"citationID":"oShXuMHh","properties":{"formattedCitation":"(Chang et al., 2014; G. Chen et al., 2021; Holmes et al., 2014; X. Hu et al., 2014, 2014; Xuefei Hu et al., 2014)","plainCitation":"(Chang et al., 2014; G. Chen et al., 2021; Holmes et al., 2014; X. Hu et al., 2014, 2014; Xuefei Hu et al., 2014)","dontUpdate":true,"noteIndex":0},"citationItems":[{"id":204,"uris":["http://zotero.org/groups/4584967/items/S68U6WFW"],"itemData":{"id":204,"type":"article-journal","abstract":"There has been a growing interest in the use of satellite-retrieved aerosol optical depth (AOD) to estimate ambient concentrations of PM2.5 (particulate matter &lt;2.5 μm in aerodynamic diameter). With their broad spatial coverage, satellite data can increase the spatial–temporal availability of air quality data beyond ground monitoring measurements and potentially improve exposure assessment for population-based health studies. This paper describes a statistical downscaling approach that brings together (1) recent advances in PM2.5 land use regression models utilizing AOD and (2) statistical data fusion techniques for combining air quality data sets that have different spatial resolutions. Statistical downscaling assumes the associations between AOD and PM2.5 concentrations to be spatially and temporally dependent and offers two key advantages. First, it enables us to use gridded AOD data to predict PM2.5 concentrations at spatial point locations. Second, the unified hierarchical framework provides straightforward uncertainty quantification in the predicted PM2.5 concentrations. The proposed methodology is applied to a data set of daily AOD values in southeastern United States during the period 2003–2005. Via cross-validation experiments, our model had an out-of-sample prediction R2 of 0.78 and a root mean-squared error (RMSE) of 3.61 μg/m3 between observed and predicted daily PM2.5 concentrations. This corresponds to a 10% decrease in RMSE compared with the same land use regression model without AOD as a predictor. Prediction performances of spatial–temporal interpolations to locations and on days without monitoring PM2.5 measurements were also examined.","container-title":"Journal of Exposure Science and Environmental Epidemiology","DOI":"10.1038/jes.2013.90","ISSN":"1559-0631","issue":"4","journalAbbreviation":"J Expos Sci Environ Epidemiol","language":"en","license":"© 2013 Nature Publishing Group","page":"398-404","source":"www.nature.com","title":"Calibrating MODIS aerosol optical depth for predicting daily PM2.5 concentrations via statistical downscaling","volume":"24","author":[{"family":"Chang","given":"Howard H."},{"family":"Hu","given":"Xuefei"},{"family":"Liu","given":"Yang"}],"issued":{"date-parts":[["2014",7]]},"citation-key":"changCalibratingMODISAerosol2014"}},{"id":562,"uris":["http://zotero.org/groups/4584967/items/2UYHK8BH"],"itemData":{"id":562,"type":"article-journal","abstract":"China is faced with increasing ozone pollution due to rapid economic development and urbanization. Although the ground monitoring network provides continuous real-time ozone measurements, its practical applications are limited due to sparse spatial distribution. The monitoring network coupling with various data and the machine learning algorithms is a promising approach to estimate surface ozone concentrations. However, previous studies on ozone estimation in China are restricted to small study scale, low spatial resolution and low predictive ability. The study aims to 1) improve the accuracy of surface ozone estimates across China using an iterative random forest (RF) model, more recent ground monitoring data and high-resolution grid meteorological data, and 2) estimate the daily max 8-h average ozone concentrations across China during 2008–2019 at a spatial resolution of 0.0625°. The iterative RF model showed that the sample-based and site-based cross-validation (CV) R2 were 0.84 and 0.79, respectively, indicating higher accuracy than the single RF model and previous studies. Daily max 8-h average ozone data product across China was estimated during 2008–2019 with an improved spatial resolution of 0.0625°. The newly generated ozone data product shows great potential in future studies to assess the short-term and long-term health effect of ozone pollution.","container-title":"Sustainable Cities and Society","DOI":"10.1016/j.scs.2021.102807","ISSN":"2210-6707","journalAbbreviation":"Sustainable Cities and Society","page":"102807","source":"ScienceDirect","title":"Improving satellite-based estimation of surface ozone across China during 2008–2019 using iterative random forest model and high-resolution grid meteorological data","volume":"69","author":[{"family":"Chen","given":"Gongbo"},{"family":"Chen","given":"Jiang"},{"family":"Dong","given":"Guang-hui"},{"family":"Yang","given":"Bo-yi"},{"family":"Liu","given":"Yisi"},{"family":"Lu","given":"Tianjun"},{"family":"Yu","given":"Pei"},{"family":"Guo","given":"Yuming"},{"family":"Li","given":"Shanshan"}],"issued":{"date-parts":[["2021",6,1]]},"citation-key":"chenImprovingSatellitebasedEstimation2021"}},{"id":565,"uris":["http://zotero.org/groups/4584967/items/CJ6MVGLE"],"itemData":{"id":565,"type":"paper-conference","abstract":"The growing availability of spatially resolved health data sets (i.e., resident and county level patient records) requires spatially resolved exposure or air quality metrics to investigate the impact of air pollution on health outcomes. While daily air quality data are essential in time-series epidemiologic analysis, the spatial distribution of the observations is limited. Air pollution modeling (i.e., chemical transport modeling (CTM)) addresses this by producing spatially resolved air quality predictions using terrain, emissions and meteorology inputs. However, predicted concentrations may be biased. This work incorporates unique data fusion approaches to combine air quality observations from regulatory monitoring networks (OBS) with the output from a CTM (CMAQ) to generate spatially and temporally resolved gaseous and PM species concentrations. Species concentrations alone cannot directly identify emission sources or characterize pollutant mixtures, therefore source apportionment (SA) models are required to estimate source impacts. The focus of this work is a comparison of SA results for three U.S. regions with differing air pollution sources, St. Louis, Missouri; Atlanta, Georgia; and Dallas-Fort Worth, Texas.","collection-title":"Springer Proceedings in Complexity","container-title":"Air Pollution Modeling and its Application XXIII","DOI":"10.1007/978-3-319-04379-1_4","event-place":"Cham","ISBN":"978-3-319-04379-1","language":"en","page":"25-30","publisher":"Springer International Publishing","publisher-place":"Cham","source":"Springer Link","title":"Improved Spatiotemporal Source-Based Air Pollutant Mixture Characterization for Health Studies","author":[{"family":"Holmes","given":"Heather A."},{"family":"Zhai","given":"Xinxin"},{"family":"Redman","given":"Jeremiah"},{"family":"Digby","given":"Kyle"},{"family":"Ivey","given":"Cesunica"},{"family":"Balachandran","given":"Sivaraman"},{"family":"Sororian","given":"Sheila A."},{"family":"Friberg","given":"Mariel"},{"family":"Zhang","given":"Wenxian"},{"family":"Maier","given":"Marissa L."},{"family":"Hu","given":"Yongtao"},{"family":"Russell","given":"Armistead G."},{"family":"Mulholland","given":"James A."},{"family":"Chang","given":"Howard H."}],"editor":[{"family":"Steyn","given":"Douw"},{"family":"Mathur","given":"Rohit"}],"issued":{"date-parts":[["2014"]]},"citation-key":"holmesImprovedSpatiotemporalSourceBased2014"}},{"id":564,"uris":["http://zotero.org/groups/4584967/items/GVC26THM"],"itemData":{"id":564,"type":"article-journal","abstract":"Long-term PM2.5 exposure has been associated with various adverse health outcomes. However, most ground monitors are located in urban areas, leading to a potentially biased representation of true regional PM2.5 levels. To facilitate epidemiological studies, accurate estimates of the spatiotemporally continuous distribution of PM2.5 concentrations are important. Satellite-retrieved aerosol optical depth (AOD) has been increasingly used for PM2.5 concentration estimation due to its comprehensive spatial coverage. Nevertheless, previous studies indicated that an inherent disadvantage of many AOD products is their coarse spatial resolution. For instance, the available spatial resolutions of the Moderate Resolution Imaging Spectroradiometer (MODIS) and the Multiangle Imaging SpectroRadiometer (MISR) AOD products are 10 and 17.6 km, respectively. In this paper, a new AOD product with 1 km spatial resolution retrieved by the multi-angle implementation of atmospheric correction (MAIAC) algorithm based on MODIS measurements was used. A two-stage model was developed to account for both spatial and temporal variability in the PM2.5–AOD relationship by incorporating the MAIAC AOD, meteorological fields, and land use variables as predictors. Our study area is in the southeastern US centered at the Atlanta metro area, and data from 2001 to 2010 were collected from various sources. The model was fitted annually, and we obtained model fitting R2 ranging from 0.71 to 0.85, mean prediction error (MPE) from 1.73 to 2.50 μg m−3, and root mean squared prediction error (RMSPE) from 2.75 to 4.10 μg m−3. In addition, we found cross-validation R2 ranging from 0.62 to 0.78, MPE from 2.00 to 3.01 μg m−3, and RMSPE from 3.12 to 5.00 μg m−3, indicating a good agreement between the estimated and observed values. Spatial trends showed that high PM2.5 levels occurred in urban areas and along major highways, while low concentrations appeared in rural or mountainous areas. Our time-series analysis showed that, for the 10-year study period, the PM2.5 levels in the southeastern US have decreased by ~20%. The annual decrease has been relatively steady from 2001 to 2007 and from 2008 to 2010 while a significant drop occurred between 2007 and 2008. An observed increase in PM2.5 levels in year 2005 is attributed to elevated sulfate concentrations in the study area in warm months of 2005.","container-title":"Atmospheric Chemistry and Physics","DOI":"10.5194/acp-14-6301-2014","ISSN":"1680-7316","issue":"12","language":"English","note":"publisher: Copernicus GmbH","page":"6301-6314","source":"Copernicus Online Journals","title":"10-year spatial and temporal trends of PM&lt;sub&gt;2.5&lt;/sub&gt; concentrations in the southeastern US estimated using high-resolution satellite data","volume":"14","author":[{"family":"Hu","given":"X."},{"family":"Waller","given":"L. A."},{"family":"Lyapustin","given":"A."},{"family":"Wang","given":"Y."},{"family":"Liu","given":"Y."}],"issued":{"date-parts":[["2014",6,25]]},"citation-key":"hu10yearSpatialTemporal2014"}},{"id":564,"uris":["http://zotero.org/groups/4584967/items/GVC26THM"],"itemData":{"id":564,"type":"article-journal","abstract":"Long-term PM2.5 exposure has been associated with various adverse health outcomes. However, most ground monitors are located in urban areas, leading to a potentially biased representation of true regional PM2.5 levels. To facilitate epidemiological studies, accurate estimates of the spatiotemporally continuous distribution of PM2.5 concentrations are important. Satellite-retrieved aerosol optical depth (AOD) has been increasingly used for PM2.5 concentration estimation due to its comprehensive spatial coverage. Nevertheless, previous studies indicated that an inherent disadvantage of many AOD products is their coarse spatial resolution. For instance, the available spatial resolutions of the Moderate Resolution Imaging Spectroradiometer (MODIS) and the Multiangle Imaging SpectroRadiometer (MISR) AOD products are 10 and 17.6 km, respectively. In this paper, a new AOD product with 1 km spatial resolution retrieved by the multi-angle implementation of atmospheric correction (MAIAC) algorithm based on MODIS measurements was used. A two-stage model was developed to account for both spatial and temporal variability in the PM2.5–AOD relationship by incorporating the MAIAC AOD, meteorological fields, and land use variables as predictors. Our study area is in the southeastern US centered at the Atlanta metro area, and data from 2001 to 2010 were collected from various sources. The model was fitted annually, and we obtained model fitting R2 ranging from 0.71 to 0.85, mean prediction error (MPE) from 1.73 to 2.50 μg m−3, and root mean squared prediction error (RMSPE) from 2.75 to 4.10 μg m−3. In addition, we found cross-validation R2 ranging from 0.62 to 0.78, MPE from 2.00 to 3.01 μg m−3, and RMSPE from 3.12 to 5.00 μg m−3, indicating a good agreement between the estimated and observed values. Spatial trends showed that high PM2.5 levels occurred in urban areas and along major highways, while low concentrations appeared in rural or mountainous areas. Our time-series analysis showed that, for the 10-year study period, the PM2.5 levels in the southeastern US have decreased by ~20%. The annual decrease has been relatively steady from 2001 to 2007 and from 2008 to 2010 while a significant drop occurred between 2007 and 2008. An observed increase in PM2.5 levels in year 2005 is attributed to elevated sulfate concentrations in the study area in warm months of 2005.","container-title":"Atmospheric Chemistry and Physics","DOI":"10.5194/acp-14-6301-2014","ISSN":"1680-7316","issue":"12","language":"English","note":"publisher: Copernicus GmbH","page":"6301-6314","source":"Copernicus Online Journals","title":"10-year spatial and temporal trends of PM&lt;sub&gt;2.5&lt;/sub&gt; concentrations in the southeastern US estimated using high-resolution satellite data","volume":"14","author":[{"family":"Hu","given":"X."},{"family":"Waller","given":"L. A."},{"family":"Lyapustin","given":"A."},{"family":"Wang","given":"Y."},{"family":"Liu","given":"Y."}],"issued":{"date-parts":[["2014",6,25]]},"citation-key":"hu10yearSpatialTemporal2014"}},{"id":244,"uris":["http://zotero.org/groups/4584967/items/GGDBFIXI"],"itemData":{"id":244,"type":"article-journal","abstract":"Previous studies showed that fine particulate matter (PM2.5, particles smaller than 2.5μm in aerodynamic diameter) is associated with various health outcomes. Ground in situ measurements of PM2.5 concentrations are considered to be the gold standard, but are time-consuming and costly. Satellite-retrieved aerosol optical depth (AOD) products have the potential to supplement the ground monitoring networks to provide spatiotemporally-resolved PM2.5 exposure estimates. However, the coarse resolutions (e.g., 10km) of the satellite AOD products used in previous studies make it very difficult to estimate urban-scale PM2.5 characteristics that are crucial to population-based PM2.5 health effects research. In this paper, a new aerosol product with 1km spatial resolution derived by the Multi-Angle Implementation of Atmospheric Correction (MAIAC) algorithm was examined using a two-stage spatial statistical model with meteorological fields (e.g., wind speed) and land use parameters (e.g., forest cover, road length, elevation, and point emissions) as ancillary variables to estimate daily mean PM2.5 concentrations. The study area is the southeastern U.S., and data for 2003 were collected from various sources. A cross validation approach was implemented for model validation. We obtained R2 of 0.83, mean prediction error (MPE) of 1.89μg/m3, and square root of the mean squared prediction errors (RMSPE) of 2.73μg/m3 in model fitting, and R2 of 0.67, MPE of 2.54μg/m3, and RMSPE of 3.88μg/m3 in cross validation. Both model fitting and cross validation indicate a good fit between the dependent variable and predictor variables. The results showed that 1km spatial resolution MAIAC AOD can be used to estimate PM2.5 concentrations.","container-title":"Remote Sensing of Environment","DOI":"10.1016/j.rse.2013.08.032","ISSN":"0034-4257","journalAbbreviation":"Remote Sensing of Environment","language":"en","page":"220-232","source":"ScienceDirect","title":"Estimating ground-level PM2.5 concentrations in the Southeastern United States using MAIAC AOD retrievals and a two-stage model","volume":"140","author":[{"family":"Hu","given":"Xuefei"},{"family":"Waller","given":"Lance A."},{"family":"Lyapustin","given":"Alexei"},{"family":"Wang","given":"Yujie"},{"family":"Al-Hamdan","given":"Mohammad Z."},{"family":"Crosson","given":"William L."},{"family":"Estes","given":"Maurice G."},{"family":"Estes","given":"Sue M."},{"family":"Quattrochi","given":"Dale A."},{"family":"Puttaswamy","given":"Sweta Jinnagara"},{"family":"Liu","given":"Yang"}],"issued":{"date-parts":[["2014",1,1]]},"citation-key":"huEstimatingGroundlevelPM22014"}}],"schema":"https://github.com/citation-style-language/schema/raw/master/csl-citation.json"} </w:instrText>
      </w:r>
      <w:r w:rsidR="00F85C46">
        <w:rPr>
          <w:rFonts w:eastAsia="Times New Roman" w:cs="Times New Roman"/>
          <w:color w:val="000000"/>
          <w:szCs w:val="24"/>
        </w:rPr>
        <w:fldChar w:fldCharType="separate"/>
      </w:r>
      <w:r w:rsidR="00791C3D" w:rsidRPr="00791C3D">
        <w:rPr>
          <w:rFonts w:cs="Times New Roman"/>
        </w:rPr>
        <w:t>(Chang et al., 2014; Chen et al., 2021; Holmes et al., 2014; Hu et al., 2014, 2014; Hu et al., 2014)</w:t>
      </w:r>
      <w:r w:rsidR="00F85C46">
        <w:rPr>
          <w:rFonts w:eastAsia="Times New Roman" w:cs="Times New Roman"/>
          <w:color w:val="000000"/>
          <w:szCs w:val="24"/>
        </w:rPr>
        <w:fldChar w:fldCharType="end"/>
      </w:r>
      <w:r w:rsidR="00CE7E07" w:rsidRPr="00CE7E07">
        <w:rPr>
          <w:rFonts w:eastAsia="Times New Roman" w:cs="Times New Roman"/>
          <w:color w:val="000000"/>
          <w:szCs w:val="24"/>
        </w:rPr>
        <w:t>. These studies have shown promising results. For instance, Hu</w:t>
      </w:r>
      <w:r w:rsidR="00E16870">
        <w:rPr>
          <w:rFonts w:eastAsia="Times New Roman" w:cs="Times New Roman"/>
          <w:color w:val="000000"/>
          <w:szCs w:val="24"/>
        </w:rPr>
        <w:t xml:space="preserve"> et al., (2014)</w:t>
      </w:r>
      <w:r w:rsidR="00CE7E07" w:rsidRPr="00CE7E07">
        <w:rPr>
          <w:rFonts w:eastAsia="Times New Roman" w:cs="Times New Roman"/>
          <w:color w:val="000000"/>
          <w:szCs w:val="24"/>
        </w:rPr>
        <w:t xml:space="preserve"> showed that it is possible to estimate surface PM</w:t>
      </w:r>
      <w:r w:rsidR="00CE7E07" w:rsidRPr="00B04A2F">
        <w:rPr>
          <w:rFonts w:eastAsia="Times New Roman" w:cs="Times New Roman"/>
          <w:color w:val="000000"/>
          <w:szCs w:val="24"/>
          <w:vertAlign w:val="subscript"/>
        </w:rPr>
        <w:t>2.5</w:t>
      </w:r>
      <w:r w:rsidR="00CE7E07" w:rsidRPr="00CE7E07">
        <w:rPr>
          <w:rFonts w:eastAsia="Times New Roman" w:cs="Times New Roman"/>
          <w:color w:val="000000"/>
          <w:szCs w:val="24"/>
        </w:rPr>
        <w:t xml:space="preserve"> at 1 km resolution in the southeastern United States using MAIAC AOD as the primary estimator and a two-stage model that combines a linear effects model with a geographically weighted regression. They achieved an R</w:t>
      </w:r>
      <w:r w:rsidR="00CE7E07" w:rsidRPr="00B04A2F">
        <w:rPr>
          <w:rFonts w:eastAsia="Times New Roman" w:cs="Times New Roman"/>
          <w:color w:val="000000"/>
          <w:szCs w:val="24"/>
          <w:vertAlign w:val="superscript"/>
        </w:rPr>
        <w:t>2</w:t>
      </w:r>
      <w:r w:rsidR="001143D4">
        <w:rPr>
          <w:rFonts w:eastAsia="Times New Roman" w:cs="Times New Roman"/>
          <w:color w:val="000000"/>
          <w:szCs w:val="24"/>
        </w:rPr>
        <w:t>~</w:t>
      </w:r>
      <w:r w:rsidR="00CE7E07" w:rsidRPr="00CE7E07">
        <w:rPr>
          <w:rFonts w:eastAsia="Times New Roman" w:cs="Times New Roman"/>
          <w:color w:val="000000"/>
          <w:szCs w:val="24"/>
        </w:rPr>
        <w:t xml:space="preserve">0.67, </w:t>
      </w:r>
      <w:r w:rsidR="00C16C25">
        <w:rPr>
          <w:rFonts w:eastAsia="Times New Roman" w:cs="Times New Roman"/>
          <w:color w:val="000000"/>
          <w:szCs w:val="24"/>
        </w:rPr>
        <w:t xml:space="preserve">a </w:t>
      </w:r>
      <w:r w:rsidR="00CE7E07" w:rsidRPr="00CE7E07">
        <w:rPr>
          <w:rFonts w:eastAsia="Times New Roman" w:cs="Times New Roman"/>
          <w:color w:val="000000"/>
          <w:szCs w:val="24"/>
        </w:rPr>
        <w:t xml:space="preserve">mean prediction error </w:t>
      </w:r>
      <w:r w:rsidR="00C16C25">
        <w:rPr>
          <w:rFonts w:eastAsia="Times New Roman" w:cs="Times New Roman"/>
          <w:color w:val="000000"/>
          <w:szCs w:val="24"/>
        </w:rPr>
        <w:t>MPE</w:t>
      </w:r>
      <w:r w:rsidR="001143D4">
        <w:rPr>
          <w:rFonts w:eastAsia="Times New Roman" w:cs="Times New Roman"/>
          <w:color w:val="000000"/>
          <w:szCs w:val="24"/>
        </w:rPr>
        <w:t>~</w:t>
      </w:r>
      <w:r w:rsidR="00CE7E07" w:rsidRPr="00CE7E07">
        <w:rPr>
          <w:rFonts w:eastAsia="Times New Roman" w:cs="Times New Roman"/>
          <w:color w:val="000000"/>
          <w:szCs w:val="24"/>
        </w:rPr>
        <w:t>2.54 μgm</w:t>
      </w:r>
      <w:r w:rsidR="00C16C25">
        <w:rPr>
          <w:rFonts w:eastAsia="Times New Roman" w:cs="Times New Roman"/>
          <w:color w:val="000000"/>
          <w:szCs w:val="24"/>
          <w:vertAlign w:val="superscript"/>
        </w:rPr>
        <w:t>-3</w:t>
      </w:r>
      <w:r w:rsidR="00CE7E07" w:rsidRPr="00CE7E07">
        <w:rPr>
          <w:rFonts w:eastAsia="Times New Roman" w:cs="Times New Roman"/>
          <w:color w:val="000000"/>
          <w:szCs w:val="24"/>
        </w:rPr>
        <w:t>, and a root mean squared prediction error</w:t>
      </w:r>
      <w:r w:rsidR="00C16C25">
        <w:rPr>
          <w:rFonts w:eastAsia="Times New Roman" w:cs="Times New Roman"/>
          <w:color w:val="000000"/>
          <w:szCs w:val="24"/>
        </w:rPr>
        <w:t xml:space="preserve"> RMSE</w:t>
      </w:r>
      <w:r w:rsidR="001143D4">
        <w:rPr>
          <w:rFonts w:eastAsia="Times New Roman" w:cs="Times New Roman"/>
          <w:color w:val="000000"/>
          <w:szCs w:val="24"/>
        </w:rPr>
        <w:t>~</w:t>
      </w:r>
      <w:r w:rsidR="00CE7E07" w:rsidRPr="00CE7E07">
        <w:rPr>
          <w:rFonts w:eastAsia="Times New Roman" w:cs="Times New Roman"/>
          <w:color w:val="000000"/>
          <w:szCs w:val="24"/>
        </w:rPr>
        <w:t>3.88 μgm</w:t>
      </w:r>
      <w:r w:rsidR="00C16C25">
        <w:rPr>
          <w:rFonts w:eastAsia="Times New Roman" w:cs="Times New Roman"/>
          <w:color w:val="000000"/>
          <w:szCs w:val="24"/>
          <w:vertAlign w:val="superscript"/>
        </w:rPr>
        <w:t>-3</w:t>
      </w:r>
      <w:r w:rsidR="00CE7E07" w:rsidRPr="00CE7E07">
        <w:rPr>
          <w:rFonts w:eastAsia="Times New Roman" w:cs="Times New Roman"/>
          <w:color w:val="000000"/>
          <w:szCs w:val="24"/>
        </w:rPr>
        <w:t xml:space="preserve"> in </w:t>
      </w:r>
      <w:r w:rsidR="00C16C25" w:rsidRPr="00CE7E07">
        <w:rPr>
          <w:rFonts w:eastAsia="Times New Roman" w:cs="Times New Roman"/>
          <w:color w:val="000000"/>
          <w:szCs w:val="24"/>
        </w:rPr>
        <w:t>cross</w:t>
      </w:r>
      <w:r w:rsidR="00C16C25">
        <w:rPr>
          <w:rFonts w:eastAsia="Times New Roman" w:cs="Times New Roman"/>
          <w:color w:val="000000"/>
          <w:szCs w:val="24"/>
        </w:rPr>
        <w:t>-</w:t>
      </w:r>
      <w:r w:rsidR="00CE7E07" w:rsidRPr="00CE7E07">
        <w:rPr>
          <w:rFonts w:eastAsia="Times New Roman" w:cs="Times New Roman"/>
          <w:color w:val="000000"/>
          <w:szCs w:val="24"/>
        </w:rPr>
        <w:t>validation. However, Hu</w:t>
      </w:r>
      <w:r w:rsidR="00C16C25">
        <w:rPr>
          <w:rFonts w:eastAsia="Times New Roman" w:cs="Times New Roman"/>
          <w:color w:val="000000"/>
          <w:szCs w:val="24"/>
        </w:rPr>
        <w:t xml:space="preserve"> et al., (2014)</w:t>
      </w:r>
      <w:r w:rsidR="00CE7E07" w:rsidRPr="00CE7E07">
        <w:rPr>
          <w:rFonts w:eastAsia="Times New Roman" w:cs="Times New Roman"/>
          <w:color w:val="000000"/>
          <w:szCs w:val="24"/>
        </w:rPr>
        <w:t xml:space="preserve"> note</w:t>
      </w:r>
      <w:r w:rsidR="00C16C25">
        <w:rPr>
          <w:rFonts w:eastAsia="Times New Roman" w:cs="Times New Roman"/>
          <w:color w:val="000000"/>
          <w:szCs w:val="24"/>
        </w:rPr>
        <w:t>d</w:t>
      </w:r>
      <w:r w:rsidR="00DB6AB7">
        <w:rPr>
          <w:rFonts w:eastAsia="Times New Roman" w:cs="Times New Roman"/>
          <w:color w:val="000000"/>
          <w:szCs w:val="24"/>
        </w:rPr>
        <w:t>,</w:t>
      </w:r>
      <w:r w:rsidR="00CE7E07" w:rsidRPr="00CE7E07">
        <w:rPr>
          <w:rFonts w:eastAsia="Times New Roman" w:cs="Times New Roman"/>
          <w:color w:val="000000"/>
          <w:szCs w:val="24"/>
        </w:rPr>
        <w:t xml:space="preserve"> “a limitation of the developed approach is the lack of a method to fill the gaps in areas where AOD is not retrieved”.</w:t>
      </w:r>
    </w:p>
    <w:p w14:paraId="17A811A4" w14:textId="29B0510C" w:rsidR="00CE7E07" w:rsidRPr="00CE7E07" w:rsidRDefault="003C2BBC" w:rsidP="00CE7E07">
      <w:pPr>
        <w:spacing w:after="240"/>
        <w:ind w:firstLine="720"/>
        <w:rPr>
          <w:rFonts w:eastAsia="Times New Roman" w:cs="Times New Roman"/>
          <w:szCs w:val="24"/>
        </w:rPr>
      </w:pPr>
      <w:r>
        <w:rPr>
          <w:rFonts w:eastAsia="Times New Roman" w:cs="Times New Roman"/>
          <w:color w:val="000000"/>
          <w:szCs w:val="24"/>
        </w:rPr>
        <w:t>Chang et al., (2014)</w:t>
      </w:r>
      <w:r w:rsidR="00CE7E07" w:rsidRPr="00CE7E07">
        <w:rPr>
          <w:rFonts w:eastAsia="Times New Roman" w:cs="Times New Roman"/>
          <w:color w:val="000000"/>
          <w:szCs w:val="24"/>
        </w:rPr>
        <w:t xml:space="preserve"> introduced a statistical downsampling method </w:t>
      </w:r>
      <w:r>
        <w:rPr>
          <w:rFonts w:eastAsia="Times New Roman" w:cs="Times New Roman"/>
          <w:color w:val="000000"/>
          <w:szCs w:val="24"/>
        </w:rPr>
        <w:t>that</w:t>
      </w:r>
      <w:r w:rsidRPr="00CE7E07">
        <w:rPr>
          <w:rFonts w:eastAsia="Times New Roman" w:cs="Times New Roman"/>
          <w:color w:val="000000"/>
          <w:szCs w:val="24"/>
        </w:rPr>
        <w:t xml:space="preserve"> </w:t>
      </w:r>
      <w:r w:rsidR="00CE7E07" w:rsidRPr="00CE7E07">
        <w:rPr>
          <w:rFonts w:eastAsia="Times New Roman" w:cs="Times New Roman"/>
          <w:color w:val="000000"/>
          <w:szCs w:val="24"/>
        </w:rPr>
        <w:t>he used to evaluate MODIS DT AOD as a predictor for daily surface PM</w:t>
      </w:r>
      <w:r w:rsidR="00CE7E07" w:rsidRPr="00B04A2F">
        <w:rPr>
          <w:rFonts w:eastAsia="Times New Roman" w:cs="Times New Roman"/>
          <w:color w:val="000000"/>
          <w:szCs w:val="24"/>
          <w:vertAlign w:val="subscript"/>
        </w:rPr>
        <w:t>2.5</w:t>
      </w:r>
      <w:r w:rsidR="00CE7E07" w:rsidRPr="00CE7E07">
        <w:rPr>
          <w:rFonts w:eastAsia="Times New Roman" w:cs="Times New Roman"/>
          <w:color w:val="000000"/>
          <w:szCs w:val="24"/>
        </w:rPr>
        <w:t>. Chang’s</w:t>
      </w:r>
      <w:r w:rsidR="00A659C7">
        <w:rPr>
          <w:rFonts w:eastAsia="Times New Roman" w:cs="Times New Roman"/>
          <w:color w:val="000000"/>
          <w:szCs w:val="24"/>
        </w:rPr>
        <w:t xml:space="preserve"> </w:t>
      </w:r>
      <w:r w:rsidR="00CE7E07" w:rsidRPr="00CE7E07">
        <w:rPr>
          <w:rFonts w:eastAsia="Times New Roman" w:cs="Times New Roman"/>
          <w:color w:val="000000"/>
          <w:szCs w:val="24"/>
        </w:rPr>
        <w:t xml:space="preserve">study was conducted over a region in the southeastern United States from 2003-2005. </w:t>
      </w:r>
      <w:r w:rsidR="000975B5">
        <w:rPr>
          <w:rFonts w:eastAsia="Times New Roman" w:cs="Times New Roman"/>
          <w:color w:val="000000"/>
          <w:szCs w:val="24"/>
        </w:rPr>
        <w:t>Approximately 43% of the data from AOD grid cells collocated with PM</w:t>
      </w:r>
      <w:r w:rsidR="000975B5">
        <w:rPr>
          <w:rFonts w:eastAsia="Times New Roman" w:cs="Times New Roman"/>
          <w:color w:val="000000"/>
          <w:szCs w:val="24"/>
          <w:vertAlign w:val="subscript"/>
        </w:rPr>
        <w:t>2.5</w:t>
      </w:r>
      <w:r w:rsidR="000975B5">
        <w:rPr>
          <w:rFonts w:eastAsia="Times New Roman" w:cs="Times New Roman"/>
          <w:color w:val="000000"/>
          <w:szCs w:val="24"/>
        </w:rPr>
        <w:t xml:space="preserve"> monitoring stations was missing in this study. </w:t>
      </w:r>
      <w:r w:rsidR="00CE7E07" w:rsidRPr="00CE7E07">
        <w:rPr>
          <w:rFonts w:eastAsia="Times New Roman" w:cs="Times New Roman"/>
          <w:color w:val="000000"/>
          <w:szCs w:val="24"/>
        </w:rPr>
        <w:t xml:space="preserve">Various permutations of datasets were tested as inputs, namely MODIS AOD, land use variables like elevation and proximity to roads, and daily meteorological variables. Using 10-fold </w:t>
      </w:r>
      <w:r w:rsidR="00E62378" w:rsidRPr="00CE7E07">
        <w:rPr>
          <w:rFonts w:eastAsia="Times New Roman" w:cs="Times New Roman"/>
          <w:color w:val="000000"/>
          <w:szCs w:val="24"/>
        </w:rPr>
        <w:t>cross</w:t>
      </w:r>
      <w:r w:rsidR="00E62378">
        <w:rPr>
          <w:rFonts w:eastAsia="Times New Roman" w:cs="Times New Roman"/>
          <w:color w:val="000000"/>
          <w:szCs w:val="24"/>
        </w:rPr>
        <w:t>-</w:t>
      </w:r>
      <w:r w:rsidR="00CE7E07" w:rsidRPr="00CE7E07">
        <w:rPr>
          <w:rFonts w:eastAsia="Times New Roman" w:cs="Times New Roman"/>
          <w:color w:val="000000"/>
          <w:szCs w:val="24"/>
        </w:rPr>
        <w:t>validation, Chang</w:t>
      </w:r>
      <w:r w:rsidR="009B3824">
        <w:rPr>
          <w:rFonts w:eastAsia="Times New Roman" w:cs="Times New Roman"/>
          <w:color w:val="000000"/>
          <w:szCs w:val="24"/>
        </w:rPr>
        <w:t xml:space="preserve"> et al., (2014)</w:t>
      </w:r>
      <w:r w:rsidR="00CE7E07" w:rsidRPr="00CE7E07">
        <w:rPr>
          <w:rFonts w:eastAsia="Times New Roman" w:cs="Times New Roman"/>
          <w:color w:val="000000"/>
          <w:szCs w:val="24"/>
        </w:rPr>
        <w:t xml:space="preserve"> found that the model trained on all inputs and the model trained on just meteorological variables and AOD performed the best, both achieving an RMSE</w:t>
      </w:r>
      <w:r w:rsidR="00B31A2F">
        <w:rPr>
          <w:rFonts w:eastAsia="Times New Roman" w:cs="Times New Roman"/>
          <w:color w:val="000000"/>
          <w:szCs w:val="24"/>
        </w:rPr>
        <w:t>~</w:t>
      </w:r>
      <w:r w:rsidR="00CE7E07" w:rsidRPr="00CE7E07">
        <w:rPr>
          <w:rFonts w:eastAsia="Times New Roman" w:cs="Times New Roman"/>
          <w:color w:val="000000"/>
          <w:szCs w:val="24"/>
        </w:rPr>
        <w:t>3.71 μgm</w:t>
      </w:r>
      <w:r w:rsidR="009B3824">
        <w:rPr>
          <w:rFonts w:eastAsia="Times New Roman" w:cs="Times New Roman"/>
          <w:color w:val="000000"/>
          <w:szCs w:val="24"/>
          <w:vertAlign w:val="superscript"/>
        </w:rPr>
        <w:t>-3</w:t>
      </w:r>
      <w:r w:rsidR="00CE7E07" w:rsidRPr="00CE7E07">
        <w:rPr>
          <w:rFonts w:eastAsia="Times New Roman" w:cs="Times New Roman"/>
          <w:color w:val="000000"/>
          <w:szCs w:val="24"/>
        </w:rPr>
        <w:t xml:space="preserve"> and an R</w:t>
      </w:r>
      <w:r w:rsidR="00CE7E07" w:rsidRPr="00B04A2F">
        <w:rPr>
          <w:rFonts w:eastAsia="Times New Roman" w:cs="Times New Roman"/>
          <w:color w:val="000000"/>
          <w:szCs w:val="24"/>
          <w:vertAlign w:val="superscript"/>
        </w:rPr>
        <w:t>2</w:t>
      </w:r>
      <w:r w:rsidR="00B31A2F">
        <w:rPr>
          <w:rFonts w:eastAsia="Times New Roman" w:cs="Times New Roman"/>
          <w:color w:val="000000"/>
          <w:szCs w:val="24"/>
        </w:rPr>
        <w:t>~</w:t>
      </w:r>
      <w:r w:rsidR="00CE7E07" w:rsidRPr="00CE7E07">
        <w:rPr>
          <w:rFonts w:eastAsia="Times New Roman" w:cs="Times New Roman"/>
          <w:color w:val="000000"/>
          <w:szCs w:val="24"/>
        </w:rPr>
        <w:t xml:space="preserve">0.71. The </w:t>
      </w:r>
      <w:r w:rsidR="00B31A2F">
        <w:rPr>
          <w:rFonts w:eastAsia="Times New Roman" w:cs="Times New Roman"/>
          <w:color w:val="000000"/>
          <w:szCs w:val="24"/>
        </w:rPr>
        <w:t>lowest</w:t>
      </w:r>
      <w:r w:rsidR="00B31A2F" w:rsidRPr="00CE7E07">
        <w:rPr>
          <w:rFonts w:eastAsia="Times New Roman" w:cs="Times New Roman"/>
          <w:color w:val="000000"/>
          <w:szCs w:val="24"/>
        </w:rPr>
        <w:t xml:space="preserve"> </w:t>
      </w:r>
      <w:r w:rsidR="00CE7E07" w:rsidRPr="00CE7E07">
        <w:rPr>
          <w:rFonts w:eastAsia="Times New Roman" w:cs="Times New Roman"/>
          <w:color w:val="000000"/>
          <w:szCs w:val="24"/>
        </w:rPr>
        <w:t>performing model was trained on just meteorological and land use variables, with an RMSE</w:t>
      </w:r>
      <w:r w:rsidR="001177F2">
        <w:rPr>
          <w:rFonts w:eastAsia="Times New Roman" w:cs="Times New Roman"/>
          <w:color w:val="000000"/>
          <w:szCs w:val="24"/>
        </w:rPr>
        <w:t>~</w:t>
      </w:r>
      <w:r w:rsidR="00CE7E07" w:rsidRPr="00CE7E07">
        <w:rPr>
          <w:rFonts w:eastAsia="Times New Roman" w:cs="Times New Roman"/>
          <w:color w:val="000000"/>
          <w:szCs w:val="24"/>
        </w:rPr>
        <w:t xml:space="preserve"> 4.03 </w:t>
      </w:r>
      <w:r w:rsidR="001177F2" w:rsidRPr="00CE7E07">
        <w:rPr>
          <w:rFonts w:eastAsia="Times New Roman" w:cs="Times New Roman"/>
          <w:color w:val="000000"/>
          <w:szCs w:val="24"/>
        </w:rPr>
        <w:t>μgm</w:t>
      </w:r>
      <w:r w:rsidR="001177F2">
        <w:rPr>
          <w:rFonts w:eastAsia="Times New Roman" w:cs="Times New Roman"/>
          <w:color w:val="000000"/>
          <w:szCs w:val="24"/>
          <w:vertAlign w:val="superscript"/>
        </w:rPr>
        <w:t>-3</w:t>
      </w:r>
      <w:r w:rsidR="00CE7E07" w:rsidRPr="00CE7E07">
        <w:rPr>
          <w:rFonts w:eastAsia="Times New Roman" w:cs="Times New Roman"/>
          <w:color w:val="000000"/>
          <w:szCs w:val="24"/>
        </w:rPr>
        <w:t xml:space="preserve"> and an R</w:t>
      </w:r>
      <w:r w:rsidR="00CE7E07" w:rsidRPr="00B04A2F">
        <w:rPr>
          <w:rFonts w:eastAsia="Times New Roman" w:cs="Times New Roman"/>
          <w:color w:val="000000"/>
          <w:szCs w:val="24"/>
          <w:vertAlign w:val="superscript"/>
        </w:rPr>
        <w:t>2</w:t>
      </w:r>
      <w:r w:rsidR="001177F2">
        <w:rPr>
          <w:rFonts w:eastAsia="Times New Roman" w:cs="Times New Roman"/>
          <w:color w:val="000000"/>
          <w:szCs w:val="24"/>
        </w:rPr>
        <w:t>~</w:t>
      </w:r>
      <w:r w:rsidR="00CE7E07" w:rsidRPr="00CE7E07">
        <w:rPr>
          <w:rFonts w:eastAsia="Times New Roman" w:cs="Times New Roman"/>
          <w:color w:val="000000"/>
          <w:szCs w:val="24"/>
        </w:rPr>
        <w:t>0.72. Chang</w:t>
      </w:r>
      <w:r w:rsidR="001177F2">
        <w:rPr>
          <w:rFonts w:eastAsia="Times New Roman" w:cs="Times New Roman"/>
          <w:color w:val="000000"/>
          <w:szCs w:val="24"/>
        </w:rPr>
        <w:t xml:space="preserve"> et al., (2014)</w:t>
      </w:r>
      <w:r w:rsidR="00CE7E07" w:rsidRPr="00CE7E07">
        <w:rPr>
          <w:rFonts w:eastAsia="Times New Roman" w:cs="Times New Roman"/>
          <w:color w:val="000000"/>
          <w:szCs w:val="24"/>
        </w:rPr>
        <w:t xml:space="preserve"> conclude</w:t>
      </w:r>
      <w:r w:rsidR="001177F2">
        <w:rPr>
          <w:rFonts w:eastAsia="Times New Roman" w:cs="Times New Roman"/>
          <w:color w:val="000000"/>
          <w:szCs w:val="24"/>
        </w:rPr>
        <w:t>d</w:t>
      </w:r>
      <w:r w:rsidR="00CE7E07" w:rsidRPr="00CE7E07">
        <w:rPr>
          <w:rFonts w:eastAsia="Times New Roman" w:cs="Times New Roman"/>
          <w:color w:val="000000"/>
          <w:szCs w:val="24"/>
        </w:rPr>
        <w:t xml:space="preserve"> that satellite AOD can be considered a covariate for predicting daily</w:t>
      </w:r>
      <w:r w:rsidR="00AE5B87">
        <w:rPr>
          <w:rFonts w:eastAsia="Times New Roman" w:cs="Times New Roman"/>
          <w:color w:val="000000"/>
          <w:szCs w:val="24"/>
        </w:rPr>
        <w:t xml:space="preserve"> surface</w:t>
      </w:r>
      <w:r w:rsidR="00CE7E07" w:rsidRPr="00CE7E07">
        <w:rPr>
          <w:rFonts w:eastAsia="Times New Roman" w:cs="Times New Roman"/>
          <w:color w:val="000000"/>
          <w:szCs w:val="24"/>
        </w:rPr>
        <w:t xml:space="preserve"> PM</w:t>
      </w:r>
      <w:r w:rsidR="00CE7E07" w:rsidRPr="00B04A2F">
        <w:rPr>
          <w:rFonts w:eastAsia="Times New Roman" w:cs="Times New Roman"/>
          <w:color w:val="000000"/>
          <w:szCs w:val="24"/>
          <w:vertAlign w:val="subscript"/>
        </w:rPr>
        <w:t>2.5</w:t>
      </w:r>
      <w:r w:rsidR="00CE7E07" w:rsidRPr="00CE7E07">
        <w:rPr>
          <w:rFonts w:eastAsia="Times New Roman" w:cs="Times New Roman"/>
          <w:color w:val="000000"/>
          <w:szCs w:val="24"/>
        </w:rPr>
        <w:t xml:space="preserve"> concentrations, but also notes that a </w:t>
      </w:r>
      <w:r w:rsidR="00AE5B87">
        <w:rPr>
          <w:rFonts w:eastAsia="Times New Roman" w:cs="Times New Roman"/>
          <w:color w:val="000000"/>
          <w:szCs w:val="24"/>
        </w:rPr>
        <w:t>significant</w:t>
      </w:r>
      <w:r w:rsidR="00AE5B87" w:rsidRPr="00CE7E07">
        <w:rPr>
          <w:rFonts w:eastAsia="Times New Roman" w:cs="Times New Roman"/>
          <w:color w:val="000000"/>
          <w:szCs w:val="24"/>
        </w:rPr>
        <w:t xml:space="preserve"> </w:t>
      </w:r>
      <w:r w:rsidR="00CE7E07" w:rsidRPr="00CE7E07">
        <w:rPr>
          <w:rFonts w:eastAsia="Times New Roman" w:cs="Times New Roman"/>
          <w:color w:val="000000"/>
          <w:szCs w:val="24"/>
        </w:rPr>
        <w:t>caveat lies in dealing with missing AOD data, where PM</w:t>
      </w:r>
      <w:r w:rsidR="00CE7E07" w:rsidRPr="00B04A2F">
        <w:rPr>
          <w:rFonts w:eastAsia="Times New Roman" w:cs="Times New Roman"/>
          <w:color w:val="000000"/>
          <w:szCs w:val="24"/>
          <w:vertAlign w:val="subscript"/>
        </w:rPr>
        <w:t>2.5</w:t>
      </w:r>
      <w:r w:rsidR="00CE7E07" w:rsidRPr="00CE7E07">
        <w:rPr>
          <w:rFonts w:eastAsia="Times New Roman" w:cs="Times New Roman"/>
          <w:color w:val="000000"/>
          <w:szCs w:val="24"/>
        </w:rPr>
        <w:t xml:space="preserve"> predictions cannot be obtained.</w:t>
      </w:r>
    </w:p>
    <w:p w14:paraId="694AA6F8" w14:textId="5EB1F938" w:rsidR="00CE7E07" w:rsidRPr="00531F04" w:rsidRDefault="000028A3" w:rsidP="00531F04">
      <w:pPr>
        <w:spacing w:after="240"/>
        <w:ind w:firstLine="720"/>
        <w:rPr>
          <w:rFonts w:eastAsia="Times New Roman" w:cs="Times New Roman"/>
          <w:szCs w:val="24"/>
        </w:rPr>
      </w:pPr>
      <w:r>
        <w:rPr>
          <w:rFonts w:eastAsia="Times New Roman" w:cs="Times New Roman"/>
          <w:color w:val="000000"/>
          <w:szCs w:val="24"/>
        </w:rPr>
        <w:t xml:space="preserve">Chen </w:t>
      </w:r>
      <w:r w:rsidR="00422C5B">
        <w:rPr>
          <w:rFonts w:eastAsia="Times New Roman" w:cs="Times New Roman"/>
          <w:color w:val="000000"/>
          <w:szCs w:val="24"/>
        </w:rPr>
        <w:t xml:space="preserve">et al., (2021) compared </w:t>
      </w:r>
      <w:r w:rsidR="00CE7E07" w:rsidRPr="00CE7E07">
        <w:rPr>
          <w:rFonts w:eastAsia="Times New Roman" w:cs="Times New Roman"/>
          <w:color w:val="000000"/>
          <w:szCs w:val="24"/>
        </w:rPr>
        <w:t>the performance of AOD</w:t>
      </w:r>
      <w:r w:rsidR="0082097C">
        <w:rPr>
          <w:rFonts w:eastAsia="Times New Roman" w:cs="Times New Roman"/>
          <w:color w:val="000000"/>
          <w:szCs w:val="24"/>
        </w:rPr>
        <w:t>-based</w:t>
      </w:r>
      <w:r w:rsidR="00CE7E07" w:rsidRPr="00CE7E07">
        <w:rPr>
          <w:rFonts w:eastAsia="Times New Roman" w:cs="Times New Roman"/>
          <w:color w:val="000000"/>
          <w:szCs w:val="24"/>
        </w:rPr>
        <w:t xml:space="preserve"> and non</w:t>
      </w:r>
      <w:r w:rsidR="00E93FE6">
        <w:rPr>
          <w:rFonts w:eastAsia="Times New Roman" w:cs="Times New Roman"/>
          <w:color w:val="000000"/>
          <w:szCs w:val="24"/>
        </w:rPr>
        <w:t>-</w:t>
      </w:r>
      <w:r w:rsidR="00CE7E07" w:rsidRPr="00CE7E07">
        <w:rPr>
          <w:rFonts w:eastAsia="Times New Roman" w:cs="Times New Roman"/>
          <w:color w:val="000000"/>
          <w:szCs w:val="24"/>
        </w:rPr>
        <w:t>AOD</w:t>
      </w:r>
      <w:r w:rsidR="0082097C">
        <w:rPr>
          <w:rFonts w:eastAsia="Times New Roman" w:cs="Times New Roman"/>
          <w:color w:val="000000"/>
          <w:szCs w:val="24"/>
        </w:rPr>
        <w:t>-based</w:t>
      </w:r>
      <w:r w:rsidR="00CE7E07" w:rsidRPr="00CE7E07">
        <w:rPr>
          <w:rFonts w:eastAsia="Times New Roman" w:cs="Times New Roman"/>
          <w:color w:val="000000"/>
          <w:szCs w:val="24"/>
        </w:rPr>
        <w:t xml:space="preserve"> daily surface PM</w:t>
      </w:r>
      <w:r w:rsidR="00CE7E07" w:rsidRPr="00B04A2F">
        <w:rPr>
          <w:rFonts w:eastAsia="Times New Roman" w:cs="Times New Roman"/>
          <w:color w:val="000000"/>
          <w:szCs w:val="24"/>
          <w:vertAlign w:val="subscript"/>
        </w:rPr>
        <w:t>2.5</w:t>
      </w:r>
      <w:r w:rsidR="00CE7E07" w:rsidRPr="00CE7E07">
        <w:rPr>
          <w:rFonts w:eastAsia="Times New Roman" w:cs="Times New Roman"/>
          <w:color w:val="000000"/>
          <w:szCs w:val="24"/>
        </w:rPr>
        <w:t xml:space="preserve"> random forest model</w:t>
      </w:r>
      <w:r w:rsidR="0082097C">
        <w:rPr>
          <w:rFonts w:eastAsia="Times New Roman" w:cs="Times New Roman"/>
          <w:color w:val="000000"/>
          <w:szCs w:val="24"/>
        </w:rPr>
        <w:t>s</w:t>
      </w:r>
      <w:r w:rsidR="00CE7E07" w:rsidRPr="00CE7E07">
        <w:rPr>
          <w:rFonts w:eastAsia="Times New Roman" w:cs="Times New Roman"/>
          <w:color w:val="000000"/>
          <w:szCs w:val="24"/>
        </w:rPr>
        <w:t xml:space="preserve">. The region of interest in this study was Guangdong, China, </w:t>
      </w:r>
      <w:r w:rsidR="00CE7E07" w:rsidRPr="00CE7E07">
        <w:rPr>
          <w:rFonts w:eastAsia="Times New Roman" w:cs="Times New Roman"/>
          <w:color w:val="000000"/>
          <w:szCs w:val="24"/>
        </w:rPr>
        <w:lastRenderedPageBreak/>
        <w:t xml:space="preserve">where satellite AOD data was extremely sparse (around 80% missing) over the study period of 2016-2018. The results showed that the random forest trained with AOD as a predictor barely outperformed the random forest trained without it. In </w:t>
      </w:r>
      <w:r w:rsidR="00D44218" w:rsidRPr="00CE7E07">
        <w:rPr>
          <w:rFonts w:eastAsia="Times New Roman" w:cs="Times New Roman"/>
          <w:color w:val="000000"/>
          <w:szCs w:val="24"/>
        </w:rPr>
        <w:t>cross</w:t>
      </w:r>
      <w:r w:rsidR="00D44218">
        <w:rPr>
          <w:rFonts w:eastAsia="Times New Roman" w:cs="Times New Roman"/>
          <w:color w:val="000000"/>
          <w:szCs w:val="24"/>
        </w:rPr>
        <w:t>-</w:t>
      </w:r>
      <w:r w:rsidR="00CE7E07" w:rsidRPr="00CE7E07">
        <w:rPr>
          <w:rFonts w:eastAsia="Times New Roman" w:cs="Times New Roman"/>
          <w:color w:val="000000"/>
          <w:szCs w:val="24"/>
        </w:rPr>
        <w:t>validation</w:t>
      </w:r>
      <w:r w:rsidR="00EE4216">
        <w:rPr>
          <w:rFonts w:eastAsia="Times New Roman" w:cs="Times New Roman"/>
          <w:color w:val="000000"/>
          <w:szCs w:val="24"/>
        </w:rPr>
        <w:t xml:space="preserve"> for the three years,</w:t>
      </w:r>
      <w:r w:rsidR="00CE7E07" w:rsidRPr="00CE7E07">
        <w:rPr>
          <w:rFonts w:eastAsia="Times New Roman" w:cs="Times New Roman"/>
          <w:color w:val="000000"/>
          <w:szCs w:val="24"/>
        </w:rPr>
        <w:t xml:space="preserve"> the AOD model scored R</w:t>
      </w:r>
      <w:r w:rsidR="00CE7E07" w:rsidRPr="00B04A2F">
        <w:rPr>
          <w:rFonts w:eastAsia="Times New Roman" w:cs="Times New Roman"/>
          <w:color w:val="000000"/>
          <w:szCs w:val="24"/>
          <w:vertAlign w:val="superscript"/>
        </w:rPr>
        <w:t>2</w:t>
      </w:r>
      <w:r w:rsidR="00CE7E07" w:rsidRPr="00CE7E07">
        <w:rPr>
          <w:rFonts w:eastAsia="Times New Roman" w:cs="Times New Roman"/>
          <w:color w:val="000000"/>
          <w:szCs w:val="24"/>
        </w:rPr>
        <w:t xml:space="preserve"> values of </w:t>
      </w:r>
      <w:r w:rsidR="00D44218">
        <w:rPr>
          <w:rFonts w:eastAsia="Times New Roman" w:cs="Times New Roman"/>
          <w:color w:val="000000"/>
          <w:szCs w:val="24"/>
        </w:rPr>
        <w:t>~</w:t>
      </w:r>
      <w:r w:rsidR="00CE7E07" w:rsidRPr="00CE7E07">
        <w:rPr>
          <w:rFonts w:eastAsia="Times New Roman" w:cs="Times New Roman"/>
          <w:color w:val="000000"/>
          <w:szCs w:val="24"/>
        </w:rPr>
        <w:t xml:space="preserve">0.83, </w:t>
      </w:r>
      <w:r w:rsidR="00D44218">
        <w:rPr>
          <w:rFonts w:eastAsia="Times New Roman" w:cs="Times New Roman"/>
          <w:color w:val="000000"/>
          <w:szCs w:val="24"/>
        </w:rPr>
        <w:t>~</w:t>
      </w:r>
      <w:r w:rsidR="00CE7E07" w:rsidRPr="00CE7E07">
        <w:rPr>
          <w:rFonts w:eastAsia="Times New Roman" w:cs="Times New Roman"/>
          <w:color w:val="000000"/>
          <w:szCs w:val="24"/>
        </w:rPr>
        <w:t xml:space="preserve">0.82, and </w:t>
      </w:r>
      <w:r w:rsidR="00D44218">
        <w:rPr>
          <w:rFonts w:eastAsia="Times New Roman" w:cs="Times New Roman"/>
          <w:color w:val="000000"/>
          <w:szCs w:val="24"/>
        </w:rPr>
        <w:t>~</w:t>
      </w:r>
      <w:r w:rsidR="00CE7E07" w:rsidRPr="00CE7E07">
        <w:rPr>
          <w:rFonts w:eastAsia="Times New Roman" w:cs="Times New Roman"/>
          <w:color w:val="000000"/>
          <w:szCs w:val="24"/>
        </w:rPr>
        <w:t xml:space="preserve">0.80, while the non-AOD model scored </w:t>
      </w:r>
      <w:r w:rsidR="0005072B">
        <w:rPr>
          <w:rFonts w:eastAsia="Times New Roman" w:cs="Times New Roman"/>
          <w:color w:val="000000"/>
          <w:szCs w:val="24"/>
        </w:rPr>
        <w:t>~</w:t>
      </w:r>
      <w:r w:rsidR="00CE7E07" w:rsidRPr="00CE7E07">
        <w:rPr>
          <w:rFonts w:eastAsia="Times New Roman" w:cs="Times New Roman"/>
          <w:color w:val="000000"/>
          <w:szCs w:val="24"/>
        </w:rPr>
        <w:t xml:space="preserve">0.82, </w:t>
      </w:r>
      <w:r w:rsidR="0005072B">
        <w:rPr>
          <w:rFonts w:eastAsia="Times New Roman" w:cs="Times New Roman"/>
          <w:color w:val="000000"/>
          <w:szCs w:val="24"/>
        </w:rPr>
        <w:t>~</w:t>
      </w:r>
      <w:r w:rsidR="00CE7E07" w:rsidRPr="00CE7E07">
        <w:rPr>
          <w:rFonts w:eastAsia="Times New Roman" w:cs="Times New Roman"/>
          <w:color w:val="000000"/>
          <w:szCs w:val="24"/>
        </w:rPr>
        <w:t xml:space="preserve">0.81, </w:t>
      </w:r>
      <w:r w:rsidR="0005072B">
        <w:rPr>
          <w:rFonts w:eastAsia="Times New Roman" w:cs="Times New Roman"/>
          <w:color w:val="000000"/>
          <w:szCs w:val="24"/>
        </w:rPr>
        <w:t>and ~</w:t>
      </w:r>
      <w:r w:rsidR="00CE7E07" w:rsidRPr="00CE7E07">
        <w:rPr>
          <w:rFonts w:eastAsia="Times New Roman" w:cs="Times New Roman"/>
          <w:color w:val="000000"/>
          <w:szCs w:val="24"/>
        </w:rPr>
        <w:t xml:space="preserve">0.78. Similarly, for RMSE, the AOD model scored 8.2 </w:t>
      </w:r>
      <w:r w:rsidR="00667640" w:rsidRPr="00CE7E07">
        <w:rPr>
          <w:rFonts w:eastAsia="Times New Roman" w:cs="Times New Roman"/>
          <w:color w:val="000000"/>
          <w:szCs w:val="24"/>
        </w:rPr>
        <w:t>μgm</w:t>
      </w:r>
      <w:r w:rsidR="00667640">
        <w:rPr>
          <w:rFonts w:eastAsia="Times New Roman" w:cs="Times New Roman"/>
          <w:color w:val="000000"/>
          <w:szCs w:val="24"/>
          <w:vertAlign w:val="superscript"/>
        </w:rPr>
        <w:t>-3</w:t>
      </w:r>
      <w:r w:rsidR="00CE7E07" w:rsidRPr="00CE7E07">
        <w:rPr>
          <w:rFonts w:eastAsia="Times New Roman" w:cs="Times New Roman"/>
          <w:color w:val="000000"/>
          <w:szCs w:val="24"/>
        </w:rPr>
        <w:t>, 9.2</w:t>
      </w:r>
      <w:r w:rsidR="00667640">
        <w:rPr>
          <w:rFonts w:eastAsia="Times New Roman" w:cs="Times New Roman"/>
          <w:color w:val="000000"/>
          <w:szCs w:val="24"/>
          <w:vertAlign w:val="superscript"/>
        </w:rPr>
        <w:t xml:space="preserve"> </w:t>
      </w:r>
      <w:r w:rsidR="00667640" w:rsidRPr="00CE7E07">
        <w:rPr>
          <w:rFonts w:eastAsia="Times New Roman" w:cs="Times New Roman"/>
          <w:color w:val="000000"/>
          <w:szCs w:val="24"/>
        </w:rPr>
        <w:t>μgm</w:t>
      </w:r>
      <w:r w:rsidR="00667640">
        <w:rPr>
          <w:rFonts w:eastAsia="Times New Roman" w:cs="Times New Roman"/>
          <w:color w:val="000000"/>
          <w:szCs w:val="24"/>
          <w:vertAlign w:val="superscript"/>
        </w:rPr>
        <w:t>-3</w:t>
      </w:r>
      <w:r w:rsidR="00CE7E07" w:rsidRPr="00CE7E07">
        <w:rPr>
          <w:rFonts w:eastAsia="Times New Roman" w:cs="Times New Roman"/>
          <w:color w:val="000000"/>
          <w:szCs w:val="24"/>
        </w:rPr>
        <w:t>, and 9.0</w:t>
      </w:r>
      <w:r w:rsidR="00667640">
        <w:rPr>
          <w:rFonts w:eastAsia="Times New Roman" w:cs="Times New Roman"/>
          <w:color w:val="000000"/>
          <w:szCs w:val="24"/>
          <w:vertAlign w:val="superscript"/>
        </w:rPr>
        <w:t xml:space="preserve"> </w:t>
      </w:r>
      <w:r w:rsidR="00667640" w:rsidRPr="00CE7E07">
        <w:rPr>
          <w:rFonts w:eastAsia="Times New Roman" w:cs="Times New Roman"/>
          <w:color w:val="000000"/>
          <w:szCs w:val="24"/>
        </w:rPr>
        <w:t>μgm</w:t>
      </w:r>
      <w:r w:rsidR="00667640">
        <w:rPr>
          <w:rFonts w:eastAsia="Times New Roman" w:cs="Times New Roman"/>
          <w:color w:val="000000"/>
          <w:szCs w:val="24"/>
          <w:vertAlign w:val="superscript"/>
        </w:rPr>
        <w:t>-3</w:t>
      </w:r>
      <w:r w:rsidR="00CE7E07" w:rsidRPr="00CE7E07">
        <w:rPr>
          <w:rFonts w:eastAsia="Times New Roman" w:cs="Times New Roman"/>
          <w:color w:val="000000"/>
          <w:szCs w:val="24"/>
        </w:rPr>
        <w:t xml:space="preserve">, and the non-AOD model scored 8.4 </w:t>
      </w:r>
      <w:r w:rsidR="00D44818" w:rsidRPr="00CE7E07">
        <w:rPr>
          <w:rFonts w:eastAsia="Times New Roman" w:cs="Times New Roman"/>
          <w:color w:val="000000"/>
          <w:szCs w:val="24"/>
        </w:rPr>
        <w:t>μgm</w:t>
      </w:r>
      <w:r w:rsidR="00D44818">
        <w:rPr>
          <w:rFonts w:eastAsia="Times New Roman" w:cs="Times New Roman"/>
          <w:color w:val="000000"/>
          <w:szCs w:val="24"/>
          <w:vertAlign w:val="superscript"/>
        </w:rPr>
        <w:t>-3</w:t>
      </w:r>
      <w:r w:rsidR="00CE7E07" w:rsidRPr="00CE7E07">
        <w:rPr>
          <w:rFonts w:eastAsia="Times New Roman" w:cs="Times New Roman"/>
          <w:color w:val="000000"/>
          <w:szCs w:val="24"/>
        </w:rPr>
        <w:t>, 9.5</w:t>
      </w:r>
      <w:r w:rsidR="00667640">
        <w:rPr>
          <w:rFonts w:eastAsia="Times New Roman" w:cs="Times New Roman"/>
          <w:color w:val="000000"/>
          <w:szCs w:val="24"/>
          <w:vertAlign w:val="superscript"/>
        </w:rPr>
        <w:t xml:space="preserve"> </w:t>
      </w:r>
      <w:r w:rsidR="00667640" w:rsidRPr="00CE7E07">
        <w:rPr>
          <w:rFonts w:eastAsia="Times New Roman" w:cs="Times New Roman"/>
          <w:color w:val="000000"/>
          <w:szCs w:val="24"/>
        </w:rPr>
        <w:t>μgm</w:t>
      </w:r>
      <w:r w:rsidR="00667640">
        <w:rPr>
          <w:rFonts w:eastAsia="Times New Roman" w:cs="Times New Roman"/>
          <w:color w:val="000000"/>
          <w:szCs w:val="24"/>
          <w:vertAlign w:val="superscript"/>
        </w:rPr>
        <w:t>-3</w:t>
      </w:r>
      <w:r w:rsidR="00CE7E07" w:rsidRPr="00CE7E07">
        <w:rPr>
          <w:rFonts w:eastAsia="Times New Roman" w:cs="Times New Roman"/>
          <w:color w:val="000000"/>
          <w:szCs w:val="24"/>
        </w:rPr>
        <w:t xml:space="preserve">, 9.4 </w:t>
      </w:r>
      <w:r w:rsidR="00667640" w:rsidRPr="00CE7E07">
        <w:rPr>
          <w:rFonts w:eastAsia="Times New Roman" w:cs="Times New Roman"/>
          <w:color w:val="000000"/>
          <w:szCs w:val="24"/>
        </w:rPr>
        <w:t>μgm</w:t>
      </w:r>
      <w:r w:rsidR="00667640">
        <w:rPr>
          <w:rFonts w:eastAsia="Times New Roman" w:cs="Times New Roman"/>
          <w:color w:val="000000"/>
          <w:szCs w:val="24"/>
          <w:vertAlign w:val="superscript"/>
        </w:rPr>
        <w:t>-3</w:t>
      </w:r>
      <w:r w:rsidR="00CE7E07" w:rsidRPr="00CE7E07">
        <w:rPr>
          <w:rFonts w:eastAsia="Times New Roman" w:cs="Times New Roman"/>
          <w:color w:val="000000"/>
          <w:szCs w:val="24"/>
        </w:rPr>
        <w:t>.</w:t>
      </w:r>
      <w:r w:rsidR="00D44818">
        <w:rPr>
          <w:rFonts w:eastAsia="Times New Roman" w:cs="Times New Roman"/>
          <w:color w:val="000000"/>
          <w:szCs w:val="24"/>
        </w:rPr>
        <w:t xml:space="preserve"> T</w:t>
      </w:r>
      <w:r w:rsidR="00CE7E07" w:rsidRPr="00EE4216">
        <w:rPr>
          <w:rFonts w:eastAsia="Times New Roman" w:cs="Times New Roman"/>
          <w:color w:val="000000"/>
          <w:szCs w:val="24"/>
        </w:rPr>
        <w:t xml:space="preserve">his suggests that in developing models </w:t>
      </w:r>
      <w:r w:rsidR="00D040BB">
        <w:rPr>
          <w:rFonts w:eastAsia="Times New Roman" w:cs="Times New Roman"/>
          <w:color w:val="000000"/>
          <w:szCs w:val="24"/>
        </w:rPr>
        <w:t>that</w:t>
      </w:r>
      <w:r w:rsidR="00CE7E07" w:rsidRPr="00EE4216">
        <w:rPr>
          <w:rFonts w:eastAsia="Times New Roman" w:cs="Times New Roman"/>
          <w:color w:val="000000"/>
          <w:szCs w:val="24"/>
        </w:rPr>
        <w:t xml:space="preserve"> estimate</w:t>
      </w:r>
      <w:r w:rsidR="007F457F">
        <w:rPr>
          <w:rFonts w:eastAsia="Times New Roman" w:cs="Times New Roman"/>
          <w:color w:val="000000"/>
          <w:szCs w:val="24"/>
        </w:rPr>
        <w:t xml:space="preserve"> </w:t>
      </w:r>
      <w:r w:rsidR="0007559F">
        <w:rPr>
          <w:rFonts w:eastAsia="Times New Roman" w:cs="Times New Roman"/>
          <w:color w:val="000000"/>
          <w:szCs w:val="24"/>
        </w:rPr>
        <w:t xml:space="preserve">daily </w:t>
      </w:r>
      <w:r w:rsidR="007F457F">
        <w:rPr>
          <w:rFonts w:eastAsia="Times New Roman" w:cs="Times New Roman"/>
          <w:color w:val="000000"/>
          <w:szCs w:val="24"/>
        </w:rPr>
        <w:t>surface-level</w:t>
      </w:r>
      <w:r w:rsidR="00CE7E07" w:rsidRPr="00EE4216">
        <w:rPr>
          <w:rFonts w:eastAsia="Times New Roman" w:cs="Times New Roman"/>
          <w:color w:val="000000"/>
          <w:szCs w:val="24"/>
        </w:rPr>
        <w:t xml:space="preserve"> PM</w:t>
      </w:r>
      <w:r w:rsidR="00CE7E07" w:rsidRPr="00EE4216">
        <w:rPr>
          <w:rFonts w:eastAsia="Times New Roman" w:cs="Times New Roman"/>
          <w:color w:val="000000"/>
          <w:szCs w:val="24"/>
          <w:vertAlign w:val="subscript"/>
        </w:rPr>
        <w:t>2.5</w:t>
      </w:r>
      <w:r w:rsidR="00CE7E07" w:rsidRPr="00EE4216">
        <w:rPr>
          <w:rFonts w:eastAsia="Times New Roman" w:cs="Times New Roman"/>
          <w:color w:val="000000"/>
          <w:szCs w:val="24"/>
        </w:rPr>
        <w:t xml:space="preserve">, </w:t>
      </w:r>
      <w:r w:rsidR="00531F04">
        <w:rPr>
          <w:rFonts w:eastAsia="Times New Roman" w:cs="Times New Roman"/>
          <w:color w:val="000000"/>
          <w:szCs w:val="24"/>
        </w:rPr>
        <w:t xml:space="preserve">sparsity can render </w:t>
      </w:r>
      <w:r w:rsidR="003A3D4E" w:rsidRPr="00EE4216">
        <w:rPr>
          <w:rFonts w:eastAsia="Times New Roman" w:cs="Times New Roman"/>
          <w:color w:val="000000"/>
          <w:szCs w:val="24"/>
        </w:rPr>
        <w:t xml:space="preserve">current remote-sensed AOD </w:t>
      </w:r>
      <w:r w:rsidR="00BA5AC4" w:rsidRPr="00EE4216">
        <w:rPr>
          <w:rFonts w:eastAsia="Times New Roman" w:cs="Times New Roman"/>
          <w:color w:val="000000"/>
          <w:szCs w:val="24"/>
        </w:rPr>
        <w:t xml:space="preserve">data </w:t>
      </w:r>
      <w:r w:rsidR="00531F04">
        <w:rPr>
          <w:rFonts w:eastAsia="Times New Roman" w:cs="Times New Roman"/>
          <w:color w:val="000000"/>
          <w:szCs w:val="24"/>
        </w:rPr>
        <w:t xml:space="preserve">useless </w:t>
      </w:r>
      <w:r w:rsidR="00BA5AC4" w:rsidRPr="00EE4216">
        <w:rPr>
          <w:rFonts w:eastAsia="Times New Roman" w:cs="Times New Roman"/>
          <w:color w:val="000000"/>
          <w:szCs w:val="24"/>
        </w:rPr>
        <w:t>as a predictor</w:t>
      </w:r>
      <w:r w:rsidR="00CE7E07" w:rsidRPr="00EE4216">
        <w:rPr>
          <w:rFonts w:eastAsia="Times New Roman" w:cs="Times New Roman"/>
          <w:color w:val="000000"/>
          <w:szCs w:val="24"/>
        </w:rPr>
        <w:t>.</w:t>
      </w:r>
    </w:p>
    <w:p w14:paraId="3491A141" w14:textId="72419094" w:rsidR="00092347" w:rsidRPr="00B04A2F" w:rsidRDefault="00243781" w:rsidP="00C604DD">
      <w:pPr>
        <w:pStyle w:val="Heading2"/>
      </w:pPr>
      <w:bookmarkStart w:id="22" w:name="_Toc161431077"/>
      <w:r w:rsidRPr="00B04A2F">
        <w:t>1.</w:t>
      </w:r>
      <w:r w:rsidR="008A1E1C" w:rsidRPr="00B04A2F">
        <w:t>6</w:t>
      </w:r>
      <w:r w:rsidRPr="00B04A2F">
        <w:t xml:space="preserve"> AOD Gap-Filling Problem</w:t>
      </w:r>
      <w:bookmarkEnd w:id="22"/>
    </w:p>
    <w:p w14:paraId="248DD1F3" w14:textId="6B1D876A" w:rsidR="00615F71" w:rsidRPr="00D0111D" w:rsidRDefault="00627BB6" w:rsidP="00B120A4">
      <w:pPr>
        <w:spacing w:after="240"/>
        <w:ind w:firstLine="720"/>
        <w:rPr>
          <w:rFonts w:eastAsia="Times New Roman" w:cs="Times New Roman"/>
          <w:b/>
          <w:bCs/>
          <w:color w:val="000000"/>
          <w:szCs w:val="24"/>
          <w:u w:val="single"/>
        </w:rPr>
      </w:pPr>
      <w:r w:rsidRPr="00627BB6">
        <w:rPr>
          <w:rFonts w:eastAsia="Times New Roman" w:cs="Times New Roman"/>
          <w:color w:val="000000"/>
          <w:szCs w:val="24"/>
        </w:rPr>
        <w:t>The previous</w:t>
      </w:r>
      <w:r w:rsidR="00342689">
        <w:rPr>
          <w:rFonts w:eastAsia="Times New Roman" w:cs="Times New Roman"/>
          <w:color w:val="000000"/>
          <w:szCs w:val="24"/>
        </w:rPr>
        <w:t xml:space="preserve"> section suggests that </w:t>
      </w:r>
      <w:r w:rsidR="00422D46">
        <w:rPr>
          <w:rFonts w:eastAsia="Times New Roman" w:cs="Times New Roman"/>
          <w:color w:val="000000"/>
          <w:szCs w:val="24"/>
        </w:rPr>
        <w:t>AOD could be valuable as a predictor for surface PM</w:t>
      </w:r>
      <w:r w:rsidR="00422D46">
        <w:rPr>
          <w:rFonts w:eastAsia="Times New Roman" w:cs="Times New Roman"/>
          <w:color w:val="000000"/>
          <w:szCs w:val="24"/>
          <w:vertAlign w:val="subscript"/>
        </w:rPr>
        <w:t>2.5</w:t>
      </w:r>
      <w:r w:rsidR="00422D46" w:rsidRPr="00222F83">
        <w:rPr>
          <w:rFonts w:eastAsia="Times New Roman" w:cs="Times New Roman"/>
          <w:color w:val="000000"/>
          <w:szCs w:val="24"/>
        </w:rPr>
        <w:t xml:space="preserve">. </w:t>
      </w:r>
      <w:r w:rsidR="00422D46">
        <w:rPr>
          <w:rFonts w:eastAsia="Times New Roman" w:cs="Times New Roman"/>
          <w:color w:val="000000"/>
          <w:szCs w:val="24"/>
        </w:rPr>
        <w:t>However,</w:t>
      </w:r>
      <w:r w:rsidR="00E01FCF">
        <w:rPr>
          <w:rFonts w:eastAsia="Times New Roman" w:cs="Times New Roman"/>
          <w:color w:val="000000"/>
          <w:szCs w:val="24"/>
        </w:rPr>
        <w:t xml:space="preserve"> the issue of data sparsity must first be overcome</w:t>
      </w:r>
      <w:r w:rsidRPr="00627BB6">
        <w:rPr>
          <w:rFonts w:eastAsia="Times New Roman" w:cs="Times New Roman"/>
          <w:color w:val="000000"/>
          <w:szCs w:val="24"/>
        </w:rPr>
        <w:t xml:space="preserve">. </w:t>
      </w:r>
      <w:r w:rsidR="00D25F04">
        <w:rPr>
          <w:rFonts w:eastAsia="Times New Roman" w:cs="Times New Roman"/>
          <w:color w:val="000000"/>
          <w:szCs w:val="24"/>
        </w:rPr>
        <w:t xml:space="preserve">This sparsity </w:t>
      </w:r>
      <w:r w:rsidR="005874EB">
        <w:rPr>
          <w:rFonts w:eastAsia="Times New Roman" w:cs="Times New Roman"/>
          <w:color w:val="000000"/>
          <w:szCs w:val="24"/>
        </w:rPr>
        <w:t>exists because</w:t>
      </w:r>
      <w:r w:rsidR="00D25F04">
        <w:rPr>
          <w:rFonts w:eastAsia="Times New Roman" w:cs="Times New Roman"/>
          <w:color w:val="000000"/>
          <w:szCs w:val="24"/>
        </w:rPr>
        <w:t xml:space="preserve"> </w:t>
      </w:r>
      <w:r w:rsidRPr="00627BB6">
        <w:rPr>
          <w:rFonts w:eastAsia="Times New Roman" w:cs="Times New Roman"/>
          <w:color w:val="000000"/>
          <w:szCs w:val="24"/>
        </w:rPr>
        <w:t>AOD cannot be retrieved from satellite sensors when the underlying image is too reflective</w:t>
      </w:r>
      <w:r w:rsidR="00554974">
        <w:rPr>
          <w:rFonts w:eastAsia="Times New Roman" w:cs="Times New Roman"/>
          <w:color w:val="000000"/>
          <w:szCs w:val="24"/>
        </w:rPr>
        <w:t xml:space="preserve"> </w:t>
      </w:r>
      <w:r w:rsidR="00454442">
        <w:rPr>
          <w:rFonts w:eastAsia="Times New Roman" w:cs="Times New Roman"/>
          <w:color w:val="000000"/>
          <w:szCs w:val="24"/>
        </w:rPr>
        <w:fldChar w:fldCharType="begin"/>
      </w:r>
      <w:r w:rsidR="00BB6527">
        <w:rPr>
          <w:rFonts w:eastAsia="Times New Roman" w:cs="Times New Roman"/>
          <w:color w:val="000000"/>
          <w:szCs w:val="24"/>
        </w:rPr>
        <w:instrText xml:space="preserve"> ADDIN ZOTERO_ITEM CSL_CITATION {"citationID":"Hkz421Ns","properties":{"formattedCitation":"(S. M. Lor\\uc0\\u237{}a-Salazar et al., 2016; S. Marcela Lor\\uc0\\u237{}a-Salazar et al., 2021; Lyapustin et al., 2018; Peterson et al., 2014, 2017)","plainCitation":"(S. M. Loría-Salazar et al., 2016; S. Marcela Loría-Salazar et al., 2021; Lyapustin et al., 2018; Peterson et al., 2014, 2017)","dontUpdate":true,"noteIndex":0},"citationItems":[{"id":256,"uris":["http://zotero.org/groups/4584967/items/QGXSZ279"],"itemData":{"id":256,"type":"article-journal","abstract":"Satellite characterization of local aerosol pollution is desirable because of the potential for broad spatial coverage, enabling transport studies of pollution from major sources, such as biomass burning events. However, retrieval of quantitative measures of air pollution such as Aerosol Optical Depth (AOD) from satellite measurements is challenging over land because the underlying surface albedo may be heterogeneous in space and time. Ground-based sunphotometer measurements of AOD are unaffected by surface albedo and are crucial in enabling evaluation, testing, and further development of satellite instruments and retrieval algorithms. Columnar aerosol optical properties from ground-based sunphotometers (Cimel CE-318) as part of AERONET and MODIS aerosol retrievals from Aqua and Terra satellites were compared over semi-arid California and Nevada during the summer season of 2012. Sunphotometer measurements were used as a ‘ground truth’ to evaluate the current state of satellite retrievals in this spatiotemporal domain. Satellite retrieved (MODIS Collection 6) AOD showed the presence of wildfires in northern California during August. During the study period, the dark-target (DT) retrieval algorithm appears to overestimate AERONET AOD by an average factor of 3.85 in the entire study domain. AOD from the deep-blue (DB) algorithm overestimates AERONET AOD by an average factor of 1.64.\n\nLow AOD correlation was also found between AERONET, DT, and DB retrievals. Smoke from fires strengthened the aerosol signal, but MODIS versus AERONET AOD correlation hardly increased during fire events (r2</w:instrText>
      </w:r>
      <w:r w:rsidR="00BB6527">
        <w:rPr>
          <w:rFonts w:ascii="Cambria Math" w:eastAsia="Times New Roman" w:hAnsi="Cambria Math" w:cs="Cambria Math"/>
          <w:color w:val="000000"/>
          <w:szCs w:val="24"/>
        </w:rPr>
        <w:instrText>∼</w:instrText>
      </w:r>
      <w:r w:rsidR="00BB6527">
        <w:rPr>
          <w:rFonts w:eastAsia="Times New Roman" w:cs="Times New Roman"/>
          <w:color w:val="000000"/>
          <w:szCs w:val="24"/>
        </w:rPr>
        <w:instrText>0.1–0.2 during non-fire periods and r2</w:instrText>
      </w:r>
      <w:r w:rsidR="00BB6527">
        <w:rPr>
          <w:rFonts w:ascii="Cambria Math" w:eastAsia="Times New Roman" w:hAnsi="Cambria Math" w:cs="Cambria Math"/>
          <w:color w:val="000000"/>
          <w:szCs w:val="24"/>
        </w:rPr>
        <w:instrText>∼</w:instrText>
      </w:r>
      <w:r w:rsidR="00BB6527">
        <w:rPr>
          <w:rFonts w:eastAsia="Times New Roman" w:cs="Times New Roman"/>
          <w:color w:val="000000"/>
          <w:szCs w:val="24"/>
        </w:rPr>
        <w:instrText>0–0.31 during fire periods). Furthermore, aerosol from fires increased the normalized mean bias (NMB) of MODIS retrievals of AOD (NMB</w:instrText>
      </w:r>
      <w:r w:rsidR="00BB6527">
        <w:rPr>
          <w:rFonts w:ascii="Cambria Math" w:eastAsia="Times New Roman" w:hAnsi="Cambria Math" w:cs="Cambria Math"/>
          <w:color w:val="000000"/>
          <w:szCs w:val="24"/>
        </w:rPr>
        <w:instrText>∼</w:instrText>
      </w:r>
      <w:r w:rsidR="00BB6527">
        <w:rPr>
          <w:rFonts w:eastAsia="Times New Roman" w:cs="Times New Roman"/>
          <w:color w:val="000000"/>
          <w:szCs w:val="24"/>
        </w:rPr>
        <w:instrText>23%–154% for non-fire periods and NMB</w:instrText>
      </w:r>
      <w:r w:rsidR="00BB6527">
        <w:rPr>
          <w:rFonts w:ascii="Cambria Math" w:eastAsia="Times New Roman" w:hAnsi="Cambria Math" w:cs="Cambria Math"/>
          <w:color w:val="000000"/>
          <w:szCs w:val="24"/>
        </w:rPr>
        <w:instrText>∼</w:instrText>
      </w:r>
      <w:r w:rsidR="00BB6527">
        <w:rPr>
          <w:rFonts w:eastAsia="Times New Roman" w:cs="Times New Roman"/>
          <w:color w:val="000000"/>
          <w:szCs w:val="24"/>
        </w:rPr>
        <w:instrText xml:space="preserve">77%–196% for fire periods). Ångström Extinction Exponent (AEE) from DB for both Terra and Aqua did not correlate with AERONET observations. High surface reflectance and incorrect aerosol physical parametrizations may still be affecting the DT and DB MODIS AOD retrievals in the semi-arid western U.S.","container-title":"Atmospheric Environment","DOI":"10.1016/j.atmosenv.2016.08.070","ISSN":"1352-2310","journalAbbreviation":"Atmospheric Environment","page":"345-360","source":"ScienceDirect","title":"Evaluation of MODIS columnar aerosol retrievals using AERONET in semi-arid Nevada and California, U.S.A., during the summer of 2012","volume":"144","author":[{"family":"Loría-Salazar","given":"S. M."},{"family":"Holmes","given":"H. A."},{"family":"Arnott","given":"W. P."},{"family":"Barnard","given":"J. C."},{"family":"Moosmüller","given":"H."}],"issued":{"date-parts":[["2016",11]]},"citation-key":"loria-salazarEvaluationMODISColumnar2016"}},{"id":255,"uris":["http://zotero.org/groups/4584967/items/A9XX6HIV"],"itemData":{"id":255,"type":"article-journal","abstract":"We analyze new aerosol products from NASA satellite retrievals over the western USA during August 2013, with special attention to locally generated wildfire smoke and downwind plume structures. Aerosol optical depth (AOD) at 550 nm from MODerate Resolution Imaging Spectroradiometer (MODIS) (Terra and Aqua Collections 6 and 6.1) and Visible Infrared Imaging Radiometer Suite (VIIRS) Deep Blue (DB) and MODIS (Terra and Aqua) Multi-Angle Implementation of Atmospheric Correction (MAIAC) retrievals are evaluated against ground-based AErosol RObotic NETwork (AERONET) observations. We find a significant improvement in correlation with AERONET and other metrics in the latest DB AOD (MODIS C6.1 r2 = 0.75, VIIRS r2 = 0.79) compared to MODIS C6 (r2 = 0.62). In general, MAIAC (r2 = 0.84) and DB (MODIS C6.1 and VIIRS) present similar statistical evaluation metrics for the western USA and are useful tools to characterize aerosol loading associated with wildfire smoke. We also evaluate three novel NASA MODIS plume injection height (PIH) products, one from MAIAC and two from the Aerosol Single scattering albedo and layer Height Estimation (ASHE) (MODIS and VIIRS) algorithm. Both Terra and Aqua MAIAC PIHs statistically agree with ground-based and satellite lidar observations near the fire source, as do ASHE, although the latter is sensitive to assumptions about aerosol absorption properties. We introduce a first-order approximation Smoke Height Boundary Layer Ratio (SHBLR) to qualitatively distinguish between aerosol pollution within the planetary boundary layer and the free troposphere. We summarize the scope, limitations, and suggestions for scientific applications of surface level aerosol concentrations specific to wildfire emissions and smoke plumes using these novel NASA MODIS and VIIRS aerosol products.","container-title":"Journal of Geophysical Research: Atmospheres","DOI":"10.1029/2020JD034180","ISSN":"2169-8996","issue":"11","language":"en","note":"_eprint: https://agupubs.onlinelibrary.wiley.com/doi/pdf/10.1029/2020JD034180","page":"e2020JD034180","source":"Wiley Online Library","title":"Evaluation of Novel NASA Moderate Resolution Imaging Spectroradiometer and Visible Infrared Imaging Radiometer Suite Aerosol Products and Assessment of Smoke Height Boundary Layer Ratio During Extreme Smoke Events in the Western USA","volume":"126","author":[{"family":"Loría-Salazar","given":"S. Marcela"},{"family":"Sayer","given":"A. M."},{"family":"Barnes","given":"John"},{"family":"Huang","given":"Jingting"},{"family":"Flynn","given":"Connor"},{"family":"Lareau","given":"Neil"},{"family":"Lee","given":"Jaehwa"},{"family":"Lyapustin","given":"Alexei"},{"family":"Redemann","given":"Jens"},{"family":"Welton","given":"Ellsworth J."},{"family":"Wilkins","given":"Joseph L."},{"family":"Holmes","given":"Heather A."}],"issued":{"date-parts":[["2021"]]},"citation-key":"loria-salazarEvaluationNovelNASA2021"}},{"id":139,"uris":["http://zotero.org/groups/4584967/items/5NP8UZFQ"],"itemData":{"id":139,"type":"article-journal","abstract":"&lt;p&gt;&lt;strong&gt;Abstract.&lt;/strong&gt; This paper describes the latest version of the algorithm MAIAC used for processing the MODIS Collection 6 data record. Since initial publication in 2011–2012, MAIAC has changed considerably to adapt to global processing and improve cloud/snow detection, aerosol retrievals and atmospheric correction of MODIS data. The main changes include (1) transition from a 25 to 1&amp;thinsp;km scale for retrieval of the spectral regression coefficient (SRC) which helped to remove occasional blockiness at 25&amp;thinsp;km scale in the aerosol optical depth (AOD) and in the surface reflectance, (2) continuous improvements of cloud detection, (3) introduction of smoke and dust tests to discriminate absorbing fine- and coarse-mode aerosols, (4) adding over-water processing, (5) general optimization of the LUT-based radiative transfer for the global processing, and others. MAIAC provides an interdisciplinary suite of atmospheric and land products, including cloud mask (CM), column water vapor (CWV), AOD at 0.47 and 0.55&amp;thinsp;&lt;span class=\"inline-formula\"&gt;µ&lt;/span&gt;m, aerosol type (background, smoke or dust) and fine-mode fraction over water; spectral bidirectional reflectance factors (BRF), parameters of Ross-thick Li-sparse (RTLS) bidirectional reflectance distribution function (BRDF) model and instantaneous albedo. For snow-covered surfaces, we provide subpixel snow fraction and snow grain size. All products come in standard HDF4 format at 1&amp;thinsp;km resolution, except for BRF, which is also provided at 500&amp;thinsp;m resolution on a sinusoidal grid adopted by the MODIS Land team. All products are provided on per-observation basis in daily files except for the BRDF/Albedo product, which is reported every 8 days. Because MAIAC uses a time series approach, BRDF/Albedo is naturally gap-filled over land where missing values are filled-in with results from the previous retrieval. While the BRDF model is reported for MODIS Land bands 1–7 and ocean band 8, BRF is reported for both land and ocean bands 1–12. This paper focuses on MAIAC cloud detection, aerosol retrievals and atmospheric correction and describes MCD19 data products and quality assurance (QA) flags.&lt;/p&gt;","container-title":"Atmospheric Measurement Techniques","DOI":"https://doi.org/10.5194/amt-11-5741-2018","ISSN":"1867-1381","issue":"10","language":"English","note":"publisher: Copernicus GmbH","page":"5741-5765","source":"www.atmos-meas-tech.net","title":"MODIS Collection 6 MAIAC algorithm","volume":"11","author":[{"family":"Lyapustin","given":"A."},{"family":"Wang","given":"Y."},{"family":"Korkin","given":"S."},{"family":"Huang","given":"D."}],"issued":{"date-parts":[["2018",10,18]]},"citation-key":"lyapustinMODISCollectionMAIAC2018"}},{"id":323,"uris":["http://zotero.org/groups/4584967/items/X6WA29ZA"],"itemData":{"id":323,"type":"article-journal","abstract":"AbstractThe 2013 Rim Fire, which burned over 104,000 ha, was one of the most severe fire events in California’s history, in terms of its rapid growth, intensity, overall size, and persistent smoke plume. At least two large pyrocumulonimbus (pyroCb) events were observed, allowing smoke particles to extend through the upper troposphere over a large portion of the Pacific Northwest. However, the most extreme fire spread was observed on days without pyroCb activity or significant regional convection. A diverse archive of ground, airborne, and satellite data collected during the Rim Fire provides a unique opportunity to examine the conditions required for both extreme spread events and pyroCb development. Results highlight the importance of upper-level and nocturnal meteorology, as well as the limitations of traditional fire weather indices. The Rim Fire dataset also allows for a detailed examination of conflicting hypotheses surrounding the primary source of moisture during pyroCb development. All pyroCbs were associated with conditions very similar to those that produce dry thunderstorms. The current suite of automated forecasting applications predict only general trends in fire behavior, and specifically do not predict 1) extreme fire spread events and 2) injection of smoke to high altitudes. While these two exceptions are related, analysis of the Rim Fire shows that they are not predicted by the same set of conditions and variables. The combination of numerical weather prediction data and satellite observations exhibits great potential for improving automated regional-scale forecasts of fire behavior and smoke emissions.","container-title":"Bulletin of the American Meteorological Society","DOI":"10.1175/BAMS-D-14-00060.1","ISSN":"0003-0007","issue":"2","journalAbbreviation":"Bull. Amer. Meteor. Soc.","page":"229-247","source":"journals.ametsoc.org (Atypon)","title":"The 2013 Rim Fire: Implications for Predicting Extreme Fire Spread, Pyroconvection, and Smoke Emissions","title-short":"The 2013 Rim Fire","volume":"96","author":[{"family":"Peterson","given":"David A."},{"family":"Hyer","given":"Edward J."},{"family":"Campbell","given":"James R."},{"family":"Fromm","given":"Michael D."},{"family":"Hair","given":"Johnathan W."},{"family":"Butler","given":"Carolyn F."},{"family":"Fenn","given":"Marta A."}],"issued":{"date-parts":[["2014",11,4]]},"citation-key":"peterson2013RimFire2014"}},{"id":457,"uris":["http://zotero.org/groups/4584967/items/NUL9RZ9S"],"itemData":{"id":457,"type":"article-journal","abstract":"Abstract Intense wildfires occasionally generate fire-triggered storms, known as pyrocumulonimbus (pyroCb), that can inject smoke particles and trace gases into the upper troposphere and lower stratosphere (UTLS). This study develops the first pyroCb detection algorithm using three infrared (IR) channels from the imager on board GOES-West (GOES-15). The algorithm first identifies deep convection near active fires via the longwave IR brightness temperature, distinguishing between midtropospheric and UTLS injections. During daytime, unique pyroCb microphysical properties are characterized by a medium-wave brightness temperature that is significantly larger than that in the longwave, allowing for separation of pyroCb from other deep convection. A cloud-opacity test reduces potential false detections. Application of this algorithm to 88 intense wildfires observed during the 2013 fire season in western North America resulted in successful detection of individual intense events, pyroCb embedded within traditional convection, and multiple, short-lived pulses of pyroconvective activity. Comparisons with a community inventory indicate that this algorithm captures the majority of pyroCb. The primary limitation is that pyroCb anvils can be small relative to GOES-West pixel size, especially in regions with large viewing angles. The algorithm is also sensitive to some false positives from traditional convection that either ingests smoke or exhibits extreme updraft velocities. A total of 26 pyroCb events are inventoried, including 31 individual pulses, all of which can inject smoke into the UTLS. Six of the inventoried intense pyroCb were not previously documented. Near-real-time application of this algorithm can be extended to other regions and to next-generation geostationary sensors, which offer significant advantages for pyroCb and fire detection.","container-title":"Journal of Applied Meteorology and Climatology","DOI":"10.1175/JAMC-D-16-0226.1","ISSN":"1558-8424, 1558-8432","issue":"2","language":"EN","note":"publisher: American Meteorological Society\nsection: Journal of Applied Meteorology and Climatology","page":"471-493","source":"journals.ametsoc.org","title":"Detection and Inventory of Intense Pyroconvection in Western North America using GOES-15 Daytime Infrared Data","volume":"56","author":[{"family":"Peterson","given":"David A."},{"family":"Fromm","given":"Michael D."},{"family":"Solbrig","given":"Jeremy E."},{"family":"Hyer","given":"Edward J."},{"family":"Surratt","given":"Melinda L."},{"family":"Campbell","given":"James R."}],"issued":{"date-parts":[["2017",2,1]]},"citation-key":"petersonDetectionInventoryIntense2017"}}],"schema":"https://github.com/citation-style-language/schema/raw/master/csl-citation.json"} </w:instrText>
      </w:r>
      <w:r w:rsidR="00454442">
        <w:rPr>
          <w:rFonts w:eastAsia="Times New Roman" w:cs="Times New Roman"/>
          <w:color w:val="000000"/>
          <w:szCs w:val="24"/>
        </w:rPr>
        <w:fldChar w:fldCharType="separate"/>
      </w:r>
      <w:r w:rsidR="007E6369" w:rsidRPr="007E6369">
        <w:rPr>
          <w:rFonts w:cs="Times New Roman"/>
          <w:szCs w:val="24"/>
        </w:rPr>
        <w:t>(Loría-Salazar et al., 2016; Loría-Salazar et al., 2021; Lyapustin et al., 2018; Peterson et al., 2014, 2017)</w:t>
      </w:r>
      <w:r w:rsidR="00454442">
        <w:rPr>
          <w:rFonts w:eastAsia="Times New Roman" w:cs="Times New Roman"/>
          <w:color w:val="000000"/>
          <w:szCs w:val="24"/>
        </w:rPr>
        <w:fldChar w:fldCharType="end"/>
      </w:r>
      <w:r w:rsidR="002C00EC">
        <w:rPr>
          <w:rFonts w:eastAsia="Times New Roman" w:cs="Times New Roman"/>
          <w:color w:val="000000"/>
          <w:szCs w:val="24"/>
        </w:rPr>
        <w:t xml:space="preserve"> or when the aerosols are concentrated too close to the surface </w:t>
      </w:r>
      <w:r w:rsidR="008A66E1">
        <w:rPr>
          <w:rFonts w:eastAsia="Times New Roman" w:cs="Times New Roman"/>
          <w:color w:val="000000"/>
          <w:szCs w:val="24"/>
        </w:rPr>
        <w:fldChar w:fldCharType="begin"/>
      </w:r>
      <w:r w:rsidR="00BB6527">
        <w:rPr>
          <w:rFonts w:eastAsia="Times New Roman" w:cs="Times New Roman"/>
          <w:color w:val="000000"/>
          <w:szCs w:val="24"/>
        </w:rPr>
        <w:instrText xml:space="preserve"> ADDIN ZOTERO_ITEM CSL_CITATION {"citationID":"Bvcsctws","properties":{"formattedCitation":"(Silcox et al., 2012)","plainCitation":"(Silcox et al., 2012)","noteIndex":0},"citationItems":[{"id":53,"uris":["http://zotero.org/groups/4584967/items/293NK24F"],"itemData":{"id":53,"type":"article-journal","abstract":"In January and February 2011, PM2.5 concentrations in residential and nonresidential areas of Salt Lake City, Utah, were elevated during days with persistent multi-day stable layers or cold-air pools (CAPs). Under most conditions the PM2.5 concentrations and atmospheric stability increased with time during these events, so that the highest PM2.5 concentrations were observed in long-lived CAPs. PM2.5 concentrations were generally observed to decrease with increasing elevation and were linearly related to the pre-sunrise valley heat deficit, an instantaneous measure of atmospheric stability. Decreases of up to 30 percent were observed as elevation increased from 1300 to 1600 m. During the CAP episode of 23–30 January, concentrations of PM2.5 increased roughly linearly with time at all elevations at the rate of about 6 μg (m3 day)−1. Higher elevation sites also experienced more rapid influxes of clean air during the mix-out of a CAP on 16 January, although short-lived episodes of higher concentrations occurred at times when polluted air was carried upslope from the residual CAP that persisted at lower elevations.","container-title":"Atmospheric Environment","DOI":"10.1016/j.atmosenv.2011.10.041","ISSN":"1352-2310","journalAbbreviation":"Atmospheric Environment","page":"17-24","source":"ScienceDirect","title":"Wintertime PM2.5 concentrations during persistent, multi-day cold-air pools in a mountain valley","volume":"46","author":[{"family":"Silcox","given":"Geoffrey D."},{"family":"Kelly","given":"Kerry E."},{"family":"Crosman","given":"Erik T."},{"family":"Whiteman","given":"C. David"},{"family":"Allen","given":"Bruce L."}],"issued":{"date-parts":[["2012",1]]},"citation-key":"silcoxWintertimePM2Concentrations2012"}}],"schema":"https://github.com/citation-style-language/schema/raw/master/csl-citation.json"} </w:instrText>
      </w:r>
      <w:r w:rsidR="008A66E1">
        <w:rPr>
          <w:rFonts w:eastAsia="Times New Roman" w:cs="Times New Roman"/>
          <w:color w:val="000000"/>
          <w:szCs w:val="24"/>
        </w:rPr>
        <w:fldChar w:fldCharType="separate"/>
      </w:r>
      <w:r w:rsidR="00342689" w:rsidRPr="00342689">
        <w:rPr>
          <w:rFonts w:cs="Times New Roman"/>
        </w:rPr>
        <w:t>(Silcox et al., 2012)</w:t>
      </w:r>
      <w:r w:rsidR="008A66E1">
        <w:rPr>
          <w:rFonts w:eastAsia="Times New Roman" w:cs="Times New Roman"/>
          <w:color w:val="000000"/>
          <w:szCs w:val="24"/>
        </w:rPr>
        <w:fldChar w:fldCharType="end"/>
      </w:r>
      <w:r w:rsidRPr="00627BB6">
        <w:rPr>
          <w:rFonts w:eastAsia="Times New Roman" w:cs="Times New Roman"/>
          <w:color w:val="000000"/>
          <w:szCs w:val="24"/>
        </w:rPr>
        <w:t xml:space="preserve">. </w:t>
      </w:r>
      <w:r w:rsidR="00766F13">
        <w:rPr>
          <w:rFonts w:eastAsia="Times New Roman" w:cs="Times New Roman"/>
          <w:color w:val="000000"/>
          <w:szCs w:val="24"/>
        </w:rPr>
        <w:t xml:space="preserve">These </w:t>
      </w:r>
      <w:r w:rsidR="00CC1E78">
        <w:rPr>
          <w:rFonts w:eastAsia="Times New Roman" w:cs="Times New Roman"/>
          <w:color w:val="000000"/>
          <w:szCs w:val="24"/>
        </w:rPr>
        <w:t>reflective</w:t>
      </w:r>
      <w:r w:rsidR="00766F13">
        <w:rPr>
          <w:rFonts w:eastAsia="Times New Roman" w:cs="Times New Roman"/>
          <w:color w:val="000000"/>
          <w:szCs w:val="24"/>
        </w:rPr>
        <w:t xml:space="preserve"> surfaces </w:t>
      </w:r>
      <w:r w:rsidR="00092453">
        <w:rPr>
          <w:rFonts w:eastAsia="Times New Roman" w:cs="Times New Roman"/>
          <w:color w:val="000000"/>
          <w:szCs w:val="24"/>
        </w:rPr>
        <w:t>include</w:t>
      </w:r>
      <w:r w:rsidR="007F2CA5">
        <w:rPr>
          <w:rFonts w:eastAsia="Times New Roman" w:cs="Times New Roman"/>
          <w:color w:val="000000"/>
          <w:szCs w:val="24"/>
        </w:rPr>
        <w:t xml:space="preserve"> </w:t>
      </w:r>
      <w:r w:rsidR="009C4A80" w:rsidRPr="00627BB6">
        <w:rPr>
          <w:rFonts w:eastAsia="Times New Roman" w:cs="Times New Roman"/>
          <w:color w:val="000000"/>
          <w:szCs w:val="24"/>
        </w:rPr>
        <w:t>cloud</w:t>
      </w:r>
      <w:r w:rsidR="009C4A80">
        <w:rPr>
          <w:rFonts w:eastAsia="Times New Roman" w:cs="Times New Roman"/>
          <w:color w:val="000000"/>
          <w:szCs w:val="24"/>
        </w:rPr>
        <w:t>s</w:t>
      </w:r>
      <w:r w:rsidR="009C4A80" w:rsidRPr="00627BB6">
        <w:rPr>
          <w:rFonts w:eastAsia="Times New Roman" w:cs="Times New Roman"/>
          <w:color w:val="000000"/>
          <w:szCs w:val="24"/>
        </w:rPr>
        <w:t>, snow</w:t>
      </w:r>
      <w:r w:rsidRPr="00627BB6">
        <w:rPr>
          <w:rFonts w:eastAsia="Times New Roman" w:cs="Times New Roman"/>
          <w:color w:val="000000"/>
          <w:szCs w:val="24"/>
        </w:rPr>
        <w:t xml:space="preserve"> cover,</w:t>
      </w:r>
      <w:r w:rsidR="00DA6D58">
        <w:rPr>
          <w:rFonts w:eastAsia="Times New Roman" w:cs="Times New Roman"/>
          <w:color w:val="000000"/>
          <w:szCs w:val="24"/>
        </w:rPr>
        <w:t xml:space="preserve"> </w:t>
      </w:r>
      <w:r w:rsidRPr="00627BB6">
        <w:rPr>
          <w:rFonts w:eastAsia="Times New Roman" w:cs="Times New Roman"/>
          <w:color w:val="000000"/>
          <w:szCs w:val="24"/>
        </w:rPr>
        <w:t>salt pans,</w:t>
      </w:r>
      <w:r w:rsidR="00766F13">
        <w:rPr>
          <w:rFonts w:eastAsia="Times New Roman" w:cs="Times New Roman"/>
          <w:color w:val="000000"/>
          <w:szCs w:val="24"/>
        </w:rPr>
        <w:t xml:space="preserve"> and</w:t>
      </w:r>
      <w:r w:rsidR="00DA6D58">
        <w:rPr>
          <w:rFonts w:eastAsia="Times New Roman" w:cs="Times New Roman"/>
          <w:color w:val="000000"/>
          <w:szCs w:val="24"/>
        </w:rPr>
        <w:t xml:space="preserve"> deserts</w:t>
      </w:r>
      <w:r w:rsidRPr="00627BB6">
        <w:rPr>
          <w:rFonts w:eastAsia="Times New Roman" w:cs="Times New Roman"/>
          <w:color w:val="000000"/>
          <w:szCs w:val="24"/>
        </w:rPr>
        <w:t>. One approach to</w:t>
      </w:r>
      <w:r w:rsidR="00955858">
        <w:rPr>
          <w:rFonts w:eastAsia="Times New Roman" w:cs="Times New Roman"/>
          <w:color w:val="000000"/>
          <w:szCs w:val="24"/>
        </w:rPr>
        <w:t xml:space="preserve"> dealing with these gaps </w:t>
      </w:r>
      <w:r w:rsidRPr="00627BB6">
        <w:rPr>
          <w:rFonts w:eastAsia="Times New Roman" w:cs="Times New Roman"/>
          <w:color w:val="000000"/>
          <w:szCs w:val="24"/>
        </w:rPr>
        <w:t>is fill</w:t>
      </w:r>
      <w:r w:rsidR="00543A99">
        <w:rPr>
          <w:rFonts w:eastAsia="Times New Roman" w:cs="Times New Roman"/>
          <w:color w:val="000000"/>
          <w:szCs w:val="24"/>
        </w:rPr>
        <w:t>ing</w:t>
      </w:r>
      <w:r w:rsidRPr="00627BB6">
        <w:rPr>
          <w:rFonts w:eastAsia="Times New Roman" w:cs="Times New Roman"/>
          <w:color w:val="000000"/>
          <w:szCs w:val="24"/>
        </w:rPr>
        <w:t xml:space="preserve"> </w:t>
      </w:r>
      <w:r w:rsidR="00955858">
        <w:rPr>
          <w:rFonts w:eastAsia="Times New Roman" w:cs="Times New Roman"/>
          <w:color w:val="000000"/>
          <w:szCs w:val="24"/>
        </w:rPr>
        <w:t>them in</w:t>
      </w:r>
      <w:r w:rsidRPr="00627BB6">
        <w:rPr>
          <w:rFonts w:eastAsia="Times New Roman" w:cs="Times New Roman"/>
          <w:color w:val="000000"/>
          <w:szCs w:val="24"/>
        </w:rPr>
        <w:t xml:space="preserve"> before </w:t>
      </w:r>
      <w:r w:rsidR="00955858">
        <w:rPr>
          <w:rFonts w:eastAsia="Times New Roman" w:cs="Times New Roman"/>
          <w:color w:val="000000"/>
          <w:szCs w:val="24"/>
        </w:rPr>
        <w:t xml:space="preserve">using </w:t>
      </w:r>
      <w:r w:rsidR="006C34C0">
        <w:rPr>
          <w:rFonts w:eastAsia="Times New Roman" w:cs="Times New Roman"/>
          <w:color w:val="000000"/>
          <w:szCs w:val="24"/>
        </w:rPr>
        <w:t>satellite AOD datasets in downstream tasks</w:t>
      </w:r>
      <w:r w:rsidRPr="00627BB6">
        <w:rPr>
          <w:rFonts w:eastAsia="Times New Roman" w:cs="Times New Roman"/>
          <w:color w:val="000000"/>
          <w:szCs w:val="24"/>
        </w:rPr>
        <w:t xml:space="preserve">. </w:t>
      </w:r>
      <w:r w:rsidRPr="00D0111D">
        <w:rPr>
          <w:rFonts w:eastAsia="Times New Roman" w:cs="Times New Roman"/>
          <w:b/>
          <w:bCs/>
          <w:color w:val="000000"/>
          <w:szCs w:val="24"/>
          <w:u w:val="single"/>
        </w:rPr>
        <w:t xml:space="preserve">This </w:t>
      </w:r>
      <w:r w:rsidR="00FD3272" w:rsidRPr="00D0111D">
        <w:rPr>
          <w:rFonts w:eastAsia="Times New Roman" w:cs="Times New Roman"/>
          <w:b/>
          <w:bCs/>
          <w:color w:val="000000"/>
          <w:szCs w:val="24"/>
          <w:u w:val="single"/>
        </w:rPr>
        <w:t>approach</w:t>
      </w:r>
      <w:r w:rsidR="00826E70" w:rsidRPr="00D0111D">
        <w:rPr>
          <w:rFonts w:eastAsia="Times New Roman" w:cs="Times New Roman"/>
          <w:b/>
          <w:bCs/>
          <w:color w:val="000000"/>
          <w:szCs w:val="24"/>
          <w:u w:val="single"/>
        </w:rPr>
        <w:t>, commonly referred to as AOD gap-filling, will be this thesis</w:t>
      </w:r>
      <w:r w:rsidR="00FD3272" w:rsidRPr="00D0111D">
        <w:rPr>
          <w:rFonts w:eastAsia="Times New Roman" w:cs="Times New Roman"/>
          <w:b/>
          <w:bCs/>
          <w:color w:val="000000"/>
          <w:szCs w:val="24"/>
          <w:u w:val="single"/>
        </w:rPr>
        <w:t>’</w:t>
      </w:r>
      <w:r w:rsidR="00826E70" w:rsidRPr="00D0111D">
        <w:rPr>
          <w:rFonts w:eastAsia="Times New Roman" w:cs="Times New Roman"/>
          <w:b/>
          <w:bCs/>
          <w:color w:val="000000"/>
          <w:szCs w:val="24"/>
          <w:u w:val="single"/>
        </w:rPr>
        <w:t>s primary focu</w:t>
      </w:r>
      <w:r w:rsidRPr="00D0111D">
        <w:rPr>
          <w:rFonts w:eastAsia="Times New Roman" w:cs="Times New Roman"/>
          <w:b/>
          <w:bCs/>
          <w:color w:val="000000"/>
          <w:szCs w:val="24"/>
          <w:u w:val="single"/>
        </w:rPr>
        <w:t>s.</w:t>
      </w:r>
      <w:r w:rsidR="00615F71" w:rsidRPr="00D0111D">
        <w:rPr>
          <w:rFonts w:eastAsia="Times New Roman" w:cs="Times New Roman"/>
          <w:b/>
          <w:bCs/>
          <w:color w:val="000000"/>
          <w:szCs w:val="24"/>
          <w:u w:val="single"/>
        </w:rPr>
        <w:t xml:space="preserve"> </w:t>
      </w:r>
    </w:p>
    <w:p w14:paraId="0FBB6A88" w14:textId="0373C998" w:rsidR="00627BB6" w:rsidRPr="00627BB6" w:rsidRDefault="00615F71" w:rsidP="00B120A4">
      <w:pPr>
        <w:spacing w:after="240"/>
        <w:ind w:firstLine="720"/>
        <w:rPr>
          <w:rFonts w:eastAsia="Times New Roman" w:cs="Times New Roman"/>
          <w:szCs w:val="24"/>
        </w:rPr>
      </w:pPr>
      <w:r>
        <w:rPr>
          <w:rFonts w:eastAsia="Times New Roman" w:cs="Times New Roman"/>
          <w:color w:val="000000"/>
          <w:szCs w:val="24"/>
        </w:rPr>
        <w:t>A</w:t>
      </w:r>
      <w:r w:rsidR="00627BB6" w:rsidRPr="00627BB6">
        <w:rPr>
          <w:rFonts w:eastAsia="Times New Roman" w:cs="Times New Roman"/>
          <w:color w:val="000000"/>
          <w:szCs w:val="24"/>
        </w:rPr>
        <w:t>OD gap-filling has been the focus of many efforts which have yielded varying degrees of success. Zhang et al.</w:t>
      </w:r>
      <w:r w:rsidR="00826E70">
        <w:rPr>
          <w:rFonts w:eastAsia="Times New Roman" w:cs="Times New Roman"/>
          <w:color w:val="000000"/>
          <w:szCs w:val="24"/>
        </w:rPr>
        <w:t>,</w:t>
      </w:r>
      <w:r w:rsidR="00627BB6" w:rsidRPr="00627BB6">
        <w:rPr>
          <w:rFonts w:eastAsia="Times New Roman" w:cs="Times New Roman"/>
          <w:color w:val="000000"/>
          <w:szCs w:val="24"/>
        </w:rPr>
        <w:t xml:space="preserve"> </w:t>
      </w:r>
      <w:r w:rsidR="00826E70">
        <w:rPr>
          <w:rFonts w:eastAsia="Times New Roman" w:cs="Times New Roman"/>
          <w:color w:val="000000"/>
          <w:szCs w:val="24"/>
        </w:rPr>
        <w:t>(</w:t>
      </w:r>
      <w:r w:rsidR="00627BB6" w:rsidRPr="00627BB6">
        <w:rPr>
          <w:rFonts w:eastAsia="Times New Roman" w:cs="Times New Roman"/>
          <w:color w:val="000000"/>
          <w:szCs w:val="24"/>
        </w:rPr>
        <w:t>2022</w:t>
      </w:r>
      <w:r w:rsidR="00826E70">
        <w:rPr>
          <w:rFonts w:eastAsia="Times New Roman" w:cs="Times New Roman"/>
          <w:color w:val="000000"/>
          <w:szCs w:val="24"/>
        </w:rPr>
        <w:t>)</w:t>
      </w:r>
      <w:r w:rsidR="00627BB6" w:rsidRPr="00627BB6">
        <w:rPr>
          <w:rFonts w:eastAsia="Times New Roman" w:cs="Times New Roman"/>
          <w:color w:val="000000"/>
          <w:szCs w:val="24"/>
        </w:rPr>
        <w:t xml:space="preserve"> summarized these as data fusion-based (linear regression, Bayesian, Bayesian maximum entropy, spatial statistical data fusion, maximum likelihood estimate, quantile regression (QR), QR neural network, QR forest, and tensor completion), </w:t>
      </w:r>
      <w:r w:rsidR="00627BB6" w:rsidRPr="00627BB6">
        <w:rPr>
          <w:rFonts w:eastAsia="Times New Roman" w:cs="Times New Roman"/>
          <w:color w:val="000000"/>
          <w:szCs w:val="24"/>
        </w:rPr>
        <w:lastRenderedPageBreak/>
        <w:t>collaborative variable-based (random forest, multiple imputation, and normalized difference vegetation index-based weighted linear regression), interpolation-based (inverse distance weighting and Kriging variations), and hybrid (linear regression and ordinary Kriging, spatial-temporal hybrid fusion considering aerosol variation mitigation, and two-step model)</w:t>
      </w:r>
      <w:r w:rsidR="008C3F88">
        <w:rPr>
          <w:rFonts w:eastAsia="Times New Roman" w:cs="Times New Roman"/>
          <w:color w:val="000000"/>
          <w:szCs w:val="24"/>
        </w:rPr>
        <w:t xml:space="preserve"> </w:t>
      </w:r>
      <w:r w:rsidR="008C3F88">
        <w:rPr>
          <w:rFonts w:eastAsia="Times New Roman" w:cs="Times New Roman"/>
          <w:color w:val="000000"/>
          <w:szCs w:val="24"/>
        </w:rPr>
        <w:fldChar w:fldCharType="begin"/>
      </w:r>
      <w:r w:rsidR="00BB6527">
        <w:rPr>
          <w:rFonts w:eastAsia="Times New Roman" w:cs="Times New Roman"/>
          <w:color w:val="000000"/>
          <w:szCs w:val="24"/>
        </w:rPr>
        <w:instrText xml:space="preserve"> ADDIN ZOTERO_ITEM CSL_CITATION {"citationID":"7loDwft0","properties":{"formattedCitation":"(T. Zhang et al., 2022)","plainCitation":"(T. Zhang et al., 2022)","dontUpdate":true,"noteIndex":0},"citationItems":[{"id":561,"uris":["http://zotero.org/groups/4584967/items/8GZFGBIC"],"itemData":{"id":561,"type":"article-journal","abstract":"Aerosol loadings and their spatial distribution are among the most important atmospheric information needed for a range of applications such as air quality monitoring, climate research, and public health. A key measure of aerosol quantity is aerosol optical depth (AOD) and it has been routinely observed from space by Earth observing satellites/instrument, especially the Moderate Resolution Imaging Spectroradiometer (MODIS). Despite its global coverage and daily temporal resolution, the MODIS Multi-Angle Implementation of Atmospheric Correction (MAIAC) AOD product is fraught with missing values, severely limiting its use. A gap-filling method which is suitable for large-area application with high efficiency to obtain gapless AOD with reasonable spatial pattern and complete coverage is still lacking. Here, we proposed a novel spatiotemporal fitting algorithm to gap-fill the daily MODIS AOD product. Our algorithm is a multi-stage method aimed to address the non-stationary nature of AOD time series. First, the trend of daily AOD in a year in each pixel was fitted via smoothing splines and the residual was derived based on the original data and the trend. Second, the residual was spatially interpolated, leveraging the spatial correlation between the target pixel and the neighboring pixels. Third, the actual AOD was calculated as the sum of the trend and interpolated residual. We tested the algorithm against ground-based AOD data from 2011 to 2018 in China and further evaluated it via cross-validation at the global scale based on 10 selected MODIS tiles. Compared to the ground-reference AOD, the RMSE of our gapless datasets were 0.24 and 0.27 for Terra and Aqua, respectively; and the cross-validation showed a RMSE ranging from 0.045 to 0.055 (Terra) and 0.047 to 0.057 (Aqua) under different missing ratios. The novel gap-filling method outperforms the Interpolation-based Correlation Weighting (ICW) and Inverse Distance Weighting (IDW) algorithms in accuracy. Meanwhile, the gapless AOD using the novel algorithm shows lower accuracy than original MAIAC AOD, similar accuracy with the AOD from the Long-term Gap-free High-resolution Air Pollutants (LGHAP) concentration dataset, higher accuracy than the AOD from the Modern-Era Retrospective Analysis for Research and Applications, Version 2 (MERRA-2). Overall, the accuracy of gapless AOD using this algorithm meets the need of typical applications in relevant studies. The proposed algorithm is transferable to other regions, with the potential to be used even operationally and efficiently for generating accurate gapless global daily AOD datasets with the input of only MODIS MAIAC AOD data.","container-title":"GIScience &amp; Remote Sensing","DOI":"10.1080/15481603.2022.2060596","ISSN":"1548-1603","issue":"1","note":"publisher: Taylor &amp; Francis\n_eprint: https://doi.org/10.1080/15481603.2022.2060596","page":"762-781","source":"Taylor and Francis+NEJM","title":"Gap-filling MODIS daily aerosol optical depth products by developing a spatiotemporal fitting algorithm","volume":"59","author":[{"family":"Zhang","given":"Tao"},{"family":"Zhou","given":"Yuyu"},{"family":"Zhao","given":"Kaiguang"},{"family":"Zhu","given":"Zhengyuan"},{"family":"Asrar","given":"Ghassem R."},{"family":"Zhao","given":"Xia"}],"issued":{"date-parts":[["2022",12,31]]},"citation-key":"zhangGapfillingMODISDaily2022"}}],"schema":"https://github.com/citation-style-language/schema/raw/master/csl-citation.json"} </w:instrText>
      </w:r>
      <w:r w:rsidR="008C3F88">
        <w:rPr>
          <w:rFonts w:eastAsia="Times New Roman" w:cs="Times New Roman"/>
          <w:color w:val="000000"/>
          <w:szCs w:val="24"/>
        </w:rPr>
        <w:fldChar w:fldCharType="separate"/>
      </w:r>
      <w:r w:rsidR="0081398F" w:rsidRPr="0081398F">
        <w:rPr>
          <w:rFonts w:cs="Times New Roman"/>
        </w:rPr>
        <w:t>(Zhang et al., 2022)</w:t>
      </w:r>
      <w:r w:rsidR="008C3F88">
        <w:rPr>
          <w:rFonts w:eastAsia="Times New Roman" w:cs="Times New Roman"/>
          <w:color w:val="000000"/>
          <w:szCs w:val="24"/>
        </w:rPr>
        <w:fldChar w:fldCharType="end"/>
      </w:r>
      <w:r w:rsidR="00627BB6" w:rsidRPr="00627BB6">
        <w:rPr>
          <w:rFonts w:eastAsia="Times New Roman" w:cs="Times New Roman"/>
          <w:color w:val="000000"/>
          <w:szCs w:val="24"/>
        </w:rPr>
        <w:t xml:space="preserve">. An important point to note is that </w:t>
      </w:r>
      <w:r w:rsidR="00624EA1">
        <w:rPr>
          <w:rFonts w:eastAsia="Times New Roman" w:cs="Times New Roman"/>
          <w:color w:val="000000"/>
          <w:szCs w:val="24"/>
        </w:rPr>
        <w:t>most</w:t>
      </w:r>
      <w:r w:rsidR="00627BB6" w:rsidRPr="00627BB6">
        <w:rPr>
          <w:rFonts w:eastAsia="Times New Roman" w:cs="Times New Roman"/>
          <w:color w:val="000000"/>
          <w:szCs w:val="24"/>
        </w:rPr>
        <w:t xml:space="preserve"> of these models have been developed for China, leaving the U.S. with no specialized solutions.</w:t>
      </w:r>
    </w:p>
    <w:p w14:paraId="2C5BD501" w14:textId="249D44A5" w:rsidR="00A463D7" w:rsidRPr="00655AB3" w:rsidRDefault="00627BB6" w:rsidP="00655AB3">
      <w:pPr>
        <w:spacing w:after="240"/>
        <w:ind w:firstLine="720"/>
        <w:rPr>
          <w:rFonts w:eastAsia="Times New Roman" w:cs="Times New Roman"/>
          <w:color w:val="000000"/>
          <w:szCs w:val="24"/>
        </w:rPr>
      </w:pPr>
      <w:r w:rsidRPr="00627BB6">
        <w:rPr>
          <w:rFonts w:eastAsia="Times New Roman" w:cs="Times New Roman"/>
          <w:color w:val="000000"/>
          <w:szCs w:val="24"/>
        </w:rPr>
        <w:t>The Bayesian method used by Singh et al.</w:t>
      </w:r>
      <w:r w:rsidR="00624EA1">
        <w:rPr>
          <w:rFonts w:eastAsia="Times New Roman" w:cs="Times New Roman"/>
          <w:color w:val="000000"/>
          <w:szCs w:val="24"/>
        </w:rPr>
        <w:t>,</w:t>
      </w:r>
      <w:r w:rsidRPr="00627BB6">
        <w:rPr>
          <w:rFonts w:eastAsia="Times New Roman" w:cs="Times New Roman"/>
          <w:color w:val="000000"/>
          <w:szCs w:val="24"/>
        </w:rPr>
        <w:t xml:space="preserve"> </w:t>
      </w:r>
      <w:r w:rsidR="00624EA1">
        <w:rPr>
          <w:rFonts w:eastAsia="Times New Roman" w:cs="Times New Roman"/>
          <w:color w:val="000000"/>
          <w:szCs w:val="24"/>
        </w:rPr>
        <w:t>(</w:t>
      </w:r>
      <w:r w:rsidRPr="00627BB6">
        <w:rPr>
          <w:rFonts w:eastAsia="Times New Roman" w:cs="Times New Roman"/>
          <w:color w:val="000000"/>
          <w:szCs w:val="24"/>
        </w:rPr>
        <w:t>2017</w:t>
      </w:r>
      <w:r w:rsidR="00624EA1">
        <w:rPr>
          <w:rFonts w:eastAsia="Times New Roman" w:cs="Times New Roman"/>
          <w:color w:val="000000"/>
          <w:szCs w:val="24"/>
        </w:rPr>
        <w:t>)</w:t>
      </w:r>
      <w:r w:rsidRPr="00627BB6">
        <w:rPr>
          <w:rFonts w:eastAsia="Times New Roman" w:cs="Times New Roman"/>
          <w:color w:val="000000"/>
          <w:szCs w:val="24"/>
        </w:rPr>
        <w:t xml:space="preserve"> focused on combining multiple AOD datasets collected from various instruments along with error distributions from AERONET in order to form a more complete and accurate daily “merged” AOD dataset in India</w:t>
      </w:r>
      <w:r w:rsidR="00B120A4">
        <w:rPr>
          <w:rFonts w:eastAsia="Times New Roman" w:cs="Times New Roman"/>
          <w:color w:val="000000"/>
          <w:szCs w:val="24"/>
        </w:rPr>
        <w:t xml:space="preserve"> </w:t>
      </w:r>
      <w:r w:rsidR="00250201">
        <w:rPr>
          <w:rFonts w:eastAsia="Times New Roman" w:cs="Times New Roman"/>
          <w:color w:val="000000"/>
          <w:szCs w:val="24"/>
        </w:rPr>
        <w:fldChar w:fldCharType="begin"/>
      </w:r>
      <w:r w:rsidR="00BB6527">
        <w:rPr>
          <w:rFonts w:eastAsia="Times New Roman" w:cs="Times New Roman"/>
          <w:color w:val="000000"/>
          <w:szCs w:val="24"/>
        </w:rPr>
        <w:instrText xml:space="preserve"> ADDIN ZOTERO_ITEM CSL_CITATION {"citationID":"uXghZrMQ","properties":{"formattedCitation":"(M. K. Singh et al., 2017)","plainCitation":"(M. K. Singh et al., 2017)","dontUpdate":true,"noteIndex":0},"citationItems":[{"id":559,"uris":["http://zotero.org/groups/4584967/items/B4GGNXD9"],"itemData":{"id":559,"type":"article-journal","abstract":"Aerosol Optical depth (AOD) routinely retrieved by spaceborne sensors (e.g., MODIS and MISR) is widely used in studies focused on atmospheric aerosol characterization, their variability/trends, and environmental/climate impacts. Despite significant advancement in the understanding of aerosol loading patterns, there exist global/regional differences among AOD products from various satellite sensors; owing to differences in retrieval algorithms, spatial/temporal resolution and sampling, and cloud-screening schemes. A merged AOD dataset combining multiple satellite retrievals is therefore desirable, which utilizes the strengths of individual products, and at the same time reduces biases relative to ground-based measurements (e.g., from aerosol robotic network (AERONET)). In view of this, a Level-2 “merged” AOD dataset based on MODIS and MISR retrievals is developed in this study using Bayesian principles, which takes into account the error distribution of AOD from AERONET data. The merged AOD dataset is demonstrated over the Indo-Gangetic Plains, in southern Asia, and is intercompared with existing satellite and AERONET data. The RMSE of the merged AOD data (0.08-0.13) is lower than the MISR and MODIS retrievals. Additionally, the merged AOD data have higher correlation with AERONET data (r within 0.89-0.93), compared to MISR (0.82-0.89) and MODIS (0.76-0.77) data. In terms of the expected error (EE), the accuracy of merged data is found to be higher, with larger percent of merged AOD within the EE envelope (74.7%-88.7%) compared to MISR (62.7%-84.9%) and MODIS (67.9%-69.8%) data. The merging methodology and resulting dataset are especially relevant in the scenario of fusing multisensor retrievals for producing long-term satellite-based climate data records.","container-title":"IEEE Journal of Selected Topics in Applied Earth Observations and Remote Sensing","DOI":"10.1109/JSTARS.2017.2734331","ISSN":"2151-1535","issue":"12","note":"event-title: IEEE Journal of Selected Topics in Applied Earth Observations and Remote Sensing","page":"5186-5200","source":"IEEE Xplore","title":"Bayesian Merging of MISR and MODIS Aerosol Optical Depth Products Using Error Distributions From AERONET","volume":"10","author":[{"family":"Singh","given":"Manoj K."},{"family":"Gautam","given":"Ritesh"},{"family":"Venkatachalam","given":"P."}],"issued":{"date-parts":[["2017",12]]},"citation-key":"singhBayesianMergingMISR2017"}}],"schema":"https://github.com/citation-style-language/schema/raw/master/csl-citation.json"} </w:instrText>
      </w:r>
      <w:r w:rsidR="00250201">
        <w:rPr>
          <w:rFonts w:eastAsia="Times New Roman" w:cs="Times New Roman"/>
          <w:color w:val="000000"/>
          <w:szCs w:val="24"/>
        </w:rPr>
        <w:fldChar w:fldCharType="separate"/>
      </w:r>
      <w:r w:rsidR="00250201" w:rsidRPr="00250201">
        <w:rPr>
          <w:rFonts w:cs="Times New Roman"/>
        </w:rPr>
        <w:t>(Singh et al., 2017)</w:t>
      </w:r>
      <w:r w:rsidR="00250201">
        <w:rPr>
          <w:rFonts w:eastAsia="Times New Roman" w:cs="Times New Roman"/>
          <w:color w:val="000000"/>
          <w:szCs w:val="24"/>
        </w:rPr>
        <w:fldChar w:fldCharType="end"/>
      </w:r>
      <w:r w:rsidRPr="00627BB6">
        <w:rPr>
          <w:rFonts w:eastAsia="Times New Roman" w:cs="Times New Roman"/>
          <w:color w:val="000000"/>
          <w:szCs w:val="24"/>
        </w:rPr>
        <w:t>. This method results in high correlation r</w:t>
      </w:r>
      <w:r w:rsidR="0051367D">
        <w:rPr>
          <w:rFonts w:eastAsia="Times New Roman" w:cs="Times New Roman"/>
          <w:color w:val="000000"/>
          <w:szCs w:val="24"/>
        </w:rPr>
        <w:t>~</w:t>
      </w:r>
      <w:r w:rsidRPr="00627BB6">
        <w:rPr>
          <w:rFonts w:eastAsia="Times New Roman" w:cs="Times New Roman"/>
          <w:color w:val="000000"/>
          <w:szCs w:val="24"/>
        </w:rPr>
        <w:t>0.89-0.93</w:t>
      </w:r>
      <w:r w:rsidR="0051367D">
        <w:rPr>
          <w:rFonts w:eastAsia="Times New Roman" w:cs="Times New Roman"/>
          <w:color w:val="000000"/>
          <w:szCs w:val="24"/>
        </w:rPr>
        <w:t xml:space="preserve"> </w:t>
      </w:r>
      <w:r w:rsidRPr="00627BB6">
        <w:rPr>
          <w:rFonts w:eastAsia="Times New Roman" w:cs="Times New Roman"/>
          <w:color w:val="000000"/>
          <w:szCs w:val="24"/>
        </w:rPr>
        <w:t>and RMSE</w:t>
      </w:r>
      <w:r w:rsidR="0051367D">
        <w:rPr>
          <w:rFonts w:eastAsia="Times New Roman" w:cs="Times New Roman"/>
          <w:color w:val="000000"/>
          <w:szCs w:val="24"/>
        </w:rPr>
        <w:t>~</w:t>
      </w:r>
      <w:r w:rsidRPr="00627BB6">
        <w:rPr>
          <w:rFonts w:eastAsia="Times New Roman" w:cs="Times New Roman"/>
          <w:color w:val="000000"/>
          <w:szCs w:val="24"/>
        </w:rPr>
        <w:t>0.08-0.13 with AERONET compared to the original input datasets. Unfortunately, gaps still exist in the merged dataset where no retrievals in the input datasets exist.</w:t>
      </w:r>
      <w:r w:rsidR="003E3BC8">
        <w:rPr>
          <w:rFonts w:eastAsia="Times New Roman" w:cs="Times New Roman"/>
          <w:color w:val="000000"/>
          <w:szCs w:val="24"/>
        </w:rPr>
        <w:t xml:space="preserve"> </w:t>
      </w:r>
      <w:r w:rsidRPr="00627BB6">
        <w:rPr>
          <w:rFonts w:eastAsia="Times New Roman" w:cs="Times New Roman"/>
          <w:color w:val="000000"/>
          <w:szCs w:val="24"/>
        </w:rPr>
        <w:t>Tang et al.</w:t>
      </w:r>
      <w:r w:rsidR="00511E40">
        <w:rPr>
          <w:rFonts w:eastAsia="Times New Roman" w:cs="Times New Roman"/>
          <w:color w:val="000000"/>
          <w:szCs w:val="24"/>
        </w:rPr>
        <w:t>,</w:t>
      </w:r>
      <w:r w:rsidRPr="00627BB6">
        <w:rPr>
          <w:rFonts w:eastAsia="Times New Roman" w:cs="Times New Roman"/>
          <w:color w:val="000000"/>
          <w:szCs w:val="24"/>
        </w:rPr>
        <w:t xml:space="preserve"> </w:t>
      </w:r>
      <w:r w:rsidR="00511E40">
        <w:rPr>
          <w:rFonts w:eastAsia="Times New Roman" w:cs="Times New Roman"/>
          <w:color w:val="000000"/>
          <w:szCs w:val="24"/>
        </w:rPr>
        <w:t>(</w:t>
      </w:r>
      <w:r w:rsidR="002255D3">
        <w:rPr>
          <w:rFonts w:eastAsia="Times New Roman" w:cs="Times New Roman"/>
          <w:color w:val="000000"/>
          <w:szCs w:val="24"/>
        </w:rPr>
        <w:t>2016</w:t>
      </w:r>
      <w:r w:rsidR="00511E40">
        <w:rPr>
          <w:rFonts w:eastAsia="Times New Roman" w:cs="Times New Roman"/>
          <w:color w:val="000000"/>
          <w:szCs w:val="24"/>
        </w:rPr>
        <w:t xml:space="preserve">) </w:t>
      </w:r>
      <w:r w:rsidRPr="00627BB6">
        <w:rPr>
          <w:rFonts w:eastAsia="Times New Roman" w:cs="Times New Roman"/>
          <w:color w:val="000000"/>
          <w:szCs w:val="24"/>
        </w:rPr>
        <w:t xml:space="preserve">introduced a Bayesian maximum entropy </w:t>
      </w:r>
      <w:r w:rsidR="003E3BC8" w:rsidRPr="00627BB6">
        <w:rPr>
          <w:rFonts w:eastAsia="Times New Roman" w:cs="Times New Roman"/>
          <w:color w:val="000000"/>
          <w:szCs w:val="24"/>
        </w:rPr>
        <w:t>approach to</w:t>
      </w:r>
      <w:r w:rsidRPr="00627BB6">
        <w:rPr>
          <w:rFonts w:eastAsia="Times New Roman" w:cs="Times New Roman"/>
          <w:color w:val="000000"/>
          <w:szCs w:val="24"/>
        </w:rPr>
        <w:t xml:space="preserve"> create a more spatially complete daily AOD dataset over China. This method also merges various satellite AOD </w:t>
      </w:r>
      <w:r w:rsidR="003E3BC8" w:rsidRPr="00627BB6">
        <w:rPr>
          <w:rFonts w:eastAsia="Times New Roman" w:cs="Times New Roman"/>
          <w:color w:val="000000"/>
          <w:szCs w:val="24"/>
        </w:rPr>
        <w:t>products and</w:t>
      </w:r>
      <w:r w:rsidRPr="00627BB6">
        <w:rPr>
          <w:rFonts w:eastAsia="Times New Roman" w:cs="Times New Roman"/>
          <w:color w:val="000000"/>
          <w:szCs w:val="24"/>
        </w:rPr>
        <w:t xml:space="preserve"> is able to produce a dataset that is 95.2% complete compared to MODIS (22.9%) and Sea-viewing Wide Field-of-view Sensor (20.2%). A correlation of r</w:t>
      </w:r>
      <w:r w:rsidR="00C23F4B">
        <w:rPr>
          <w:rFonts w:eastAsia="Times New Roman" w:cs="Times New Roman"/>
          <w:color w:val="000000"/>
          <w:szCs w:val="24"/>
        </w:rPr>
        <w:t>~</w:t>
      </w:r>
      <w:r w:rsidRPr="00627BB6">
        <w:rPr>
          <w:rFonts w:eastAsia="Times New Roman" w:cs="Times New Roman"/>
          <w:color w:val="000000"/>
          <w:szCs w:val="24"/>
        </w:rPr>
        <w:t>0.75 and RMSE</w:t>
      </w:r>
      <w:r w:rsidR="00C23F4B">
        <w:rPr>
          <w:rFonts w:eastAsia="Times New Roman" w:cs="Times New Roman"/>
          <w:color w:val="000000"/>
          <w:szCs w:val="24"/>
        </w:rPr>
        <w:t>~</w:t>
      </w:r>
      <w:r w:rsidRPr="00627BB6">
        <w:rPr>
          <w:rFonts w:eastAsia="Times New Roman" w:cs="Times New Roman"/>
          <w:color w:val="000000"/>
          <w:szCs w:val="24"/>
        </w:rPr>
        <w:t>0.29 was achieved against AERONET.</w:t>
      </w:r>
      <w:r w:rsidR="003E3BC8">
        <w:rPr>
          <w:rFonts w:eastAsia="Times New Roman" w:cs="Times New Roman"/>
          <w:color w:val="000000"/>
          <w:szCs w:val="24"/>
        </w:rPr>
        <w:t xml:space="preserve"> </w:t>
      </w:r>
      <w:r w:rsidRPr="00627BB6">
        <w:rPr>
          <w:rFonts w:eastAsia="Times New Roman" w:cs="Times New Roman"/>
          <w:color w:val="000000"/>
          <w:szCs w:val="24"/>
        </w:rPr>
        <w:t>Jiang et al.</w:t>
      </w:r>
      <w:r w:rsidR="00A701DD">
        <w:rPr>
          <w:rFonts w:eastAsia="Times New Roman" w:cs="Times New Roman"/>
          <w:color w:val="000000"/>
          <w:szCs w:val="24"/>
        </w:rPr>
        <w:t>, (2021)</w:t>
      </w:r>
      <w:r w:rsidRPr="00627BB6">
        <w:rPr>
          <w:rFonts w:eastAsia="Times New Roman" w:cs="Times New Roman"/>
          <w:color w:val="000000"/>
          <w:szCs w:val="24"/>
        </w:rPr>
        <w:t xml:space="preserve"> developed a random forest model to produce hourly gap-filled AOD datasets for China using MAIAC and AHI</w:t>
      </w:r>
      <w:r w:rsidR="000A3B6E">
        <w:rPr>
          <w:rFonts w:eastAsia="Times New Roman" w:cs="Times New Roman"/>
          <w:color w:val="000000"/>
          <w:szCs w:val="24"/>
        </w:rPr>
        <w:t xml:space="preserve"> (Advanced Himawari Imager, </w:t>
      </w:r>
      <w:r w:rsidR="00633B8B">
        <w:rPr>
          <w:rFonts w:eastAsia="Times New Roman" w:cs="Times New Roman"/>
          <w:color w:val="000000"/>
          <w:szCs w:val="24"/>
        </w:rPr>
        <w:t xml:space="preserve">a </w:t>
      </w:r>
      <w:r w:rsidR="007C71BE">
        <w:rPr>
          <w:rFonts w:eastAsia="Times New Roman" w:cs="Times New Roman"/>
          <w:color w:val="000000"/>
          <w:szCs w:val="24"/>
        </w:rPr>
        <w:t>satellite</w:t>
      </w:r>
      <w:r w:rsidR="008E7DBD">
        <w:rPr>
          <w:rFonts w:eastAsia="Times New Roman" w:cs="Times New Roman"/>
          <w:color w:val="000000"/>
          <w:szCs w:val="24"/>
        </w:rPr>
        <w:t>-</w:t>
      </w:r>
      <w:r w:rsidR="007C71BE">
        <w:rPr>
          <w:rFonts w:eastAsia="Times New Roman" w:cs="Times New Roman"/>
          <w:color w:val="000000"/>
          <w:szCs w:val="24"/>
        </w:rPr>
        <w:t xml:space="preserve">mounted </w:t>
      </w:r>
      <w:r w:rsidR="00633B8B">
        <w:rPr>
          <w:rFonts w:eastAsia="Times New Roman" w:cs="Times New Roman"/>
          <w:color w:val="000000"/>
          <w:szCs w:val="24"/>
        </w:rPr>
        <w:t>multispectral imager also capable of retrieving AOD)</w:t>
      </w:r>
      <w:r w:rsidRPr="00627BB6">
        <w:rPr>
          <w:rFonts w:eastAsia="Times New Roman" w:cs="Times New Roman"/>
          <w:color w:val="000000"/>
          <w:szCs w:val="24"/>
        </w:rPr>
        <w:t xml:space="preserve"> AOD as well as meteorological and geographical variables. They achieved a correlation of r</w:t>
      </w:r>
      <w:r w:rsidR="00C23F4B">
        <w:rPr>
          <w:rFonts w:eastAsia="Times New Roman" w:cs="Times New Roman"/>
          <w:color w:val="000000"/>
          <w:szCs w:val="24"/>
        </w:rPr>
        <w:t>~</w:t>
      </w:r>
      <w:r w:rsidRPr="00627BB6">
        <w:rPr>
          <w:rFonts w:eastAsia="Times New Roman" w:cs="Times New Roman"/>
          <w:color w:val="000000"/>
          <w:szCs w:val="24"/>
        </w:rPr>
        <w:t>0.60 and RMSE</w:t>
      </w:r>
      <w:r w:rsidR="00C23F4B">
        <w:rPr>
          <w:rFonts w:eastAsia="Times New Roman" w:cs="Times New Roman"/>
          <w:color w:val="000000"/>
          <w:szCs w:val="24"/>
        </w:rPr>
        <w:t>~</w:t>
      </w:r>
      <w:r w:rsidRPr="00627BB6">
        <w:rPr>
          <w:rFonts w:eastAsia="Times New Roman" w:cs="Times New Roman"/>
          <w:color w:val="000000"/>
          <w:szCs w:val="24"/>
        </w:rPr>
        <w:t>0.20.</w:t>
      </w:r>
      <w:r w:rsidR="003E3BC8">
        <w:rPr>
          <w:rFonts w:eastAsia="Times New Roman" w:cs="Times New Roman"/>
          <w:color w:val="000000"/>
          <w:szCs w:val="24"/>
        </w:rPr>
        <w:t xml:space="preserve"> </w:t>
      </w:r>
      <w:r w:rsidRPr="00627BB6">
        <w:rPr>
          <w:rFonts w:eastAsia="Times New Roman" w:cs="Times New Roman"/>
          <w:color w:val="000000"/>
          <w:szCs w:val="24"/>
        </w:rPr>
        <w:t xml:space="preserve">Bai et al. </w:t>
      </w:r>
      <w:r w:rsidR="00AF50A1">
        <w:rPr>
          <w:rFonts w:eastAsia="Times New Roman" w:cs="Times New Roman"/>
          <w:color w:val="000000"/>
          <w:szCs w:val="24"/>
        </w:rPr>
        <w:t>(2022)</w:t>
      </w:r>
      <w:r w:rsidR="007D1863">
        <w:rPr>
          <w:rFonts w:eastAsia="Times New Roman" w:cs="Times New Roman"/>
          <w:color w:val="000000"/>
          <w:szCs w:val="24"/>
        </w:rPr>
        <w:t xml:space="preserve"> created</w:t>
      </w:r>
      <w:r w:rsidRPr="00627BB6">
        <w:rPr>
          <w:rFonts w:eastAsia="Times New Roman" w:cs="Times New Roman"/>
          <w:color w:val="000000"/>
          <w:szCs w:val="24"/>
        </w:rPr>
        <w:t xml:space="preserve"> a long-term (2000-2020) high-resolution (1 km) gap-free AOD dataset over China using tensor completi</w:t>
      </w:r>
      <w:r w:rsidR="007D1863">
        <w:rPr>
          <w:rFonts w:eastAsia="Times New Roman" w:cs="Times New Roman"/>
          <w:color w:val="000000"/>
          <w:szCs w:val="24"/>
        </w:rPr>
        <w:t>on</w:t>
      </w:r>
      <w:r w:rsidRPr="00627BB6">
        <w:rPr>
          <w:rFonts w:eastAsia="Times New Roman" w:cs="Times New Roman"/>
          <w:color w:val="000000"/>
          <w:szCs w:val="24"/>
        </w:rPr>
        <w:t xml:space="preserve">. They </w:t>
      </w:r>
      <w:r w:rsidR="007D1863">
        <w:rPr>
          <w:rFonts w:eastAsia="Times New Roman" w:cs="Times New Roman"/>
          <w:color w:val="000000"/>
          <w:szCs w:val="24"/>
        </w:rPr>
        <w:t>used</w:t>
      </w:r>
      <w:r w:rsidRPr="00627BB6">
        <w:rPr>
          <w:rFonts w:eastAsia="Times New Roman" w:cs="Times New Roman"/>
          <w:color w:val="000000"/>
          <w:szCs w:val="24"/>
        </w:rPr>
        <w:t xml:space="preserve"> a diverse dataset composed of AOD from multiple instruments/models, meteorology, air quality measurements, and land-use variables into a tensor-flow-based data fusion method. </w:t>
      </w:r>
      <w:r w:rsidRPr="00627BB6">
        <w:rPr>
          <w:rFonts w:eastAsia="Times New Roman" w:cs="Times New Roman"/>
          <w:color w:val="000000"/>
          <w:szCs w:val="24"/>
        </w:rPr>
        <w:lastRenderedPageBreak/>
        <w:t>Their method results in a correlation of r</w:t>
      </w:r>
      <w:r w:rsidR="00F4641A">
        <w:rPr>
          <w:rFonts w:eastAsia="Times New Roman" w:cs="Times New Roman"/>
          <w:color w:val="000000"/>
          <w:szCs w:val="24"/>
        </w:rPr>
        <w:t>~</w:t>
      </w:r>
      <w:r w:rsidRPr="00627BB6">
        <w:rPr>
          <w:rFonts w:eastAsia="Times New Roman" w:cs="Times New Roman"/>
          <w:color w:val="000000"/>
          <w:szCs w:val="24"/>
        </w:rPr>
        <w:t>0.91 and RMSE</w:t>
      </w:r>
      <w:r w:rsidR="00C23F4B">
        <w:rPr>
          <w:rFonts w:eastAsia="Times New Roman" w:cs="Times New Roman"/>
          <w:color w:val="000000"/>
          <w:szCs w:val="24"/>
        </w:rPr>
        <w:t>~</w:t>
      </w:r>
      <w:r w:rsidRPr="00627BB6">
        <w:rPr>
          <w:rFonts w:eastAsia="Times New Roman" w:cs="Times New Roman"/>
          <w:color w:val="000000"/>
          <w:szCs w:val="24"/>
        </w:rPr>
        <w:t>0.21</w:t>
      </w:r>
      <w:r w:rsidR="006613CD">
        <w:rPr>
          <w:rFonts w:eastAsia="Times New Roman" w:cs="Times New Roman"/>
          <w:color w:val="000000"/>
          <w:szCs w:val="24"/>
        </w:rPr>
        <w:t xml:space="preserve">. </w:t>
      </w:r>
      <w:r w:rsidR="00AE4CD7">
        <w:rPr>
          <w:rFonts w:eastAsia="Times New Roman" w:cs="Times New Roman"/>
          <w:color w:val="000000"/>
          <w:szCs w:val="24"/>
        </w:rPr>
        <w:t xml:space="preserve">Wei et al., (2023) </w:t>
      </w:r>
      <w:r w:rsidR="007259A2">
        <w:rPr>
          <w:rFonts w:eastAsia="Times New Roman" w:cs="Times New Roman"/>
          <w:color w:val="000000"/>
          <w:szCs w:val="24"/>
        </w:rPr>
        <w:t>developed a 4-Dimensional Space-Time Extra-Trees (4D-STET) model</w:t>
      </w:r>
      <w:r w:rsidR="00570CD3">
        <w:rPr>
          <w:rFonts w:eastAsia="Times New Roman" w:cs="Times New Roman"/>
          <w:color w:val="000000"/>
          <w:szCs w:val="24"/>
        </w:rPr>
        <w:t xml:space="preserve"> </w:t>
      </w:r>
      <w:r w:rsidR="0083174D">
        <w:rPr>
          <w:rFonts w:eastAsia="Times New Roman" w:cs="Times New Roman"/>
          <w:color w:val="000000"/>
          <w:szCs w:val="24"/>
        </w:rPr>
        <w:t xml:space="preserve">which they used to generate global daily gap-filled AOD datasets </w:t>
      </w:r>
      <w:r w:rsidR="00CC7FF3">
        <w:rPr>
          <w:rFonts w:eastAsia="Times New Roman" w:cs="Times New Roman"/>
          <w:color w:val="000000"/>
          <w:szCs w:val="24"/>
        </w:rPr>
        <w:t xml:space="preserve">using Terra and Aqua MAIAC AOD retrievals along with </w:t>
      </w:r>
      <w:r w:rsidR="003B55A6">
        <w:rPr>
          <w:rFonts w:eastAsia="Times New Roman" w:cs="Times New Roman"/>
          <w:color w:val="000000"/>
          <w:szCs w:val="24"/>
        </w:rPr>
        <w:t>modeled AOD, meteorological variables, and land-use variables.</w:t>
      </w:r>
      <w:r w:rsidR="00E0726E">
        <w:rPr>
          <w:rFonts w:eastAsia="Times New Roman" w:cs="Times New Roman"/>
          <w:color w:val="000000"/>
          <w:szCs w:val="24"/>
        </w:rPr>
        <w:t xml:space="preserve"> Their method achieved a correlation of r~</w:t>
      </w:r>
      <w:r w:rsidR="00BD296E">
        <w:rPr>
          <w:rFonts w:eastAsia="Times New Roman" w:cs="Times New Roman"/>
          <w:color w:val="000000"/>
          <w:szCs w:val="24"/>
        </w:rPr>
        <w:t>0.73 with AERONET.</w:t>
      </w:r>
    </w:p>
    <w:p w14:paraId="5DD9C5A2" w14:textId="4843EAEF" w:rsidR="00627BB6" w:rsidRPr="00627BB6" w:rsidRDefault="00685979" w:rsidP="00BF7452">
      <w:pPr>
        <w:spacing w:after="0"/>
        <w:ind w:firstLine="720"/>
        <w:rPr>
          <w:rFonts w:eastAsia="Times New Roman" w:cs="Times New Roman"/>
          <w:szCs w:val="24"/>
        </w:rPr>
      </w:pPr>
      <w:r>
        <w:rPr>
          <w:rFonts w:eastAsia="Times New Roman" w:cs="Times New Roman"/>
          <w:color w:val="000000"/>
          <w:szCs w:val="24"/>
        </w:rPr>
        <w:t xml:space="preserve">The </w:t>
      </w:r>
      <w:r w:rsidR="005A1AB9">
        <w:rPr>
          <w:rFonts w:eastAsia="Times New Roman" w:cs="Times New Roman"/>
          <w:color w:val="000000"/>
          <w:szCs w:val="24"/>
        </w:rPr>
        <w:t xml:space="preserve">core research question of the work presented in this thesis is </w:t>
      </w:r>
      <w:r w:rsidR="00A542D7" w:rsidRPr="00545924">
        <w:rPr>
          <w:rFonts w:eastAsia="Times New Roman" w:cs="Times New Roman"/>
          <w:b/>
          <w:bCs/>
          <w:color w:val="000000"/>
          <w:szCs w:val="24"/>
        </w:rPr>
        <w:t xml:space="preserve">whether we can </w:t>
      </w:r>
      <w:r w:rsidR="00545924" w:rsidRPr="00545924">
        <w:rPr>
          <w:rFonts w:eastAsia="Times New Roman" w:cs="Times New Roman"/>
          <w:b/>
          <w:bCs/>
          <w:color w:val="000000"/>
          <w:szCs w:val="24"/>
        </w:rPr>
        <w:t>develop an AOD gap-filling model</w:t>
      </w:r>
      <w:r w:rsidR="00344DDD">
        <w:rPr>
          <w:rFonts w:eastAsia="Times New Roman" w:cs="Times New Roman"/>
          <w:b/>
          <w:bCs/>
          <w:color w:val="000000"/>
          <w:szCs w:val="24"/>
        </w:rPr>
        <w:t xml:space="preserve"> specialized for the continental U.S. (CONUS)</w:t>
      </w:r>
      <w:r w:rsidR="00545924" w:rsidRPr="00545924">
        <w:rPr>
          <w:rFonts w:eastAsia="Times New Roman" w:cs="Times New Roman"/>
          <w:b/>
          <w:bCs/>
          <w:color w:val="000000"/>
          <w:szCs w:val="24"/>
        </w:rPr>
        <w:t xml:space="preserve"> using</w:t>
      </w:r>
      <w:r w:rsidR="000704F1">
        <w:rPr>
          <w:rFonts w:eastAsia="Times New Roman" w:cs="Times New Roman"/>
          <w:b/>
          <w:bCs/>
          <w:color w:val="000000"/>
          <w:szCs w:val="24"/>
        </w:rPr>
        <w:t xml:space="preserve"> Deep Learning (DL) techniques</w:t>
      </w:r>
      <w:r w:rsidR="00A30DBF">
        <w:rPr>
          <w:rFonts w:eastAsia="Times New Roman" w:cs="Times New Roman"/>
          <w:color w:val="000000"/>
          <w:szCs w:val="24"/>
        </w:rPr>
        <w:t>.</w:t>
      </w:r>
      <w:r w:rsidR="00A30DBF">
        <w:rPr>
          <w:rFonts w:eastAsia="Times New Roman" w:cs="Times New Roman"/>
          <w:b/>
          <w:bCs/>
          <w:color w:val="000000"/>
          <w:szCs w:val="24"/>
        </w:rPr>
        <w:t xml:space="preserve"> </w:t>
      </w:r>
      <w:r w:rsidR="000704F1">
        <w:rPr>
          <w:rFonts w:eastAsia="Times New Roman" w:cs="Times New Roman"/>
          <w:color w:val="000000"/>
          <w:szCs w:val="24"/>
        </w:rPr>
        <w:t>DL</w:t>
      </w:r>
      <w:r w:rsidR="00627BB6" w:rsidRPr="00627BB6">
        <w:rPr>
          <w:rFonts w:eastAsia="Times New Roman" w:cs="Times New Roman"/>
          <w:color w:val="000000"/>
          <w:szCs w:val="24"/>
        </w:rPr>
        <w:t xml:space="preserve"> is a subfield within machine learning (ML), which </w:t>
      </w:r>
      <w:r w:rsidR="000704F1">
        <w:rPr>
          <w:rFonts w:eastAsia="Times New Roman" w:cs="Times New Roman"/>
          <w:color w:val="000000"/>
          <w:szCs w:val="24"/>
        </w:rPr>
        <w:t>studies</w:t>
      </w:r>
      <w:r w:rsidR="00627BB6" w:rsidRPr="00627BB6">
        <w:rPr>
          <w:rFonts w:eastAsia="Times New Roman" w:cs="Times New Roman"/>
          <w:color w:val="000000"/>
          <w:szCs w:val="24"/>
        </w:rPr>
        <w:t xml:space="preserve"> </w:t>
      </w:r>
      <w:r w:rsidR="00C74E76">
        <w:rPr>
          <w:rFonts w:eastAsia="Times New Roman" w:cs="Times New Roman"/>
          <w:color w:val="000000"/>
          <w:szCs w:val="24"/>
        </w:rPr>
        <w:t xml:space="preserve">computer systems that can </w:t>
      </w:r>
      <w:r w:rsidR="00B17B7F">
        <w:rPr>
          <w:rFonts w:eastAsia="Times New Roman" w:cs="Times New Roman"/>
          <w:color w:val="000000"/>
          <w:szCs w:val="24"/>
        </w:rPr>
        <w:t>automatically improve through experience</w:t>
      </w:r>
      <w:r w:rsidR="00F66809">
        <w:rPr>
          <w:rFonts w:eastAsia="Times New Roman" w:cs="Times New Roman"/>
          <w:color w:val="000000"/>
          <w:szCs w:val="24"/>
        </w:rPr>
        <w:t xml:space="preserve"> </w:t>
      </w:r>
      <w:r w:rsidR="00777643">
        <w:rPr>
          <w:rFonts w:eastAsia="Times New Roman" w:cs="Times New Roman"/>
          <w:color w:val="000000"/>
          <w:szCs w:val="24"/>
        </w:rPr>
        <w:fldChar w:fldCharType="begin"/>
      </w:r>
      <w:r w:rsidR="00BB6527">
        <w:rPr>
          <w:rFonts w:eastAsia="Times New Roman" w:cs="Times New Roman"/>
          <w:color w:val="000000"/>
          <w:szCs w:val="24"/>
        </w:rPr>
        <w:instrText xml:space="preserve"> ADDIN ZOTERO_ITEM CSL_CITATION {"citationID":"LhqTAioT","properties":{"formattedCitation":"(Jordan &amp; Mitchell, 2015)","plainCitation":"(Jordan &amp; Mitchell, 2015)","noteIndex":0},"citationItems":[{"id":552,"uris":["http://zotero.org/groups/4584967/items/KQNNK4JR"],"itemData":{"id":552,"type":"article-journal","abstract":"Machine learning addresses the question of how to build computers that improve automatically through experience. It is one of today’s most rapidly growing technical fields, lying at the intersection of computer science and statistics, and at the core of artificial intelligence and data science. Recent progress in machine learning has been driven both by the development of new learning algorithms and theory and by the ongoing explosion in the availability of online data and low-cost computation. The adoption of data-intensive machine-learning methods can be found throughout science, technology and commerce, leading to more evidence-based decision-making across many walks of life, including health care, manufacturing, education, financial modeling, policing, and marketing.","container-title":"Science","DOI":"10.1126/science.aaa8415","issue":"6245","note":"publisher: American Association for the Advancement of Science","page":"255-260","source":"science.org (Atypon)","title":"Machine learning: Trends, perspectives, and prospects","title-short":"Machine learning","volume":"349","author":[{"family":"Jordan","given":"M. I."},{"family":"Mitchell","given":"T. M."}],"issued":{"date-parts":[["2015",7,17]]},"citation-key":"jordanMachineLearningTrends2015"}}],"schema":"https://github.com/citation-style-language/schema/raw/master/csl-citation.json"} </w:instrText>
      </w:r>
      <w:r w:rsidR="00777643">
        <w:rPr>
          <w:rFonts w:eastAsia="Times New Roman" w:cs="Times New Roman"/>
          <w:color w:val="000000"/>
          <w:szCs w:val="24"/>
        </w:rPr>
        <w:fldChar w:fldCharType="separate"/>
      </w:r>
      <w:r w:rsidR="00777643" w:rsidRPr="00777643">
        <w:rPr>
          <w:rFonts w:cs="Times New Roman"/>
        </w:rPr>
        <w:t>(Jordan &amp; Mitchell, 2015)</w:t>
      </w:r>
      <w:r w:rsidR="00777643">
        <w:rPr>
          <w:rFonts w:eastAsia="Times New Roman" w:cs="Times New Roman"/>
          <w:color w:val="000000"/>
          <w:szCs w:val="24"/>
        </w:rPr>
        <w:fldChar w:fldCharType="end"/>
      </w:r>
      <w:r w:rsidR="00627BB6" w:rsidRPr="00627BB6">
        <w:rPr>
          <w:rFonts w:eastAsia="Times New Roman" w:cs="Times New Roman"/>
          <w:color w:val="000000"/>
          <w:szCs w:val="24"/>
        </w:rPr>
        <w:t xml:space="preserve">. Methods within </w:t>
      </w:r>
      <w:r w:rsidR="00910F8F">
        <w:rPr>
          <w:rFonts w:eastAsia="Times New Roman" w:cs="Times New Roman"/>
          <w:color w:val="000000"/>
          <w:szCs w:val="24"/>
        </w:rPr>
        <w:t xml:space="preserve">DL </w:t>
      </w:r>
      <w:r w:rsidR="00627BB6" w:rsidRPr="00627BB6">
        <w:rPr>
          <w:rFonts w:eastAsia="Times New Roman" w:cs="Times New Roman"/>
          <w:color w:val="000000"/>
          <w:szCs w:val="24"/>
        </w:rPr>
        <w:t>are characterized by the use of extremely large, or “deep”</w:t>
      </w:r>
      <w:r w:rsidR="0015179B">
        <w:rPr>
          <w:rFonts w:eastAsia="Times New Roman" w:cs="Times New Roman"/>
          <w:color w:val="000000"/>
          <w:szCs w:val="24"/>
        </w:rPr>
        <w:t>,</w:t>
      </w:r>
      <w:r w:rsidR="00627BB6" w:rsidRPr="00627BB6">
        <w:rPr>
          <w:rFonts w:eastAsia="Times New Roman" w:cs="Times New Roman"/>
          <w:color w:val="000000"/>
          <w:szCs w:val="24"/>
        </w:rPr>
        <w:t xml:space="preserve"> artificial neural networks (ANN), hence the name</w:t>
      </w:r>
      <w:r w:rsidR="0085480F">
        <w:rPr>
          <w:rFonts w:eastAsia="Times New Roman" w:cs="Times New Roman"/>
          <w:color w:val="000000"/>
          <w:szCs w:val="24"/>
        </w:rPr>
        <w:t xml:space="preserve"> </w:t>
      </w:r>
      <w:r w:rsidR="0085480F">
        <w:rPr>
          <w:rFonts w:eastAsia="Times New Roman" w:cs="Times New Roman"/>
          <w:color w:val="000000"/>
          <w:szCs w:val="24"/>
        </w:rPr>
        <w:fldChar w:fldCharType="begin"/>
      </w:r>
      <w:r w:rsidR="00BB6527">
        <w:rPr>
          <w:rFonts w:eastAsia="Times New Roman" w:cs="Times New Roman"/>
          <w:color w:val="000000"/>
          <w:szCs w:val="24"/>
        </w:rPr>
        <w:instrText xml:space="preserve"> ADDIN ZOTERO_ITEM CSL_CITATION {"citationID":"15QI5qMO","properties":{"formattedCitation":"(LeCun et al., 2015)","plainCitation":"(LeCun et al., 2015)","noteIndex":0},"citationItems":[{"id":551,"uris":["http://zotero.org/groups/4584967/items/5CB89ATR"],"itemData":{"id":551,"type":"article-journal","abstract":"Deep learning allows computational models that are composed of multiple processing layers to learn representations of data with multiple levels of abstraction. These methods have dramatically improved the state-of-the-art in speech recognition, visual object recognition, object detection and many other domains such as drug discovery and genomics. Deep learning discovers intricate structure in large data sets by using the backpropagation algorithm to indicate how a machine should change its internal parameters that are used to compute the representation in each layer from the representation in the previous layer. Deep convolutional nets have brought about breakthroughs in processing images, video, speech and audio, whereas recurrent nets have shone light on sequential data such as text and speech.","container-title":"Nature","DOI":"10.1038/nature14539","ISSN":"1476-4687","issue":"7553","language":"en","license":"2015 Springer Nature Limited","note":"number: 7553\npublisher: Nature Publishing Group","page":"436-444","source":"www.nature.com","title":"Deep learning","volume":"521","author":[{"family":"LeCun","given":"Yann"},{"family":"Bengio","given":"Yoshua"},{"family":"Hinton","given":"Geoffrey"}],"issued":{"date-parts":[["2015",5]]},"citation-key":"lecunDeepLearning2015"}}],"schema":"https://github.com/citation-style-language/schema/raw/master/csl-citation.json"} </w:instrText>
      </w:r>
      <w:r w:rsidR="0085480F">
        <w:rPr>
          <w:rFonts w:eastAsia="Times New Roman" w:cs="Times New Roman"/>
          <w:color w:val="000000"/>
          <w:szCs w:val="24"/>
        </w:rPr>
        <w:fldChar w:fldCharType="separate"/>
      </w:r>
      <w:r w:rsidR="0085480F" w:rsidRPr="0085480F">
        <w:rPr>
          <w:rFonts w:cs="Times New Roman"/>
        </w:rPr>
        <w:t>(LeCun et al., 2015)</w:t>
      </w:r>
      <w:r w:rsidR="0085480F">
        <w:rPr>
          <w:rFonts w:eastAsia="Times New Roman" w:cs="Times New Roman"/>
          <w:color w:val="000000"/>
          <w:szCs w:val="24"/>
        </w:rPr>
        <w:fldChar w:fldCharType="end"/>
      </w:r>
      <w:r w:rsidR="00627BB6" w:rsidRPr="00627BB6">
        <w:rPr>
          <w:rFonts w:eastAsia="Times New Roman" w:cs="Times New Roman"/>
          <w:color w:val="000000"/>
          <w:szCs w:val="24"/>
        </w:rPr>
        <w:t>. ANN’s</w:t>
      </w:r>
      <w:r w:rsidR="00910F8F">
        <w:rPr>
          <w:rFonts w:eastAsia="Times New Roman" w:cs="Times New Roman"/>
          <w:color w:val="000000"/>
          <w:szCs w:val="24"/>
        </w:rPr>
        <w:t xml:space="preserve"> </w:t>
      </w:r>
      <w:r w:rsidR="00627BB6" w:rsidRPr="00627BB6">
        <w:rPr>
          <w:rFonts w:eastAsia="Times New Roman" w:cs="Times New Roman"/>
          <w:color w:val="000000"/>
          <w:szCs w:val="24"/>
        </w:rPr>
        <w:t>are computer models loosely inspired by the network of neurons within the brain</w:t>
      </w:r>
      <w:r w:rsidR="00B61DD9">
        <w:rPr>
          <w:rFonts w:eastAsia="Times New Roman" w:cs="Times New Roman"/>
          <w:color w:val="000000"/>
          <w:szCs w:val="24"/>
        </w:rPr>
        <w:t xml:space="preserve"> </w:t>
      </w:r>
      <w:r w:rsidR="00B61DD9">
        <w:rPr>
          <w:rFonts w:eastAsia="Times New Roman" w:cs="Times New Roman"/>
          <w:color w:val="000000"/>
          <w:szCs w:val="24"/>
        </w:rPr>
        <w:fldChar w:fldCharType="begin"/>
      </w:r>
      <w:r w:rsidR="00BB6527">
        <w:rPr>
          <w:rFonts w:eastAsia="Times New Roman" w:cs="Times New Roman"/>
          <w:color w:val="000000"/>
          <w:szCs w:val="24"/>
        </w:rPr>
        <w:instrText xml:space="preserve"> ADDIN ZOTERO_ITEM CSL_CITATION {"citationID":"712r0EDO","properties":{"formattedCitation":"(Zou et al., 2009)","plainCitation":"(Zou et al., 2009)","noteIndex":0},"citationItems":[{"id":550,"uris":["http://zotero.org/groups/4584967/items/N2NNJS8Q"],"itemData":{"id":550,"type":"chapter","abstract":"The artificial neural network (ANN), or simply neural network, is a machine learning method evolved from the idea of simulating the human brain. The data explosion in modern drug discovery research requires sophisticated analysis methods to uncover the hidden causal relationships between single or multiple responses and a large set of properties. The ANN is one of many versatile tools to meet the demand in drug discovery modeling. Compared to a traditional regression approach, the ANN is capable of modeling complex nonlinear relationships. The ANN also has excellent fault tolerance and is fast and highly scalable with parallel processing. This chapter introduces the background of ANN development and outlines the basic concepts crucially important for understanding more sophisticated ANN. Several commonly used learning methods and network setups are discussed briefly at the end of the chapter.","collection-title":"Methods in Molecular Biology™","container-title":"Artificial Neural Networks: Methods and Applications","event-place":"Totowa, NJ","ISBN":"978-1-60327-101-1","language":"en","note":"DOI: 10.1007/978-1-60327-101-1_2","page":"14-22","publisher":"Humana Press","publisher-place":"Totowa, NJ","source":"Springer Link","title":"Overview of Artificial Neural Networks","URL":"https://doi.org/10.1007/978-1-60327-101-1_2","author":[{"family":"Zou","given":"Jinming"},{"family":"Han","given":"Yi"},{"family":"So","given":"Sung-Sau"}],"editor":[{"family":"Livingstone","given":"David J."}],"accessed":{"date-parts":[["2024",2,11]]},"issued":{"date-parts":[["2009"]]},"citation-key":"zouOverviewArtificialNeural2009"}}],"schema":"https://github.com/citation-style-language/schema/raw/master/csl-citation.json"} </w:instrText>
      </w:r>
      <w:r w:rsidR="00B61DD9">
        <w:rPr>
          <w:rFonts w:eastAsia="Times New Roman" w:cs="Times New Roman"/>
          <w:color w:val="000000"/>
          <w:szCs w:val="24"/>
        </w:rPr>
        <w:fldChar w:fldCharType="separate"/>
      </w:r>
      <w:r w:rsidR="00B61DD9" w:rsidRPr="00B61DD9">
        <w:rPr>
          <w:rFonts w:cs="Times New Roman"/>
        </w:rPr>
        <w:t>(Zou et al., 2009)</w:t>
      </w:r>
      <w:r w:rsidR="00B61DD9">
        <w:rPr>
          <w:rFonts w:eastAsia="Times New Roman" w:cs="Times New Roman"/>
          <w:color w:val="000000"/>
          <w:szCs w:val="24"/>
        </w:rPr>
        <w:fldChar w:fldCharType="end"/>
      </w:r>
      <w:r w:rsidR="00627BB6" w:rsidRPr="00627BB6">
        <w:rPr>
          <w:rFonts w:eastAsia="Times New Roman" w:cs="Times New Roman"/>
          <w:color w:val="000000"/>
          <w:szCs w:val="24"/>
        </w:rPr>
        <w:t xml:space="preserve">. These neurons can receive signals from other neurons via chemicals called neurotransmitters and will send </w:t>
      </w:r>
      <w:r w:rsidR="0009568E">
        <w:rPr>
          <w:rFonts w:eastAsia="Times New Roman" w:cs="Times New Roman"/>
          <w:color w:val="000000"/>
          <w:szCs w:val="24"/>
        </w:rPr>
        <w:t>neurotransmitters</w:t>
      </w:r>
      <w:r w:rsidR="00627BB6" w:rsidRPr="00627BB6">
        <w:rPr>
          <w:rFonts w:eastAsia="Times New Roman" w:cs="Times New Roman"/>
          <w:color w:val="000000"/>
          <w:szCs w:val="24"/>
        </w:rPr>
        <w:t xml:space="preserve"> </w:t>
      </w:r>
      <w:r w:rsidR="00E23AD8">
        <w:rPr>
          <w:rFonts w:eastAsia="Times New Roman" w:cs="Times New Roman"/>
          <w:color w:val="000000"/>
          <w:szCs w:val="24"/>
        </w:rPr>
        <w:t>upon receiving the right</w:t>
      </w:r>
      <w:r w:rsidR="0009568E">
        <w:rPr>
          <w:rFonts w:eastAsia="Times New Roman" w:cs="Times New Roman"/>
          <w:color w:val="000000"/>
          <w:szCs w:val="24"/>
        </w:rPr>
        <w:t xml:space="preserve"> neurotransmitters</w:t>
      </w:r>
      <w:r w:rsidR="00627BB6" w:rsidRPr="00627BB6">
        <w:rPr>
          <w:rFonts w:eastAsia="Times New Roman" w:cs="Times New Roman"/>
          <w:color w:val="000000"/>
          <w:szCs w:val="24"/>
        </w:rPr>
        <w:t>. As demonstrated by the intelligence of complex life-forms, a sufficiently large collection of neurons is capable of many non-trivial tasks. In much the same way, neurons in an ANN send and receive signals to each other</w:t>
      </w:r>
      <w:r w:rsidR="00BF7452">
        <w:rPr>
          <w:rFonts w:eastAsia="Times New Roman" w:cs="Times New Roman"/>
          <w:color w:val="000000"/>
          <w:szCs w:val="24"/>
        </w:rPr>
        <w:t xml:space="preserve"> depending on the signal they receive</w:t>
      </w:r>
      <w:r w:rsidR="00627BB6" w:rsidRPr="00627BB6">
        <w:rPr>
          <w:rFonts w:eastAsia="Times New Roman" w:cs="Times New Roman"/>
          <w:color w:val="000000"/>
          <w:szCs w:val="24"/>
        </w:rPr>
        <w:t xml:space="preserve">. </w:t>
      </w:r>
      <w:r w:rsidR="00BF7452">
        <w:rPr>
          <w:rFonts w:eastAsia="Times New Roman" w:cs="Times New Roman"/>
          <w:color w:val="000000"/>
          <w:szCs w:val="24"/>
        </w:rPr>
        <w:t>T</w:t>
      </w:r>
      <w:r w:rsidR="00627BB6" w:rsidRPr="00627BB6">
        <w:rPr>
          <w:rFonts w:eastAsia="Times New Roman" w:cs="Times New Roman"/>
          <w:color w:val="000000"/>
          <w:szCs w:val="24"/>
        </w:rPr>
        <w:t xml:space="preserve">he neurons in an ANN are assembled in a stack of layers, where </w:t>
      </w:r>
      <w:r w:rsidR="00F252DA">
        <w:rPr>
          <w:rFonts w:eastAsia="Times New Roman" w:cs="Times New Roman"/>
          <w:color w:val="000000"/>
          <w:szCs w:val="24"/>
        </w:rPr>
        <w:t>signals flow sequentially through the layers</w:t>
      </w:r>
      <w:r w:rsidR="00627BB6" w:rsidRPr="00627BB6">
        <w:rPr>
          <w:rFonts w:eastAsia="Times New Roman" w:cs="Times New Roman"/>
          <w:color w:val="000000"/>
          <w:szCs w:val="24"/>
        </w:rPr>
        <w:t xml:space="preserve">. These networks are </w:t>
      </w:r>
      <w:r w:rsidR="006578F0">
        <w:rPr>
          <w:rFonts w:eastAsia="Times New Roman" w:cs="Times New Roman"/>
          <w:color w:val="000000"/>
          <w:szCs w:val="24"/>
        </w:rPr>
        <w:t xml:space="preserve">usually </w:t>
      </w:r>
      <w:r w:rsidR="00627BB6" w:rsidRPr="00627BB6">
        <w:rPr>
          <w:rFonts w:eastAsia="Times New Roman" w:cs="Times New Roman"/>
          <w:color w:val="000000"/>
          <w:szCs w:val="24"/>
        </w:rPr>
        <w:t xml:space="preserve">trained on samples drawn from the data distribution of interest using some variant of gradient descent, similar to </w:t>
      </w:r>
      <w:r w:rsidR="00513C29">
        <w:rPr>
          <w:rFonts w:eastAsia="Times New Roman" w:cs="Times New Roman"/>
          <w:color w:val="000000"/>
          <w:szCs w:val="24"/>
        </w:rPr>
        <w:t xml:space="preserve">how one </w:t>
      </w:r>
      <w:r w:rsidR="00F251FB">
        <w:rPr>
          <w:rFonts w:eastAsia="Times New Roman" w:cs="Times New Roman"/>
          <w:color w:val="000000"/>
          <w:szCs w:val="24"/>
        </w:rPr>
        <w:t xml:space="preserve">would train a </w:t>
      </w:r>
      <w:r w:rsidR="00627BB6" w:rsidRPr="00627BB6">
        <w:rPr>
          <w:rFonts w:eastAsia="Times New Roman" w:cs="Times New Roman"/>
          <w:color w:val="000000"/>
          <w:szCs w:val="24"/>
        </w:rPr>
        <w:t>regression model</w:t>
      </w:r>
      <w:r w:rsidR="00F251FB">
        <w:rPr>
          <w:rFonts w:eastAsia="Times New Roman" w:cs="Times New Roman"/>
          <w:color w:val="000000"/>
          <w:szCs w:val="24"/>
        </w:rPr>
        <w:t>.</w:t>
      </w:r>
    </w:p>
    <w:p w14:paraId="1E059566" w14:textId="1C427090" w:rsidR="00105401" w:rsidRDefault="00627BB6" w:rsidP="00927855">
      <w:pPr>
        <w:spacing w:after="0"/>
        <w:ind w:firstLine="720"/>
        <w:rPr>
          <w:rFonts w:eastAsia="Times New Roman" w:cs="Times New Roman"/>
          <w:color w:val="000000"/>
          <w:szCs w:val="24"/>
        </w:rPr>
      </w:pPr>
      <w:r w:rsidRPr="00627BB6">
        <w:rPr>
          <w:rFonts w:eastAsia="Times New Roman" w:cs="Times New Roman"/>
          <w:color w:val="000000"/>
          <w:szCs w:val="24"/>
        </w:rPr>
        <w:t xml:space="preserve">DL has seen an </w:t>
      </w:r>
      <w:r w:rsidR="000E1375">
        <w:rPr>
          <w:rFonts w:eastAsia="Times New Roman" w:cs="Times New Roman"/>
          <w:color w:val="000000"/>
          <w:szCs w:val="24"/>
        </w:rPr>
        <w:t xml:space="preserve">increase in </w:t>
      </w:r>
      <w:r w:rsidRPr="00627BB6">
        <w:rPr>
          <w:rFonts w:eastAsia="Times New Roman" w:cs="Times New Roman"/>
          <w:color w:val="000000"/>
          <w:szCs w:val="24"/>
        </w:rPr>
        <w:t>use in recent years, both in research and commercially. It has been applied to a wide range of tasks,</w:t>
      </w:r>
      <w:r w:rsidR="007C76E6">
        <w:rPr>
          <w:rFonts w:eastAsia="Times New Roman" w:cs="Times New Roman"/>
          <w:color w:val="000000"/>
          <w:szCs w:val="24"/>
        </w:rPr>
        <w:t xml:space="preserve"> from </w:t>
      </w:r>
      <w:r w:rsidR="00F14885">
        <w:rPr>
          <w:rFonts w:eastAsia="Times New Roman" w:cs="Times New Roman"/>
          <w:color w:val="000000"/>
          <w:szCs w:val="24"/>
        </w:rPr>
        <w:t>material</w:t>
      </w:r>
      <w:r w:rsidR="00A00928">
        <w:rPr>
          <w:rFonts w:eastAsia="Times New Roman" w:cs="Times New Roman"/>
          <w:color w:val="000000"/>
          <w:szCs w:val="24"/>
        </w:rPr>
        <w:t>s</w:t>
      </w:r>
      <w:r w:rsidR="00F14885">
        <w:rPr>
          <w:rFonts w:eastAsia="Times New Roman" w:cs="Times New Roman"/>
          <w:color w:val="000000"/>
          <w:szCs w:val="24"/>
        </w:rPr>
        <w:t xml:space="preserve"> science</w:t>
      </w:r>
      <w:r w:rsidR="00A00928">
        <w:rPr>
          <w:rFonts w:eastAsia="Times New Roman" w:cs="Times New Roman"/>
          <w:color w:val="000000"/>
          <w:szCs w:val="24"/>
        </w:rPr>
        <w:t xml:space="preserve"> </w:t>
      </w:r>
      <w:r w:rsidR="00A00928">
        <w:rPr>
          <w:rFonts w:eastAsia="Times New Roman" w:cs="Times New Roman"/>
          <w:color w:val="000000"/>
          <w:szCs w:val="24"/>
        </w:rPr>
        <w:fldChar w:fldCharType="begin"/>
      </w:r>
      <w:r w:rsidR="00BB6527">
        <w:rPr>
          <w:rFonts w:eastAsia="Times New Roman" w:cs="Times New Roman"/>
          <w:color w:val="000000"/>
          <w:szCs w:val="24"/>
        </w:rPr>
        <w:instrText xml:space="preserve"> ADDIN ZOTERO_ITEM CSL_CITATION {"citationID":"3Ws4zD8J","properties":{"formattedCitation":"(Choudhary et al., 2022)","plainCitation":"(Choudhary et al., 2022)","noteIndex":0},"citationItems":[{"id":547,"uris":["http://zotero.org/groups/4584967/items/T4WDS7MA"],"itemData":{"id":547,"type":"article-journal","abstract":"Deep learning (DL) is one of the fastest-growing topics in materials data science, with rapidly emerging applications spanning atomistic, image-based, spectral, and textual data modalities. DL allows analysis of unstructured data and automated identification of features. The recent development of large materials databases has fueled the application of DL methods in atomistic prediction in particular. In contrast, advances in image and spectral data have largely leveraged synthetic data enabled by high-quality forward models as well as by generative unsupervised DL methods. In this article, we present a high-level overview of deep learning methods followed by a detailed discussion of recent developments of deep learning in atomistic simulation, materials imaging, spectral analysis, and natural language processing. For each modality we discuss applications involving both theoretical and experimental data, typical modeling approaches with their strengths and limitations, and relevant publicly available software and datasets. We conclude the review with a discussion of recent cross-cutting work related to uncertainty quantification in this field and a brief perspective on limitations, challenges, and potential growth areas for DL methods in materials science.","container-title":"npj Computational Materials","DOI":"10.1038/s41524-022-00734-6","ISSN":"2057-3960","issue":"1","journalAbbreviation":"npj Comput Mater","language":"en","license":"2022 This is a U.S. government work and not under copyright protection in the U.S.; foreign copyright protection may apply","note":"number: 1\npublisher: Nature Publishing Group","page":"1-26","source":"www.nature.com","title":"Recent advances and applications of deep learning methods in materials science","volume":"8","author":[{"family":"Choudhary","given":"Kamal"},{"family":"DeCost","given":"Brian"},{"family":"Chen","given":"Chi"},{"family":"Jain","given":"Anubhav"},{"family":"Tavazza","given":"Francesca"},{"family":"Cohn","given":"Ryan"},{"family":"Park","given":"Cheol Woo"},{"family":"Choudhary","given":"Alok"},{"family":"Agrawal","given":"Ankit"},{"family":"Billinge","given":"Simon J. L."},{"family":"Holm","given":"Elizabeth"},{"family":"Ong","given":"Shyue Ping"},{"family":"Wolverton","given":"Chris"}],"issued":{"date-parts":[["2022",4,5]]},"citation-key":"choudharyRecentAdvancesApplications2022"}}],"schema":"https://github.com/citation-style-language/schema/raw/master/csl-citation.json"} </w:instrText>
      </w:r>
      <w:r w:rsidR="00A00928">
        <w:rPr>
          <w:rFonts w:eastAsia="Times New Roman" w:cs="Times New Roman"/>
          <w:color w:val="000000"/>
          <w:szCs w:val="24"/>
        </w:rPr>
        <w:fldChar w:fldCharType="separate"/>
      </w:r>
      <w:r w:rsidR="00A00928" w:rsidRPr="00A00928">
        <w:rPr>
          <w:rFonts w:cs="Times New Roman"/>
        </w:rPr>
        <w:t>(Choudhary et al., 2022)</w:t>
      </w:r>
      <w:r w:rsidR="00A00928">
        <w:rPr>
          <w:rFonts w:eastAsia="Times New Roman" w:cs="Times New Roman"/>
          <w:color w:val="000000"/>
          <w:szCs w:val="24"/>
        </w:rPr>
        <w:fldChar w:fldCharType="end"/>
      </w:r>
      <w:r w:rsidR="00F14885">
        <w:rPr>
          <w:rFonts w:eastAsia="Times New Roman" w:cs="Times New Roman"/>
          <w:color w:val="000000"/>
          <w:szCs w:val="24"/>
        </w:rPr>
        <w:t xml:space="preserve"> to drug </w:t>
      </w:r>
      <w:r w:rsidR="004C641E">
        <w:rPr>
          <w:rFonts w:eastAsia="Times New Roman" w:cs="Times New Roman"/>
          <w:color w:val="000000"/>
          <w:szCs w:val="24"/>
        </w:rPr>
        <w:t xml:space="preserve">discovery </w:t>
      </w:r>
      <w:r w:rsidR="004C641E">
        <w:rPr>
          <w:rFonts w:eastAsia="Times New Roman" w:cs="Times New Roman"/>
          <w:color w:val="000000"/>
          <w:szCs w:val="24"/>
        </w:rPr>
        <w:fldChar w:fldCharType="begin"/>
      </w:r>
      <w:r w:rsidR="00BB6527">
        <w:rPr>
          <w:rFonts w:eastAsia="Times New Roman" w:cs="Times New Roman"/>
          <w:color w:val="000000"/>
          <w:szCs w:val="24"/>
        </w:rPr>
        <w:instrText xml:space="preserve"> ADDIN ZOTERO_ITEM CSL_CITATION {"citationID":"PhqOfzr6","properties":{"formattedCitation":"(Ma et al., 2015)","plainCitation":"(Ma et al., 2015)","noteIndex":0},"citationItems":[{"id":548,"uris":["http://zotero.org/groups/4584967/items/QKQZKGHV"],"itemData":{"id":548,"type":"article-journal","abstract":"Neural networks were widely used for quantitative structure–activity relationships (QSAR) in the 1990s. Because of various practical issues (e.g., slow on large problems, difficult to train, prone to overfitting, etc.), they were superseded by more robust methods like support vector machine (SVM) and random forest (RF), which arose in the early 2000s. The last 10 years has witnessed a revival of neural networks in the machine learning community thanks to new methods for preventing overfitting, more efficient training algorithms, and advancements in computer hardware. In particular, deep neural nets (DNNs), i.e. neural nets with more than one hidden layer, have found great successes in many applications, such as computer vision and natural language processing. Here we show that DNNs can routinely make better prospective predictions than RF on a set of large diverse QSAR data sets that are taken from Merck’s drug discovery effort. The number of adjustable parameters needed for DNNs is fairly large, but our results show that it is not necessary to optimize them for individual data sets, and a single set of recommended parameters can achieve better performance than RF for most of the data sets we studied. The usefulness of the parameters is demonstrated on additional data sets not used in the calibration. Although training DNNs is still computationally intensive, using graphical processing units (GPUs) can make this issue manageable.","container-title":"Journal of Chemical Information and Modeling","DOI":"10.1021/ci500747n","ISSN":"1549-9596","issue":"2","journalAbbreviation":"J. Chem. Inf. Model.","note":"publisher: American Chemical Society","page":"263-274","source":"ACS Publications","title":"Deep Neural Nets as a Method for Quantitative Structure–Activity Relationships","volume":"55","author":[{"family":"Ma","given":"Junshui"},{"family":"Sheridan","given":"Robert P."},{"family":"Liaw","given":"Andy"},{"family":"Dahl","given":"George E."},{"family":"Svetnik","given":"Vladimir"}],"issued":{"date-parts":[["2015",2,23]]},"citation-key":"maDeepNeuralNets2015"}}],"schema":"https://github.com/citation-style-language/schema/raw/master/csl-citation.json"} </w:instrText>
      </w:r>
      <w:r w:rsidR="004C641E">
        <w:rPr>
          <w:rFonts w:eastAsia="Times New Roman" w:cs="Times New Roman"/>
          <w:color w:val="000000"/>
          <w:szCs w:val="24"/>
        </w:rPr>
        <w:fldChar w:fldCharType="separate"/>
      </w:r>
      <w:r w:rsidR="004C641E" w:rsidRPr="004C641E">
        <w:rPr>
          <w:rFonts w:cs="Times New Roman"/>
        </w:rPr>
        <w:t>(Ma et al., 2015)</w:t>
      </w:r>
      <w:r w:rsidR="004C641E">
        <w:rPr>
          <w:rFonts w:eastAsia="Times New Roman" w:cs="Times New Roman"/>
          <w:color w:val="000000"/>
          <w:szCs w:val="24"/>
        </w:rPr>
        <w:fldChar w:fldCharType="end"/>
      </w:r>
      <w:r w:rsidR="00F14885">
        <w:rPr>
          <w:rFonts w:eastAsia="Times New Roman" w:cs="Times New Roman"/>
          <w:color w:val="000000"/>
          <w:szCs w:val="24"/>
        </w:rPr>
        <w:t xml:space="preserve"> to natural language processing</w:t>
      </w:r>
      <w:r w:rsidR="00E47E5F">
        <w:rPr>
          <w:rFonts w:eastAsia="Times New Roman" w:cs="Times New Roman"/>
          <w:color w:val="000000"/>
          <w:szCs w:val="24"/>
        </w:rPr>
        <w:t xml:space="preserve"> </w:t>
      </w:r>
      <w:r w:rsidR="00E47E5F">
        <w:rPr>
          <w:rFonts w:eastAsia="Times New Roman" w:cs="Times New Roman"/>
          <w:color w:val="000000"/>
          <w:szCs w:val="24"/>
        </w:rPr>
        <w:fldChar w:fldCharType="begin"/>
      </w:r>
      <w:r w:rsidR="00BB6527">
        <w:rPr>
          <w:rFonts w:eastAsia="Times New Roman" w:cs="Times New Roman"/>
          <w:color w:val="000000"/>
          <w:szCs w:val="24"/>
        </w:rPr>
        <w:instrText xml:space="preserve"> ADDIN ZOTERO_ITEM CSL_CITATION {"citationID":"qUYitjqz","properties":{"formattedCitation":"(Collobert et al., 2011)","plainCitation":"(Collobert et al., 2011)","noteIndex":0},"citationItems":[{"id":546,"uris":["http://zotero.org/groups/4584967/items/6BK3HUBD"],"itemData":{"id":546,"type":"article-journal","abstract":"We propose a unified neural network architecture and learning algorithm that can be applied to various natural language processing tasks including part-of-speech tagging, chunking, named entity recognition, and semantic role labeling. This versatility is achieved by trying to avoid task-specific engineering and therefore disregarding a lot of prior knowledge. Instead of exploiting man-made input features carefully optimized for each task, our system learns internal representations on the basis of vast amounts of mostly unlabeled training data. This work is then used as a basis for building a freely available tagging system with good performance and minimal computational requirements.","container-title":"The Journal of Machine Learning Research","ISSN":"1532-4435","issue":"null","journalAbbreviation":"J. Mach. Learn. Res.","page":"2493–2537","source":"ACM Digital Library","title":"Natural Language Processing (Almost) from Scratch","volume":"12","author":[{"family":"Collobert","given":"Ronan"},{"family":"Weston","given":"Jason"},{"family":"Bottou","given":"Léon"},{"family":"Karlen","given":"Michael"},{"family":"Kavukcuoglu","given":"Koray"},{"family":"Kuksa","given":"Pavel"}],"issued":{"date-parts":[["2011",11,1]]},"citation-key":"collobertNaturalLanguageProcessing2011"}}],"schema":"https://github.com/citation-style-language/schema/raw/master/csl-citation.json"} </w:instrText>
      </w:r>
      <w:r w:rsidR="00E47E5F">
        <w:rPr>
          <w:rFonts w:eastAsia="Times New Roman" w:cs="Times New Roman"/>
          <w:color w:val="000000"/>
          <w:szCs w:val="24"/>
        </w:rPr>
        <w:fldChar w:fldCharType="separate"/>
      </w:r>
      <w:r w:rsidR="00E47E5F" w:rsidRPr="00E47E5F">
        <w:rPr>
          <w:rFonts w:cs="Times New Roman"/>
        </w:rPr>
        <w:t>(Collobert et al., 2011)</w:t>
      </w:r>
      <w:r w:rsidR="00E47E5F">
        <w:rPr>
          <w:rFonts w:eastAsia="Times New Roman" w:cs="Times New Roman"/>
          <w:color w:val="000000"/>
          <w:szCs w:val="24"/>
        </w:rPr>
        <w:fldChar w:fldCharType="end"/>
      </w:r>
      <w:r w:rsidR="00F14885">
        <w:rPr>
          <w:rFonts w:eastAsia="Times New Roman" w:cs="Times New Roman"/>
          <w:color w:val="000000"/>
          <w:szCs w:val="24"/>
        </w:rPr>
        <w:t>.</w:t>
      </w:r>
      <w:r w:rsidRPr="00627BB6">
        <w:rPr>
          <w:rFonts w:eastAsia="Times New Roman" w:cs="Times New Roman"/>
          <w:color w:val="000000"/>
          <w:szCs w:val="24"/>
        </w:rPr>
        <w:t xml:space="preserve"> </w:t>
      </w:r>
      <w:r w:rsidR="00F14885">
        <w:rPr>
          <w:rFonts w:eastAsia="Times New Roman" w:cs="Times New Roman"/>
          <w:color w:val="000000"/>
          <w:szCs w:val="24"/>
        </w:rPr>
        <w:t>P</w:t>
      </w:r>
      <w:r w:rsidRPr="00627BB6">
        <w:rPr>
          <w:rFonts w:eastAsia="Times New Roman" w:cs="Times New Roman"/>
          <w:color w:val="000000"/>
          <w:szCs w:val="24"/>
        </w:rPr>
        <w:t xml:space="preserve">erhaps most </w:t>
      </w:r>
      <w:r w:rsidRPr="00627BB6">
        <w:rPr>
          <w:rFonts w:eastAsia="Times New Roman" w:cs="Times New Roman"/>
          <w:color w:val="000000"/>
          <w:szCs w:val="24"/>
        </w:rPr>
        <w:lastRenderedPageBreak/>
        <w:t>relevant to this thesis</w:t>
      </w:r>
      <w:r w:rsidR="000E1375">
        <w:rPr>
          <w:rFonts w:eastAsia="Times New Roman" w:cs="Times New Roman"/>
          <w:color w:val="000000"/>
          <w:szCs w:val="24"/>
        </w:rPr>
        <w:t>,</w:t>
      </w:r>
      <w:r w:rsidR="00F14885">
        <w:rPr>
          <w:rFonts w:eastAsia="Times New Roman" w:cs="Times New Roman"/>
          <w:color w:val="000000"/>
          <w:szCs w:val="24"/>
        </w:rPr>
        <w:t xml:space="preserve"> however</w:t>
      </w:r>
      <w:r w:rsidR="00AD074F">
        <w:rPr>
          <w:rFonts w:eastAsia="Times New Roman" w:cs="Times New Roman"/>
          <w:color w:val="000000"/>
          <w:szCs w:val="24"/>
        </w:rPr>
        <w:t>,</w:t>
      </w:r>
      <w:r w:rsidR="00F14885">
        <w:rPr>
          <w:rFonts w:eastAsia="Times New Roman" w:cs="Times New Roman"/>
          <w:color w:val="000000"/>
          <w:szCs w:val="24"/>
        </w:rPr>
        <w:t xml:space="preserve"> is</w:t>
      </w:r>
      <w:r w:rsidR="0076390A">
        <w:rPr>
          <w:rFonts w:eastAsia="Times New Roman" w:cs="Times New Roman"/>
          <w:color w:val="000000"/>
          <w:szCs w:val="24"/>
        </w:rPr>
        <w:t xml:space="preserve"> that</w:t>
      </w:r>
      <w:r w:rsidRPr="00627BB6">
        <w:rPr>
          <w:rFonts w:eastAsia="Times New Roman" w:cs="Times New Roman"/>
          <w:color w:val="000000"/>
          <w:szCs w:val="24"/>
        </w:rPr>
        <w:t xml:space="preserve"> researchers have found </w:t>
      </w:r>
      <w:r w:rsidR="00242A14">
        <w:rPr>
          <w:rFonts w:eastAsia="Times New Roman" w:cs="Times New Roman"/>
          <w:color w:val="000000"/>
          <w:szCs w:val="24"/>
        </w:rPr>
        <w:t>success in</w:t>
      </w:r>
      <w:r w:rsidRPr="00627BB6">
        <w:rPr>
          <w:rFonts w:eastAsia="Times New Roman" w:cs="Times New Roman"/>
          <w:color w:val="000000"/>
          <w:szCs w:val="24"/>
        </w:rPr>
        <w:t xml:space="preserve"> </w:t>
      </w:r>
      <w:r w:rsidR="007B2548">
        <w:rPr>
          <w:rFonts w:eastAsia="Times New Roman" w:cs="Times New Roman"/>
          <w:color w:val="000000"/>
          <w:szCs w:val="24"/>
        </w:rPr>
        <w:t>developing</w:t>
      </w:r>
      <w:r w:rsidRPr="00627BB6">
        <w:rPr>
          <w:rFonts w:eastAsia="Times New Roman" w:cs="Times New Roman"/>
          <w:color w:val="000000"/>
          <w:szCs w:val="24"/>
        </w:rPr>
        <w:t xml:space="preserve"> DL</w:t>
      </w:r>
      <w:r w:rsidR="007B2548">
        <w:rPr>
          <w:rFonts w:eastAsia="Times New Roman" w:cs="Times New Roman"/>
          <w:color w:val="000000"/>
          <w:szCs w:val="24"/>
        </w:rPr>
        <w:t xml:space="preserve"> models</w:t>
      </w:r>
      <w:r w:rsidR="00252B31">
        <w:rPr>
          <w:rFonts w:eastAsia="Times New Roman" w:cs="Times New Roman"/>
          <w:color w:val="000000"/>
          <w:szCs w:val="24"/>
        </w:rPr>
        <w:t xml:space="preserve"> for</w:t>
      </w:r>
      <w:r w:rsidR="00A85FE3">
        <w:rPr>
          <w:rFonts w:eastAsia="Times New Roman" w:cs="Times New Roman"/>
          <w:color w:val="000000"/>
          <w:szCs w:val="24"/>
        </w:rPr>
        <w:t xml:space="preserve"> computer vision</w:t>
      </w:r>
      <w:r w:rsidR="00AD76A5">
        <w:rPr>
          <w:rFonts w:eastAsia="Times New Roman" w:cs="Times New Roman"/>
          <w:color w:val="000000"/>
          <w:szCs w:val="24"/>
        </w:rPr>
        <w:t>, the study of machine learning for image-based tasks</w:t>
      </w:r>
      <w:r w:rsidR="00E9454B">
        <w:rPr>
          <w:rFonts w:eastAsia="Times New Roman" w:cs="Times New Roman"/>
          <w:color w:val="000000"/>
          <w:szCs w:val="24"/>
        </w:rPr>
        <w:t xml:space="preserve"> </w:t>
      </w:r>
      <w:r w:rsidR="00C53B23">
        <w:rPr>
          <w:rFonts w:eastAsia="Times New Roman" w:cs="Times New Roman"/>
          <w:color w:val="000000"/>
          <w:szCs w:val="24"/>
        </w:rPr>
        <w:fldChar w:fldCharType="begin"/>
      </w:r>
      <w:r w:rsidR="00BB6527">
        <w:rPr>
          <w:rFonts w:eastAsia="Times New Roman" w:cs="Times New Roman"/>
          <w:color w:val="000000"/>
          <w:szCs w:val="24"/>
        </w:rPr>
        <w:instrText xml:space="preserve"> ADDIN ZOTERO_ITEM CSL_CITATION {"citationID":"8YJ0niSE","properties":{"formattedCitation":"(Chai et al., 2021)","plainCitation":"(Chai et al., 2021)","noteIndex":0},"citationItems":[{"id":549,"uris":["http://zotero.org/groups/4584967/items/8JHFSCLC"],"itemData":{"id":549,"type":"article-journal","abstract":"Deep learning has been overwhelmingly successful in computer vision (CV), natural language processing, and video/speech recognition. In this paper, our focus is on CV. We provide a critical review of recent achievements in terms of techniques and applications. We identify eight emerging techniques, investigate their origins and updates, and finally emphasize their applications in four key scenarios, including recognition, visual tracking, semantic segmentation, and image restoration. We recognize three development stages in the past decade and emphasize research trends for future works. The summarizations, knowledge accumulations, and creations could benefit researchers in the academia and participators in the CV industries.","container-title":"Machine Learning with Applications","DOI":"10.1016/j.mlwa.2021.100134","ISSN":"2666-8270","journalAbbreviation":"Machine Learning with Applications","page":"100134","source":"ScienceDirect","title":"Deep learning in computer vision: A critical review of emerging techniques and application scenarios","title-short":"Deep learning in computer vision","volume":"6","author":[{"family":"Chai","given":"Junyi"},{"family":"Zeng","given":"Hao"},{"family":"Li","given":"Anming"},{"family":"Ngai","given":"Eric W. T."}],"issued":{"date-parts":[["2021",12,15]]},"citation-key":"chaiDeepLearningComputer2021"}}],"schema":"https://github.com/citation-style-language/schema/raw/master/csl-citation.json"} </w:instrText>
      </w:r>
      <w:r w:rsidR="00C53B23">
        <w:rPr>
          <w:rFonts w:eastAsia="Times New Roman" w:cs="Times New Roman"/>
          <w:color w:val="000000"/>
          <w:szCs w:val="24"/>
        </w:rPr>
        <w:fldChar w:fldCharType="separate"/>
      </w:r>
      <w:r w:rsidR="00C53B23" w:rsidRPr="00C53B23">
        <w:rPr>
          <w:rFonts w:cs="Times New Roman"/>
        </w:rPr>
        <w:t>(Chai et al., 2021)</w:t>
      </w:r>
      <w:r w:rsidR="00C53B23">
        <w:rPr>
          <w:rFonts w:eastAsia="Times New Roman" w:cs="Times New Roman"/>
          <w:color w:val="000000"/>
          <w:szCs w:val="24"/>
        </w:rPr>
        <w:fldChar w:fldCharType="end"/>
      </w:r>
      <w:r w:rsidRPr="00627BB6">
        <w:rPr>
          <w:rFonts w:eastAsia="Times New Roman" w:cs="Times New Roman"/>
          <w:color w:val="000000"/>
          <w:szCs w:val="24"/>
        </w:rPr>
        <w:t>.</w:t>
      </w:r>
      <w:r w:rsidR="00C53B23">
        <w:rPr>
          <w:rFonts w:eastAsia="Times New Roman" w:cs="Times New Roman"/>
          <w:color w:val="000000"/>
          <w:szCs w:val="24"/>
        </w:rPr>
        <w:t xml:space="preserve"> </w:t>
      </w:r>
      <w:r w:rsidR="000449FA">
        <w:rPr>
          <w:rFonts w:eastAsia="Times New Roman" w:cs="Times New Roman"/>
          <w:color w:val="000000"/>
          <w:szCs w:val="24"/>
        </w:rPr>
        <w:t xml:space="preserve">This is </w:t>
      </w:r>
      <w:r w:rsidR="00A836BC">
        <w:rPr>
          <w:rFonts w:eastAsia="Times New Roman" w:cs="Times New Roman"/>
          <w:color w:val="000000"/>
          <w:szCs w:val="24"/>
        </w:rPr>
        <w:t>promising because</w:t>
      </w:r>
      <w:r w:rsidR="00387B5C">
        <w:rPr>
          <w:rFonts w:eastAsia="Times New Roman" w:cs="Times New Roman"/>
          <w:color w:val="000000"/>
          <w:szCs w:val="24"/>
        </w:rPr>
        <w:t xml:space="preserve"> </w:t>
      </w:r>
      <w:r w:rsidR="00616A42">
        <w:rPr>
          <w:rFonts w:eastAsia="Times New Roman" w:cs="Times New Roman"/>
          <w:color w:val="000000"/>
          <w:szCs w:val="24"/>
        </w:rPr>
        <w:t xml:space="preserve">any spatial datasets can be viewed as </w:t>
      </w:r>
      <w:r w:rsidR="00AD76A5">
        <w:rPr>
          <w:rFonts w:eastAsia="Times New Roman" w:cs="Times New Roman"/>
          <w:color w:val="000000"/>
          <w:szCs w:val="24"/>
        </w:rPr>
        <w:t>images</w:t>
      </w:r>
      <w:r w:rsidR="007B2548">
        <w:rPr>
          <w:rFonts w:eastAsia="Times New Roman" w:cs="Times New Roman"/>
          <w:color w:val="000000"/>
          <w:szCs w:val="24"/>
        </w:rPr>
        <w:t xml:space="preserve"> that can then be fed into </w:t>
      </w:r>
      <w:r w:rsidR="00252B31">
        <w:rPr>
          <w:rFonts w:eastAsia="Times New Roman" w:cs="Times New Roman"/>
          <w:color w:val="000000"/>
          <w:szCs w:val="24"/>
        </w:rPr>
        <w:t>such models.</w:t>
      </w:r>
    </w:p>
    <w:p w14:paraId="3091A6BC" w14:textId="61FEE336" w:rsidR="00627BB6" w:rsidRPr="00927855" w:rsidRDefault="00252B31" w:rsidP="00A40501">
      <w:pPr>
        <w:spacing w:after="0"/>
        <w:ind w:firstLine="720"/>
        <w:rPr>
          <w:rFonts w:eastAsia="Times New Roman" w:cs="Times New Roman"/>
          <w:color w:val="000000"/>
          <w:szCs w:val="24"/>
        </w:rPr>
      </w:pPr>
      <w:r>
        <w:rPr>
          <w:rFonts w:eastAsia="Times New Roman" w:cs="Times New Roman"/>
          <w:color w:val="000000"/>
          <w:szCs w:val="24"/>
        </w:rPr>
        <w:t xml:space="preserve">In this thesis, I </w:t>
      </w:r>
      <w:r w:rsidR="00873F19">
        <w:rPr>
          <w:rFonts w:eastAsia="Times New Roman" w:cs="Times New Roman"/>
          <w:color w:val="000000"/>
          <w:szCs w:val="24"/>
        </w:rPr>
        <w:t xml:space="preserve">aim to </w:t>
      </w:r>
      <w:r>
        <w:rPr>
          <w:rFonts w:eastAsia="Times New Roman" w:cs="Times New Roman"/>
          <w:color w:val="000000"/>
          <w:szCs w:val="24"/>
        </w:rPr>
        <w:t xml:space="preserve">demonstrate how </w:t>
      </w:r>
      <w:r w:rsidR="004F31A7">
        <w:rPr>
          <w:rFonts w:eastAsia="Times New Roman" w:cs="Times New Roman"/>
          <w:color w:val="000000"/>
          <w:szCs w:val="24"/>
        </w:rPr>
        <w:t xml:space="preserve">a </w:t>
      </w:r>
      <w:r w:rsidR="00B02024">
        <w:rPr>
          <w:rFonts w:eastAsia="Times New Roman" w:cs="Times New Roman"/>
          <w:color w:val="000000"/>
          <w:szCs w:val="24"/>
        </w:rPr>
        <w:t>DL</w:t>
      </w:r>
      <w:r w:rsidR="00030A2F">
        <w:rPr>
          <w:rFonts w:eastAsia="Times New Roman" w:cs="Times New Roman"/>
          <w:color w:val="000000"/>
          <w:szCs w:val="24"/>
        </w:rPr>
        <w:t xml:space="preserve"> </w:t>
      </w:r>
      <w:r w:rsidR="004F31A7">
        <w:rPr>
          <w:rFonts w:eastAsia="Times New Roman" w:cs="Times New Roman"/>
          <w:color w:val="000000"/>
          <w:szCs w:val="24"/>
        </w:rPr>
        <w:t xml:space="preserve">computer </w:t>
      </w:r>
      <w:r w:rsidR="00030A2F">
        <w:rPr>
          <w:rFonts w:eastAsia="Times New Roman" w:cs="Times New Roman"/>
          <w:color w:val="000000"/>
          <w:szCs w:val="24"/>
        </w:rPr>
        <w:t xml:space="preserve">vision model, the UNet 3+, can outperform the </w:t>
      </w:r>
      <w:r w:rsidR="003875F2">
        <w:rPr>
          <w:rFonts w:eastAsia="Times New Roman" w:cs="Times New Roman"/>
          <w:color w:val="000000"/>
          <w:szCs w:val="24"/>
        </w:rPr>
        <w:t xml:space="preserve">more traditional methods </w:t>
      </w:r>
      <w:r w:rsidR="00FB748F">
        <w:rPr>
          <w:rFonts w:eastAsia="Times New Roman" w:cs="Times New Roman"/>
          <w:color w:val="000000"/>
          <w:szCs w:val="24"/>
        </w:rPr>
        <w:t xml:space="preserve">mentioned </w:t>
      </w:r>
      <w:r w:rsidR="003875F2">
        <w:rPr>
          <w:rFonts w:eastAsia="Times New Roman" w:cs="Times New Roman"/>
          <w:color w:val="000000"/>
          <w:szCs w:val="24"/>
        </w:rPr>
        <w:t>above</w:t>
      </w:r>
      <w:r w:rsidR="00684CF3">
        <w:rPr>
          <w:rFonts w:eastAsia="Times New Roman" w:cs="Times New Roman"/>
          <w:color w:val="000000"/>
          <w:szCs w:val="24"/>
        </w:rPr>
        <w:t xml:space="preserve">. The UNet 3+ was </w:t>
      </w:r>
      <w:r w:rsidR="00FB748F">
        <w:rPr>
          <w:rFonts w:eastAsia="Times New Roman" w:cs="Times New Roman"/>
          <w:color w:val="000000"/>
          <w:szCs w:val="24"/>
        </w:rPr>
        <w:t xml:space="preserve">initially </w:t>
      </w:r>
      <w:r w:rsidR="00684CF3">
        <w:rPr>
          <w:rFonts w:eastAsia="Times New Roman" w:cs="Times New Roman"/>
          <w:color w:val="000000"/>
          <w:szCs w:val="24"/>
        </w:rPr>
        <w:t>developed for med</w:t>
      </w:r>
      <w:r w:rsidR="001A7EF8">
        <w:rPr>
          <w:rFonts w:eastAsia="Times New Roman" w:cs="Times New Roman"/>
          <w:color w:val="000000"/>
          <w:szCs w:val="24"/>
        </w:rPr>
        <w:t>ical image processing</w:t>
      </w:r>
      <w:r w:rsidR="006D7087">
        <w:rPr>
          <w:rFonts w:eastAsia="Times New Roman" w:cs="Times New Roman"/>
          <w:color w:val="000000"/>
          <w:szCs w:val="24"/>
        </w:rPr>
        <w:t xml:space="preserve"> </w:t>
      </w:r>
      <w:r w:rsidR="001A7EF8">
        <w:rPr>
          <w:rFonts w:eastAsia="Times New Roman" w:cs="Times New Roman"/>
          <w:color w:val="000000"/>
          <w:szCs w:val="24"/>
        </w:rPr>
        <w:fldChar w:fldCharType="begin"/>
      </w:r>
      <w:r w:rsidR="00BB6527">
        <w:rPr>
          <w:rFonts w:eastAsia="Times New Roman" w:cs="Times New Roman"/>
          <w:color w:val="000000"/>
          <w:szCs w:val="24"/>
        </w:rPr>
        <w:instrText xml:space="preserve"> ADDIN ZOTERO_ITEM CSL_CITATION {"citationID":"RXjoiYwL","properties":{"formattedCitation":"(Huang et al., 2020)","plainCitation":"(Huang et al., 2020)","noteIndex":0},"citationItems":[{"id":20,"uris":["http://zotero.org/users/8992256/items/XEPTYGQ7"],"itemData":{"id":20,"type":"paper-conference","abstract":"Recently, a growing interest has been seen in deep learningbased semantic segmentation. UNet, which is one of deep learning networks with an encoder-decoder architecture, is widely used in medical image segmentation. Combining multi-scale features is one of important factors for accurate segmentation. UNet++ was developed as a modified Unet by designing an architecture with nested and dense skip connections. However, it does not explore sufficient information from full scales and there is still a large room for improvement. In this paper, we propose a novel UNet 3+, which takes advantage of full-scale skip connections and deep supervisions. The full-scale skip connections incorporate low-level details with high-level semantics from feature maps in different scales; while the deep supervision learns hierarchical representations from the full-scale aggregated feature maps. The proposed method is especially benefiting for organs that appear at varying scales. In addition to accuracy improvements, the proposed UNet 3+ can reduce the network parameters to improve the computation efficiency. We further propose a hybrid loss function and devise a classification-guided module to enhance the organ boundary and reduce the over-segmentation in a non-organ image, yielding more accurate segmentation results. The effectiveness of the proposed method is demonstrated on two datasets. The code is available at: github.com/ZJUGiveLab/UNet-Version Index Terms—Segmentation, Full-scale skip connection, Deep supervision, Hybrid loss function, Classification.","container-title":"ICASSP 2020 - 2020 IEEE International Conference on Acoustics, Speech and Signal Processing (ICASSP)","DOI":"10.1109/ICASSP40776.2020.9053405","event-place":"Barcelona, Spain","event-title":"ICASSP 2020 - 2020 IEEE International Conference on Acoustics, Speech and Signal Processing (ICASSP)","ISBN":"978-1-5090-6631-5","language":"en","page":"1055-1059","publisher":"IEEE","publisher-place":"Barcelona, Spain","source":"DOI.org (Crossref)","title":"UNet 3+: A Full-Scale Connected UNet for Medical Image Segmentation","title-short":"UNet 3+","URL":"https://ieeexplore.ieee.org/document/9053405/","author":[{"family":"Huang","given":"Huimin"},{"family":"Lin","given":"Lanfen"},{"family":"Tong","given":"Ruofeng"},{"family":"Hu","given":"Hongjie"},{"family":"Zhang","given":"Qiaowei"},{"family":"Iwamoto","given":"Yutaro"},{"family":"Han","given":"Xianhua"},{"family":"Chen","given":"Yen-Wei"},{"family":"Wu","given":"Jian"}],"accessed":{"date-parts":[["2022",8,18]]},"issued":{"date-parts":[["2020",5]]},"citation-key":"huangUNetFullScaleConnected2020"}}],"schema":"https://github.com/citation-style-language/schema/raw/master/csl-citation.json"} </w:instrText>
      </w:r>
      <w:r w:rsidR="001A7EF8">
        <w:rPr>
          <w:rFonts w:eastAsia="Times New Roman" w:cs="Times New Roman"/>
          <w:color w:val="000000"/>
          <w:szCs w:val="24"/>
        </w:rPr>
        <w:fldChar w:fldCharType="separate"/>
      </w:r>
      <w:r w:rsidR="001A7EF8" w:rsidRPr="001A7EF8">
        <w:rPr>
          <w:rFonts w:cs="Times New Roman"/>
        </w:rPr>
        <w:t>(Huang et al., 2020)</w:t>
      </w:r>
      <w:r w:rsidR="001A7EF8">
        <w:rPr>
          <w:rFonts w:eastAsia="Times New Roman" w:cs="Times New Roman"/>
          <w:color w:val="000000"/>
          <w:szCs w:val="24"/>
        </w:rPr>
        <w:fldChar w:fldCharType="end"/>
      </w:r>
      <w:r w:rsidR="00FE3F67">
        <w:rPr>
          <w:rFonts w:eastAsia="Times New Roman" w:cs="Times New Roman"/>
          <w:color w:val="000000"/>
          <w:szCs w:val="24"/>
        </w:rPr>
        <w:t xml:space="preserve">. It was chosen for this project for </w:t>
      </w:r>
      <w:r w:rsidR="00D4696D">
        <w:rPr>
          <w:rFonts w:eastAsia="Times New Roman" w:cs="Times New Roman"/>
          <w:color w:val="000000"/>
          <w:szCs w:val="24"/>
        </w:rPr>
        <w:t>a few</w:t>
      </w:r>
      <w:r w:rsidR="00FE3F67">
        <w:rPr>
          <w:rFonts w:eastAsia="Times New Roman" w:cs="Times New Roman"/>
          <w:color w:val="000000"/>
          <w:szCs w:val="24"/>
        </w:rPr>
        <w:t xml:space="preserve"> reasons. </w:t>
      </w:r>
      <w:r w:rsidR="00D4696D">
        <w:rPr>
          <w:rFonts w:eastAsia="Times New Roman" w:cs="Times New Roman"/>
          <w:color w:val="000000"/>
          <w:szCs w:val="24"/>
        </w:rPr>
        <w:t xml:space="preserve">One is </w:t>
      </w:r>
      <w:r w:rsidR="00FE3F67">
        <w:rPr>
          <w:rFonts w:eastAsia="Times New Roman" w:cs="Times New Roman"/>
          <w:color w:val="000000"/>
          <w:szCs w:val="24"/>
        </w:rPr>
        <w:t>because it</w:t>
      </w:r>
      <w:r w:rsidR="00D4696D">
        <w:rPr>
          <w:rFonts w:eastAsia="Times New Roman" w:cs="Times New Roman"/>
          <w:color w:val="000000"/>
          <w:szCs w:val="24"/>
        </w:rPr>
        <w:t>s</w:t>
      </w:r>
      <w:r w:rsidR="00FE3F67">
        <w:rPr>
          <w:rFonts w:eastAsia="Times New Roman" w:cs="Times New Roman"/>
          <w:color w:val="000000"/>
          <w:szCs w:val="24"/>
        </w:rPr>
        <w:t xml:space="preserve"> output</w:t>
      </w:r>
      <w:r w:rsidR="00CC67A9">
        <w:rPr>
          <w:rFonts w:eastAsia="Times New Roman" w:cs="Times New Roman"/>
          <w:color w:val="000000"/>
          <w:szCs w:val="24"/>
        </w:rPr>
        <w:t>s</w:t>
      </w:r>
      <w:r w:rsidR="00FE3F67">
        <w:rPr>
          <w:rFonts w:eastAsia="Times New Roman" w:cs="Times New Roman"/>
          <w:color w:val="000000"/>
          <w:szCs w:val="24"/>
        </w:rPr>
        <w:t xml:space="preserve"> ha</w:t>
      </w:r>
      <w:r w:rsidR="00D4696D">
        <w:rPr>
          <w:rFonts w:eastAsia="Times New Roman" w:cs="Times New Roman"/>
          <w:color w:val="000000"/>
          <w:szCs w:val="24"/>
        </w:rPr>
        <w:t>ve</w:t>
      </w:r>
      <w:r w:rsidR="00FE3F67">
        <w:rPr>
          <w:rFonts w:eastAsia="Times New Roman" w:cs="Times New Roman"/>
          <w:color w:val="000000"/>
          <w:szCs w:val="24"/>
        </w:rPr>
        <w:t xml:space="preserve"> the same spatial dimensionality as </w:t>
      </w:r>
      <w:r w:rsidR="00D4696D">
        <w:rPr>
          <w:rFonts w:eastAsia="Times New Roman" w:cs="Times New Roman"/>
          <w:color w:val="000000"/>
          <w:szCs w:val="24"/>
        </w:rPr>
        <w:t>its</w:t>
      </w:r>
      <w:r w:rsidR="00FE3F67">
        <w:rPr>
          <w:rFonts w:eastAsia="Times New Roman" w:cs="Times New Roman"/>
          <w:color w:val="000000"/>
          <w:szCs w:val="24"/>
        </w:rPr>
        <w:t xml:space="preserve"> input</w:t>
      </w:r>
      <w:r w:rsidR="00D4696D">
        <w:rPr>
          <w:rFonts w:eastAsia="Times New Roman" w:cs="Times New Roman"/>
          <w:color w:val="000000"/>
          <w:szCs w:val="24"/>
        </w:rPr>
        <w:t xml:space="preserve">s. </w:t>
      </w:r>
      <w:r w:rsidR="006C4040">
        <w:rPr>
          <w:rFonts w:eastAsia="Times New Roman" w:cs="Times New Roman"/>
          <w:color w:val="000000"/>
          <w:szCs w:val="24"/>
        </w:rPr>
        <w:t>This</w:t>
      </w:r>
      <w:r w:rsidR="002D528B">
        <w:rPr>
          <w:rFonts w:eastAsia="Times New Roman" w:cs="Times New Roman"/>
          <w:color w:val="000000"/>
          <w:szCs w:val="24"/>
        </w:rPr>
        <w:t xml:space="preserve"> configuration</w:t>
      </w:r>
      <w:r w:rsidR="006C4040">
        <w:rPr>
          <w:rFonts w:eastAsia="Times New Roman" w:cs="Times New Roman"/>
          <w:color w:val="000000"/>
          <w:szCs w:val="24"/>
        </w:rPr>
        <w:t xml:space="preserve"> makes for easy operational use as one pass through the input data will produce a </w:t>
      </w:r>
      <w:r w:rsidR="004D1C9A">
        <w:rPr>
          <w:rFonts w:eastAsia="Times New Roman" w:cs="Times New Roman"/>
          <w:color w:val="000000"/>
          <w:szCs w:val="24"/>
        </w:rPr>
        <w:t xml:space="preserve">spatially </w:t>
      </w:r>
      <w:r w:rsidR="002D528B">
        <w:rPr>
          <w:rFonts w:eastAsia="Times New Roman" w:cs="Times New Roman"/>
          <w:color w:val="000000"/>
          <w:szCs w:val="24"/>
        </w:rPr>
        <w:t>complete</w:t>
      </w:r>
      <w:r w:rsidR="006C4040">
        <w:rPr>
          <w:rFonts w:eastAsia="Times New Roman" w:cs="Times New Roman"/>
          <w:color w:val="000000"/>
          <w:szCs w:val="24"/>
        </w:rPr>
        <w:t xml:space="preserve"> </w:t>
      </w:r>
      <w:r w:rsidR="004D1C9A">
        <w:rPr>
          <w:rFonts w:eastAsia="Times New Roman" w:cs="Times New Roman"/>
          <w:color w:val="000000"/>
          <w:szCs w:val="24"/>
        </w:rPr>
        <w:t>AOD dataset</w:t>
      </w:r>
      <w:r w:rsidR="001A56F1">
        <w:rPr>
          <w:rFonts w:eastAsia="Times New Roman" w:cs="Times New Roman"/>
          <w:color w:val="000000"/>
          <w:szCs w:val="24"/>
        </w:rPr>
        <w:t>.</w:t>
      </w:r>
      <w:r w:rsidR="00CC67A9">
        <w:rPr>
          <w:rFonts w:eastAsia="Times New Roman" w:cs="Times New Roman"/>
          <w:color w:val="000000"/>
          <w:szCs w:val="24"/>
        </w:rPr>
        <w:t xml:space="preserve"> Another reason is </w:t>
      </w:r>
      <w:r w:rsidR="00FB748F">
        <w:rPr>
          <w:rFonts w:eastAsia="Times New Roman" w:cs="Times New Roman"/>
          <w:color w:val="000000"/>
          <w:szCs w:val="24"/>
        </w:rPr>
        <w:t xml:space="preserve">that </w:t>
      </w:r>
      <w:r w:rsidR="00CC67A9">
        <w:rPr>
          <w:rFonts w:eastAsia="Times New Roman" w:cs="Times New Roman"/>
          <w:color w:val="000000"/>
          <w:szCs w:val="24"/>
        </w:rPr>
        <w:t>it</w:t>
      </w:r>
      <w:r w:rsidR="00FE3F67">
        <w:rPr>
          <w:rFonts w:eastAsia="Times New Roman" w:cs="Times New Roman"/>
          <w:color w:val="000000"/>
          <w:szCs w:val="24"/>
        </w:rPr>
        <w:t xml:space="preserve"> has been empirically shown to converge given a relatively small sample size</w:t>
      </w:r>
      <w:r w:rsidR="00CC67A9">
        <w:rPr>
          <w:rFonts w:eastAsia="Times New Roman" w:cs="Times New Roman"/>
          <w:color w:val="000000"/>
          <w:szCs w:val="24"/>
        </w:rPr>
        <w:t xml:space="preserve"> compared to </w:t>
      </w:r>
      <w:r w:rsidR="0061179F">
        <w:rPr>
          <w:rFonts w:eastAsia="Times New Roman" w:cs="Times New Roman"/>
          <w:color w:val="000000"/>
          <w:szCs w:val="24"/>
        </w:rPr>
        <w:t xml:space="preserve">other state-of-the-art models in computer vision like the vision transformer </w:t>
      </w:r>
      <w:r w:rsidR="0061179F">
        <w:rPr>
          <w:rFonts w:eastAsia="Times New Roman" w:cs="Times New Roman"/>
          <w:color w:val="000000"/>
          <w:szCs w:val="24"/>
        </w:rPr>
        <w:fldChar w:fldCharType="begin"/>
      </w:r>
      <w:r w:rsidR="00BB6527">
        <w:rPr>
          <w:rFonts w:eastAsia="Times New Roman" w:cs="Times New Roman"/>
          <w:color w:val="000000"/>
          <w:szCs w:val="24"/>
        </w:rPr>
        <w:instrText xml:space="preserve"> ADDIN ZOTERO_ITEM CSL_CITATION {"citationID":"qMj0f14w","properties":{"formattedCitation":"(Dosovitskiy et al., 2021)","plainCitation":"(Dosovitskiy et al., 2021)","noteIndex":0},"citationItems":[{"id":391,"uris":["http://zotero.org/users/8992256/items/GD8YB64G"],"itemData":{"id":391,"type":"article","abstract":"While the Transformer architecture has become the de-facto standard for natural language processing tasks, its applications to computer vision remain limited. In vision, attention is either applied in conjunction with convolutional networks, or used to replace certain components of convolutional networks while keeping their overall structure in place. We show that this reliance on CNNs is not necessary and a pure transformer applied directly to sequences of image patches can perform very well on image classification tasks. When pre-trained on large amounts of data and transferred to multiple mid-sized or small image recognition benchmarks (ImageNet, CIFAR-100, VTAB, etc.), Vision Transformer (ViT) attains excellent results compared to state-of-the-art convolutional networks while requiring substantially fewer computational resources to train.","DOI":"10.48550/arXiv.2010.11929","note":"arXiv:2010.11929 [cs]","number":"arXiv:2010.11929","publisher":"arXiv","source":"arXiv.org","title":"An Image is Worth 16x16 Words: Transformers for Image Recognition at Scale","title-short":"An Image is Worth 16x16 Words","URL":"http://arxiv.org/abs/2010.11929","author":[{"family":"Dosovitskiy","given":"Alexey"},{"family":"Beyer","given":"Lucas"},{"family":"Kolesnikov","given":"Alexander"},{"family":"Weissenborn","given":"Dirk"},{"family":"Zhai","given":"Xiaohua"},{"family":"Unterthiner","given":"Thomas"},{"family":"Dehghani","given":"Mostafa"},{"family":"Minderer","given":"Matthias"},{"family":"Heigold","given":"Georg"},{"family":"Gelly","given":"Sylvain"},{"family":"Uszkoreit","given":"Jakob"},{"family":"Houlsby","given":"Neil"}],"accessed":{"date-parts":[["2023",1,12]]},"issued":{"date-parts":[["2021",6,3]]},"citation-key":"dosovitskiyImageWorth16x162021"}}],"schema":"https://github.com/citation-style-language/schema/raw/master/csl-citation.json"} </w:instrText>
      </w:r>
      <w:r w:rsidR="0061179F">
        <w:rPr>
          <w:rFonts w:eastAsia="Times New Roman" w:cs="Times New Roman"/>
          <w:color w:val="000000"/>
          <w:szCs w:val="24"/>
        </w:rPr>
        <w:fldChar w:fldCharType="separate"/>
      </w:r>
      <w:r w:rsidR="0061179F" w:rsidRPr="0061179F">
        <w:rPr>
          <w:rFonts w:cs="Times New Roman"/>
        </w:rPr>
        <w:t>(Dosovitskiy et al., 2021)</w:t>
      </w:r>
      <w:r w:rsidR="0061179F">
        <w:rPr>
          <w:rFonts w:eastAsia="Times New Roman" w:cs="Times New Roman"/>
          <w:color w:val="000000"/>
          <w:szCs w:val="24"/>
        </w:rPr>
        <w:fldChar w:fldCharType="end"/>
      </w:r>
      <w:r w:rsidR="00BF1619">
        <w:rPr>
          <w:rFonts w:eastAsia="Times New Roman" w:cs="Times New Roman"/>
          <w:color w:val="000000"/>
          <w:szCs w:val="24"/>
        </w:rPr>
        <w:t xml:space="preserve">. </w:t>
      </w:r>
      <w:r w:rsidR="00BC0BFB">
        <w:rPr>
          <w:rFonts w:eastAsia="Times New Roman" w:cs="Times New Roman"/>
          <w:color w:val="000000"/>
          <w:szCs w:val="24"/>
        </w:rPr>
        <w:t xml:space="preserve">This is an important consideration considering the relatively small satellite AOD dataset (one image a day for eleven years). </w:t>
      </w:r>
      <w:r w:rsidR="008717E4">
        <w:rPr>
          <w:rFonts w:eastAsia="Times New Roman" w:cs="Times New Roman"/>
          <w:color w:val="000000"/>
          <w:szCs w:val="24"/>
        </w:rPr>
        <w:t>A back</w:t>
      </w:r>
      <w:r w:rsidR="00FB748F">
        <w:rPr>
          <w:rFonts w:eastAsia="Times New Roman" w:cs="Times New Roman"/>
          <w:color w:val="000000"/>
          <w:szCs w:val="24"/>
        </w:rPr>
        <w:t>-of-the-</w:t>
      </w:r>
      <w:r w:rsidR="008717E4">
        <w:rPr>
          <w:rFonts w:eastAsia="Times New Roman" w:cs="Times New Roman"/>
          <w:color w:val="000000"/>
          <w:szCs w:val="24"/>
        </w:rPr>
        <w:t xml:space="preserve">envelope calculation shows that </w:t>
      </w:r>
      <w:r w:rsidR="00787172">
        <w:rPr>
          <w:rFonts w:eastAsia="Times New Roman" w:cs="Times New Roman"/>
          <w:color w:val="000000"/>
          <w:szCs w:val="24"/>
        </w:rPr>
        <w:t xml:space="preserve">if a satellite has only been operational for around </w:t>
      </w:r>
      <w:r w:rsidR="00E534BD">
        <w:rPr>
          <w:rFonts w:eastAsia="Times New Roman" w:cs="Times New Roman"/>
          <w:color w:val="000000"/>
          <w:szCs w:val="24"/>
        </w:rPr>
        <w:t xml:space="preserve">ten </w:t>
      </w:r>
      <w:r w:rsidR="00787172">
        <w:rPr>
          <w:rFonts w:eastAsia="Times New Roman" w:cs="Times New Roman"/>
          <w:color w:val="000000"/>
          <w:szCs w:val="24"/>
        </w:rPr>
        <w:t xml:space="preserve">years, then </w:t>
      </w:r>
      <w:r w:rsidR="002E3F64">
        <w:rPr>
          <w:rFonts w:eastAsia="Times New Roman" w:cs="Times New Roman"/>
          <w:color w:val="000000"/>
          <w:szCs w:val="24"/>
        </w:rPr>
        <w:t xml:space="preserve">only </w:t>
      </w:r>
      <w:r w:rsidR="0006619C">
        <w:rPr>
          <w:rFonts w:eastAsia="Times New Roman" w:cs="Times New Roman"/>
          <w:color w:val="000000"/>
          <w:szCs w:val="24"/>
        </w:rPr>
        <w:t xml:space="preserve">around 3,650 days of data will be available, a paltry amount compared to the 300 million sample dataset used to </w:t>
      </w:r>
      <w:r w:rsidR="003A35F6">
        <w:rPr>
          <w:rFonts w:eastAsia="Times New Roman" w:cs="Times New Roman"/>
          <w:color w:val="000000"/>
          <w:szCs w:val="24"/>
        </w:rPr>
        <w:t>train the vision transformer to its best-in-class status.</w:t>
      </w:r>
      <w:r w:rsidR="005C3131">
        <w:rPr>
          <w:rFonts w:eastAsia="Times New Roman" w:cs="Times New Roman"/>
          <w:color w:val="000000"/>
          <w:szCs w:val="24"/>
        </w:rPr>
        <w:t xml:space="preserve"> </w:t>
      </w:r>
      <w:r w:rsidR="005C3131" w:rsidRPr="001E74E1">
        <w:rPr>
          <w:rFonts w:eastAsia="Times New Roman" w:cs="Times New Roman"/>
          <w:b/>
          <w:bCs/>
          <w:color w:val="000000"/>
          <w:szCs w:val="24"/>
          <w:u w:val="single"/>
        </w:rPr>
        <w:t>The goal</w:t>
      </w:r>
      <w:r w:rsidR="005C3131" w:rsidRPr="001E74E1">
        <w:rPr>
          <w:rFonts w:eastAsia="Times New Roman" w:cs="Times New Roman"/>
          <w:color w:val="000000"/>
          <w:szCs w:val="24"/>
          <w:u w:val="single"/>
        </w:rPr>
        <w:t xml:space="preserve"> </w:t>
      </w:r>
      <w:r w:rsidR="00BC0BFB" w:rsidRPr="001E74E1">
        <w:rPr>
          <w:rFonts w:eastAsia="Times New Roman" w:cs="Times New Roman"/>
          <w:b/>
          <w:bCs/>
          <w:color w:val="000000"/>
          <w:szCs w:val="24"/>
          <w:u w:val="single"/>
        </w:rPr>
        <w:t>of</w:t>
      </w:r>
      <w:r w:rsidR="00BC0BFB" w:rsidRPr="001E74E1">
        <w:rPr>
          <w:rFonts w:eastAsia="Times New Roman" w:cs="Times New Roman"/>
          <w:color w:val="000000"/>
          <w:szCs w:val="24"/>
          <w:u w:val="single"/>
        </w:rPr>
        <w:t xml:space="preserve"> </w:t>
      </w:r>
      <w:r w:rsidR="005C3131" w:rsidRPr="001E74E1">
        <w:rPr>
          <w:rFonts w:eastAsia="Times New Roman" w:cs="Times New Roman"/>
          <w:b/>
          <w:bCs/>
          <w:color w:val="000000"/>
          <w:szCs w:val="24"/>
          <w:u w:val="single"/>
        </w:rPr>
        <w:t xml:space="preserve">this thesis </w:t>
      </w:r>
      <w:r w:rsidR="00BC0BFB" w:rsidRPr="001E74E1">
        <w:rPr>
          <w:rFonts w:eastAsia="Times New Roman" w:cs="Times New Roman"/>
          <w:b/>
          <w:bCs/>
          <w:color w:val="000000"/>
          <w:szCs w:val="24"/>
          <w:u w:val="single"/>
        </w:rPr>
        <w:t xml:space="preserve">is </w:t>
      </w:r>
      <w:r w:rsidR="00E32C7E" w:rsidRPr="001E74E1">
        <w:rPr>
          <w:rFonts w:eastAsia="Times New Roman" w:cs="Times New Roman"/>
          <w:b/>
          <w:bCs/>
          <w:color w:val="000000"/>
          <w:szCs w:val="24"/>
          <w:u w:val="single"/>
        </w:rPr>
        <w:t>to test the viability of UNet 3+ as a</w:t>
      </w:r>
      <w:r w:rsidR="00B92DBB" w:rsidRPr="001E74E1">
        <w:rPr>
          <w:rFonts w:eastAsia="Times New Roman" w:cs="Times New Roman"/>
          <w:b/>
          <w:bCs/>
          <w:color w:val="000000"/>
          <w:szCs w:val="24"/>
          <w:u w:val="single"/>
        </w:rPr>
        <w:t xml:space="preserve">n architecture for AOD gap-filling. </w:t>
      </w:r>
      <w:r w:rsidR="001E74E1" w:rsidRPr="001E74E1">
        <w:rPr>
          <w:rFonts w:eastAsia="Times New Roman" w:cs="Times New Roman"/>
          <w:b/>
          <w:bCs/>
          <w:color w:val="000000"/>
          <w:szCs w:val="24"/>
          <w:u w:val="single"/>
        </w:rPr>
        <w:t xml:space="preserve">Our hypothesis is that </w:t>
      </w:r>
      <w:r w:rsidR="001E74E1">
        <w:rPr>
          <w:rFonts w:cs="Times New Roman"/>
          <w:b/>
          <w:bCs/>
          <w:szCs w:val="24"/>
          <w:u w:val="single"/>
        </w:rPr>
        <w:t>t</w:t>
      </w:r>
      <w:r w:rsidR="001E74E1" w:rsidRPr="001E74E1">
        <w:rPr>
          <w:rFonts w:cs="Times New Roman"/>
          <w:b/>
          <w:bCs/>
          <w:szCs w:val="24"/>
          <w:u w:val="single"/>
        </w:rPr>
        <w:t xml:space="preserve">he </w:t>
      </w:r>
      <w:r w:rsidR="001E74E1" w:rsidRPr="001E74E1">
        <w:rPr>
          <w:rFonts w:cs="Times New Roman"/>
          <w:b/>
          <w:bCs/>
          <w:color w:val="000000"/>
          <w:szCs w:val="24"/>
          <w:u w:val="single"/>
        </w:rPr>
        <w:t>UNet 3+</w:t>
      </w:r>
      <w:r w:rsidR="001E74E1" w:rsidRPr="001E74E1">
        <w:rPr>
          <w:rFonts w:cs="Times New Roman"/>
          <w:b/>
          <w:bCs/>
          <w:szCs w:val="24"/>
          <w:u w:val="single"/>
        </w:rPr>
        <w:t xml:space="preserve"> architecture, combined with DB AOD and supplemental datasets, will improve spati</w:t>
      </w:r>
      <w:r w:rsidR="00A40501">
        <w:rPr>
          <w:rFonts w:cs="Times New Roman"/>
          <w:b/>
          <w:bCs/>
          <w:szCs w:val="24"/>
          <w:u w:val="single"/>
        </w:rPr>
        <w:t>o</w:t>
      </w:r>
      <w:r w:rsidR="001E74E1" w:rsidRPr="001E74E1">
        <w:rPr>
          <w:rFonts w:cs="Times New Roman"/>
          <w:b/>
          <w:bCs/>
          <w:szCs w:val="24"/>
          <w:u w:val="single"/>
        </w:rPr>
        <w:t xml:space="preserve">temporal coverage of AOD missing data due to cloud cover or bright surfaces (e.g., semi-arid or arid deserts). The primary outcome of this research is </w:t>
      </w:r>
      <w:r w:rsidR="008C3596">
        <w:rPr>
          <w:rFonts w:cs="Times New Roman"/>
          <w:b/>
          <w:bCs/>
          <w:szCs w:val="24"/>
          <w:u w:val="single"/>
        </w:rPr>
        <w:t xml:space="preserve">the creation </w:t>
      </w:r>
      <w:r w:rsidR="00A40501">
        <w:rPr>
          <w:rFonts w:cs="Times New Roman"/>
          <w:b/>
          <w:bCs/>
          <w:szCs w:val="24"/>
          <w:u w:val="single"/>
        </w:rPr>
        <w:t>of a</w:t>
      </w:r>
      <w:r w:rsidR="008C3596">
        <w:rPr>
          <w:rFonts w:cs="Times New Roman"/>
          <w:b/>
          <w:bCs/>
          <w:szCs w:val="24"/>
          <w:u w:val="single"/>
        </w:rPr>
        <w:t xml:space="preserve"> </w:t>
      </w:r>
      <w:r w:rsidR="001E74E1" w:rsidRPr="001E74E1">
        <w:rPr>
          <w:rFonts w:cs="Times New Roman"/>
          <w:b/>
          <w:bCs/>
          <w:szCs w:val="24"/>
          <w:u w:val="single"/>
        </w:rPr>
        <w:t>spati</w:t>
      </w:r>
      <w:r w:rsidR="008C3596">
        <w:rPr>
          <w:rFonts w:cs="Times New Roman"/>
          <w:b/>
          <w:bCs/>
          <w:szCs w:val="24"/>
          <w:u w:val="single"/>
        </w:rPr>
        <w:t>o</w:t>
      </w:r>
      <w:r w:rsidR="001E74E1" w:rsidRPr="001E74E1">
        <w:rPr>
          <w:rFonts w:cs="Times New Roman"/>
          <w:b/>
          <w:bCs/>
          <w:szCs w:val="24"/>
          <w:u w:val="single"/>
        </w:rPr>
        <w:t>temporal dataset</w:t>
      </w:r>
      <w:r w:rsidR="00A40501">
        <w:rPr>
          <w:rFonts w:cs="Times New Roman"/>
          <w:b/>
          <w:bCs/>
          <w:szCs w:val="24"/>
          <w:u w:val="single"/>
        </w:rPr>
        <w:t xml:space="preserve"> </w:t>
      </w:r>
      <w:r w:rsidR="001E74E1" w:rsidRPr="001E74E1">
        <w:rPr>
          <w:rFonts w:cs="Times New Roman"/>
          <w:b/>
          <w:bCs/>
          <w:szCs w:val="24"/>
          <w:u w:val="single"/>
        </w:rPr>
        <w:t xml:space="preserve">of gap-filled AOD with an eye towards of using the end product (gap-filled AOD) as </w:t>
      </w:r>
      <w:r w:rsidR="00EF0CE1">
        <w:rPr>
          <w:rFonts w:cs="Times New Roman"/>
          <w:b/>
          <w:bCs/>
          <w:szCs w:val="24"/>
          <w:u w:val="single"/>
        </w:rPr>
        <w:t xml:space="preserve">a </w:t>
      </w:r>
      <w:r w:rsidR="001E74E1" w:rsidRPr="001E74E1">
        <w:rPr>
          <w:rFonts w:cs="Times New Roman"/>
          <w:b/>
          <w:bCs/>
          <w:szCs w:val="24"/>
          <w:u w:val="single"/>
        </w:rPr>
        <w:t>spatial predictor of PM</w:t>
      </w:r>
      <w:r w:rsidR="001E74E1" w:rsidRPr="001E74E1">
        <w:rPr>
          <w:rFonts w:cs="Times New Roman"/>
          <w:b/>
          <w:bCs/>
          <w:szCs w:val="24"/>
          <w:u w:val="single"/>
          <w:vertAlign w:val="subscript"/>
        </w:rPr>
        <w:t>2.5</w:t>
      </w:r>
      <w:r w:rsidR="001E74E1" w:rsidRPr="001E74E1">
        <w:rPr>
          <w:rFonts w:cs="Times New Roman"/>
          <w:b/>
          <w:bCs/>
          <w:szCs w:val="24"/>
          <w:u w:val="single"/>
        </w:rPr>
        <w:t xml:space="preserve"> </w:t>
      </w:r>
      <w:r w:rsidR="00EF0CE1">
        <w:rPr>
          <w:rFonts w:cs="Times New Roman"/>
          <w:b/>
          <w:bCs/>
          <w:szCs w:val="24"/>
          <w:u w:val="single"/>
        </w:rPr>
        <w:t xml:space="preserve">in future </w:t>
      </w:r>
      <w:r w:rsidR="00411CD3">
        <w:rPr>
          <w:rFonts w:cs="Times New Roman"/>
          <w:b/>
          <w:bCs/>
          <w:szCs w:val="24"/>
          <w:u w:val="single"/>
        </w:rPr>
        <w:t xml:space="preserve">poor </w:t>
      </w:r>
      <w:r w:rsidR="00EF0CE1">
        <w:rPr>
          <w:rFonts w:cs="Times New Roman"/>
          <w:b/>
          <w:bCs/>
          <w:szCs w:val="24"/>
          <w:u w:val="single"/>
        </w:rPr>
        <w:t>air quality exposure studies</w:t>
      </w:r>
      <w:r w:rsidR="001E74E1" w:rsidRPr="001E74E1">
        <w:rPr>
          <w:rFonts w:cs="Times New Roman"/>
          <w:b/>
          <w:bCs/>
          <w:szCs w:val="24"/>
          <w:u w:val="single"/>
        </w:rPr>
        <w:t>.</w:t>
      </w:r>
      <w:r w:rsidR="003A35F6">
        <w:rPr>
          <w:rFonts w:eastAsia="Times New Roman" w:cs="Times New Roman"/>
          <w:color w:val="000000"/>
          <w:szCs w:val="24"/>
        </w:rPr>
        <w:br w:type="page"/>
      </w:r>
    </w:p>
    <w:p w14:paraId="6EE63388" w14:textId="7EB36A75" w:rsidR="00E43DB6" w:rsidRDefault="000E00EF" w:rsidP="00950E6A">
      <w:pPr>
        <w:pStyle w:val="Heading1"/>
      </w:pPr>
      <w:bookmarkStart w:id="23" w:name="_Toc161431078"/>
      <w:r w:rsidRPr="00601F10">
        <w:lastRenderedPageBreak/>
        <w:t xml:space="preserve">2. </w:t>
      </w:r>
      <w:r w:rsidR="002C19D8" w:rsidRPr="00601F10">
        <w:t xml:space="preserve">Instrumentation and </w:t>
      </w:r>
      <w:r w:rsidR="00EA3D4E" w:rsidRPr="00601F10">
        <w:t>Data</w:t>
      </w:r>
      <w:r w:rsidR="002C19D8" w:rsidRPr="00601F10">
        <w:t>sets</w:t>
      </w:r>
      <w:bookmarkEnd w:id="23"/>
    </w:p>
    <w:p w14:paraId="585D6A3F" w14:textId="16B8522E" w:rsidR="00C80B6A" w:rsidRPr="00C80B6A" w:rsidRDefault="00C80B6A" w:rsidP="00582302">
      <w:pPr>
        <w:rPr>
          <w:rFonts w:cs="Times New Roman"/>
          <w:b/>
          <w:bCs/>
          <w:szCs w:val="24"/>
        </w:rPr>
      </w:pPr>
      <w:r>
        <w:rPr>
          <w:rFonts w:cs="Times New Roman"/>
          <w:b/>
          <w:bCs/>
          <w:szCs w:val="24"/>
        </w:rPr>
        <w:t>Table 1 summarizes the instruments, models, variables, and spatial-temporal resolution of the datasets used in this investigation. This section will explain the instrumentation, models, and datasets used to train the UNet 3+ gap-filler AOD.</w:t>
      </w:r>
    </w:p>
    <w:tbl>
      <w:tblPr>
        <w:tblStyle w:val="TableGrid"/>
        <w:tblW w:w="0" w:type="auto"/>
        <w:tblLook w:val="04A0" w:firstRow="1" w:lastRow="0" w:firstColumn="1" w:lastColumn="0" w:noHBand="0" w:noVBand="1"/>
      </w:tblPr>
      <w:tblGrid>
        <w:gridCol w:w="2245"/>
        <w:gridCol w:w="2700"/>
        <w:gridCol w:w="2067"/>
        <w:gridCol w:w="2338"/>
      </w:tblGrid>
      <w:tr w:rsidR="002C19D8" w:rsidRPr="002B1293" w14:paraId="491B20BC" w14:textId="77777777" w:rsidTr="004A3D29">
        <w:tc>
          <w:tcPr>
            <w:tcW w:w="2245" w:type="dxa"/>
          </w:tcPr>
          <w:p w14:paraId="02272597" w14:textId="71D47028" w:rsidR="002C19D8" w:rsidRPr="00355A9E" w:rsidRDefault="002C19D8" w:rsidP="00582302">
            <w:pPr>
              <w:tabs>
                <w:tab w:val="right" w:pos="2121"/>
              </w:tabs>
              <w:rPr>
                <w:rFonts w:cs="Times New Roman"/>
                <w:b/>
                <w:bCs/>
                <w:szCs w:val="24"/>
              </w:rPr>
            </w:pPr>
            <w:r w:rsidRPr="00355A9E">
              <w:rPr>
                <w:rFonts w:cs="Times New Roman"/>
                <w:b/>
                <w:bCs/>
                <w:szCs w:val="24"/>
              </w:rPr>
              <w:t>Model/Instrument</w:t>
            </w:r>
            <w:r w:rsidRPr="00355A9E">
              <w:rPr>
                <w:rFonts w:cs="Times New Roman"/>
                <w:b/>
                <w:bCs/>
                <w:szCs w:val="24"/>
              </w:rPr>
              <w:tab/>
            </w:r>
          </w:p>
        </w:tc>
        <w:tc>
          <w:tcPr>
            <w:tcW w:w="2700" w:type="dxa"/>
          </w:tcPr>
          <w:p w14:paraId="32D9D4EB" w14:textId="7FFF35ED" w:rsidR="002C19D8" w:rsidRPr="00355A9E" w:rsidRDefault="002C19D8" w:rsidP="00582302">
            <w:pPr>
              <w:rPr>
                <w:rFonts w:cs="Times New Roman"/>
                <w:b/>
                <w:bCs/>
                <w:szCs w:val="24"/>
              </w:rPr>
            </w:pPr>
            <w:r w:rsidRPr="00355A9E">
              <w:rPr>
                <w:rFonts w:cs="Times New Roman"/>
                <w:b/>
                <w:bCs/>
                <w:szCs w:val="24"/>
              </w:rPr>
              <w:t>Variables</w:t>
            </w:r>
          </w:p>
        </w:tc>
        <w:tc>
          <w:tcPr>
            <w:tcW w:w="2067" w:type="dxa"/>
          </w:tcPr>
          <w:p w14:paraId="69CA04A7" w14:textId="12CEB86A" w:rsidR="002C19D8" w:rsidRPr="00355A9E" w:rsidRDefault="002C19D8" w:rsidP="00582302">
            <w:pPr>
              <w:rPr>
                <w:rFonts w:cs="Times New Roman"/>
                <w:b/>
                <w:bCs/>
                <w:szCs w:val="24"/>
              </w:rPr>
            </w:pPr>
            <w:r w:rsidRPr="00355A9E">
              <w:rPr>
                <w:rFonts w:cs="Times New Roman"/>
                <w:b/>
                <w:bCs/>
                <w:szCs w:val="24"/>
              </w:rPr>
              <w:t>Spatial Resolution</w:t>
            </w:r>
          </w:p>
        </w:tc>
        <w:tc>
          <w:tcPr>
            <w:tcW w:w="2338" w:type="dxa"/>
          </w:tcPr>
          <w:p w14:paraId="06215DE0" w14:textId="6D8FBB7D" w:rsidR="002C19D8" w:rsidRPr="00355A9E" w:rsidRDefault="002C19D8" w:rsidP="00582302">
            <w:pPr>
              <w:rPr>
                <w:rFonts w:cs="Times New Roman"/>
                <w:b/>
                <w:bCs/>
                <w:szCs w:val="24"/>
              </w:rPr>
            </w:pPr>
            <w:r w:rsidRPr="00355A9E">
              <w:rPr>
                <w:rFonts w:cs="Times New Roman"/>
                <w:b/>
                <w:bCs/>
                <w:szCs w:val="24"/>
              </w:rPr>
              <w:t>Temporal Resolution</w:t>
            </w:r>
          </w:p>
        </w:tc>
      </w:tr>
      <w:tr w:rsidR="002C19D8" w:rsidRPr="002B1293" w14:paraId="7269BC3F" w14:textId="77777777" w:rsidTr="004A3D29">
        <w:tc>
          <w:tcPr>
            <w:tcW w:w="2245" w:type="dxa"/>
          </w:tcPr>
          <w:p w14:paraId="30C39547" w14:textId="46522D97" w:rsidR="002C19D8" w:rsidRPr="004A3D29" w:rsidRDefault="002C19D8" w:rsidP="00582302">
            <w:pPr>
              <w:rPr>
                <w:rFonts w:cs="Times New Roman"/>
                <w:b/>
                <w:bCs/>
                <w:szCs w:val="24"/>
              </w:rPr>
            </w:pPr>
            <w:r w:rsidRPr="004A3D29">
              <w:rPr>
                <w:rFonts w:cs="Times New Roman"/>
                <w:b/>
                <w:bCs/>
                <w:szCs w:val="24"/>
              </w:rPr>
              <w:t>NAM 12km</w:t>
            </w:r>
          </w:p>
        </w:tc>
        <w:tc>
          <w:tcPr>
            <w:tcW w:w="2700" w:type="dxa"/>
          </w:tcPr>
          <w:p w14:paraId="5A429B7C" w14:textId="447421B0" w:rsidR="002C19D8" w:rsidRPr="002B1293" w:rsidRDefault="002C19D8" w:rsidP="00582302">
            <w:pPr>
              <w:rPr>
                <w:rFonts w:cs="Times New Roman"/>
                <w:szCs w:val="24"/>
              </w:rPr>
            </w:pPr>
            <w:r w:rsidRPr="002B1293">
              <w:rPr>
                <w:rFonts w:cs="Times New Roman"/>
                <w:szCs w:val="24"/>
              </w:rPr>
              <w:t>P</w:t>
            </w:r>
            <w:r w:rsidRPr="002B1293">
              <w:rPr>
                <w:rFonts w:cs="Times New Roman"/>
                <w:szCs w:val="24"/>
                <w:vertAlign w:val="subscript"/>
              </w:rPr>
              <w:t>surf</w:t>
            </w:r>
            <w:r w:rsidRPr="002B1293">
              <w:rPr>
                <w:rFonts w:cs="Times New Roman"/>
                <w:szCs w:val="24"/>
              </w:rPr>
              <w:t>, P</w:t>
            </w:r>
            <w:r w:rsidRPr="002B1293">
              <w:rPr>
                <w:rFonts w:cs="Times New Roman"/>
                <w:szCs w:val="24"/>
                <w:vertAlign w:val="subscript"/>
              </w:rPr>
              <w:t>msl</w:t>
            </w:r>
            <w:r w:rsidRPr="002B1293">
              <w:rPr>
                <w:rFonts w:cs="Times New Roman"/>
                <w:szCs w:val="24"/>
              </w:rPr>
              <w:t>, T</w:t>
            </w:r>
            <w:r w:rsidRPr="002B1293">
              <w:rPr>
                <w:rFonts w:cs="Times New Roman"/>
                <w:szCs w:val="24"/>
                <w:vertAlign w:val="subscript"/>
              </w:rPr>
              <w:t>surf</w:t>
            </w:r>
            <w:r w:rsidRPr="002B1293">
              <w:rPr>
                <w:rFonts w:cs="Times New Roman"/>
                <w:szCs w:val="24"/>
              </w:rPr>
              <w:t>, T</w:t>
            </w:r>
            <w:r w:rsidRPr="002B1293">
              <w:rPr>
                <w:rFonts w:cs="Times New Roman"/>
                <w:szCs w:val="24"/>
              </w:rPr>
              <w:softHyphen/>
            </w:r>
            <w:r w:rsidRPr="002B1293">
              <w:rPr>
                <w:rFonts w:cs="Times New Roman"/>
                <w:szCs w:val="24"/>
                <w:vertAlign w:val="subscript"/>
              </w:rPr>
              <w:t>2m</w:t>
            </w:r>
            <w:r w:rsidRPr="002B1293">
              <w:rPr>
                <w:rFonts w:cs="Times New Roman"/>
                <w:szCs w:val="24"/>
              </w:rPr>
              <w:t xml:space="preserve">, </w:t>
            </w:r>
            <w:r w:rsidR="00375F5D" w:rsidRPr="002B1293">
              <w:rPr>
                <w:rFonts w:cs="Times New Roman"/>
                <w:szCs w:val="24"/>
              </w:rPr>
              <w:t>DWT</w:t>
            </w:r>
            <w:r w:rsidR="00375F5D" w:rsidRPr="002B1293">
              <w:rPr>
                <w:rFonts w:cs="Times New Roman"/>
                <w:szCs w:val="24"/>
                <w:vertAlign w:val="subscript"/>
              </w:rPr>
              <w:t>2m</w:t>
            </w:r>
            <w:r w:rsidR="00375F5D" w:rsidRPr="002B1293">
              <w:rPr>
                <w:rFonts w:cs="Times New Roman"/>
                <w:szCs w:val="24"/>
              </w:rPr>
              <w:t>, orography, RH</w:t>
            </w:r>
            <w:r w:rsidR="00375F5D" w:rsidRPr="002B1293">
              <w:rPr>
                <w:rFonts w:cs="Times New Roman"/>
                <w:szCs w:val="24"/>
              </w:rPr>
              <w:softHyphen/>
            </w:r>
            <w:r w:rsidR="00375F5D" w:rsidRPr="002B1293">
              <w:rPr>
                <w:rFonts w:cs="Times New Roman"/>
                <w:szCs w:val="24"/>
                <w:vertAlign w:val="subscript"/>
              </w:rPr>
              <w:t>2m</w:t>
            </w:r>
            <w:r w:rsidR="00375F5D" w:rsidRPr="002B1293">
              <w:rPr>
                <w:rFonts w:cs="Times New Roman"/>
                <w:szCs w:val="24"/>
              </w:rPr>
              <w:t>, U</w:t>
            </w:r>
            <w:r w:rsidR="00375F5D" w:rsidRPr="002B1293">
              <w:rPr>
                <w:rFonts w:cs="Times New Roman"/>
                <w:szCs w:val="24"/>
                <w:vertAlign w:val="subscript"/>
              </w:rPr>
              <w:t>10m</w:t>
            </w:r>
            <w:r w:rsidR="00375F5D" w:rsidRPr="002B1293">
              <w:rPr>
                <w:rFonts w:cs="Times New Roman"/>
                <w:szCs w:val="24"/>
              </w:rPr>
              <w:t>, V</w:t>
            </w:r>
            <w:r w:rsidR="00375F5D" w:rsidRPr="002B1293">
              <w:rPr>
                <w:rFonts w:cs="Times New Roman"/>
                <w:szCs w:val="24"/>
                <w:vertAlign w:val="subscript"/>
              </w:rPr>
              <w:t>10m</w:t>
            </w:r>
            <w:r w:rsidR="00375F5D" w:rsidRPr="002B1293">
              <w:rPr>
                <w:rFonts w:cs="Times New Roman"/>
                <w:szCs w:val="24"/>
              </w:rPr>
              <w:t xml:space="preserve">, </w:t>
            </w:r>
            <w:r w:rsidR="0067007C">
              <w:rPr>
                <w:rFonts w:cs="Times New Roman"/>
                <w:szCs w:val="24"/>
              </w:rPr>
              <w:t xml:space="preserve">land mask, </w:t>
            </w:r>
            <w:r w:rsidR="00375F5D" w:rsidRPr="002B1293">
              <w:rPr>
                <w:rFonts w:cs="Times New Roman"/>
                <w:szCs w:val="24"/>
              </w:rPr>
              <w:t>vegetation, PBLH</w:t>
            </w:r>
          </w:p>
        </w:tc>
        <w:tc>
          <w:tcPr>
            <w:tcW w:w="2067" w:type="dxa"/>
          </w:tcPr>
          <w:p w14:paraId="4853C3F4" w14:textId="24F093A6" w:rsidR="002C19D8" w:rsidRPr="002B1293" w:rsidRDefault="00EB75D8" w:rsidP="00582302">
            <w:pPr>
              <w:rPr>
                <w:rFonts w:cs="Times New Roman"/>
                <w:szCs w:val="24"/>
              </w:rPr>
            </w:pPr>
            <w:r w:rsidRPr="002B1293">
              <w:rPr>
                <w:rFonts w:cs="Times New Roman"/>
                <w:szCs w:val="24"/>
              </w:rPr>
              <w:t>12x12 km</w:t>
            </w:r>
            <w:r w:rsidRPr="002B1293">
              <w:rPr>
                <w:rFonts w:cs="Times New Roman"/>
                <w:szCs w:val="24"/>
                <w:vertAlign w:val="superscript"/>
              </w:rPr>
              <w:t>2</w:t>
            </w:r>
          </w:p>
        </w:tc>
        <w:tc>
          <w:tcPr>
            <w:tcW w:w="2338" w:type="dxa"/>
          </w:tcPr>
          <w:p w14:paraId="509154A9" w14:textId="27044F3F" w:rsidR="002C19D8" w:rsidRPr="002B1293" w:rsidRDefault="00EB75D8" w:rsidP="00582302">
            <w:pPr>
              <w:rPr>
                <w:rFonts w:cs="Times New Roman"/>
                <w:szCs w:val="24"/>
              </w:rPr>
            </w:pPr>
            <w:r w:rsidRPr="002B1293">
              <w:rPr>
                <w:rFonts w:cs="Times New Roman"/>
                <w:szCs w:val="24"/>
              </w:rPr>
              <w:t>6 hours</w:t>
            </w:r>
          </w:p>
        </w:tc>
      </w:tr>
      <w:tr w:rsidR="002C19D8" w:rsidRPr="002B1293" w14:paraId="3029D514" w14:textId="77777777" w:rsidTr="004A3D29">
        <w:tc>
          <w:tcPr>
            <w:tcW w:w="2245" w:type="dxa"/>
          </w:tcPr>
          <w:p w14:paraId="5D67A975" w14:textId="7F7BDD22" w:rsidR="002C19D8" w:rsidRPr="004A3D29" w:rsidRDefault="00EB75D8" w:rsidP="00582302">
            <w:pPr>
              <w:rPr>
                <w:rFonts w:cs="Times New Roman"/>
                <w:b/>
                <w:bCs/>
                <w:szCs w:val="24"/>
              </w:rPr>
            </w:pPr>
            <w:r w:rsidRPr="004A3D29">
              <w:rPr>
                <w:rFonts w:cs="Times New Roman"/>
                <w:b/>
                <w:bCs/>
                <w:szCs w:val="24"/>
              </w:rPr>
              <w:t>Terra/Aqua MODIS</w:t>
            </w:r>
          </w:p>
        </w:tc>
        <w:tc>
          <w:tcPr>
            <w:tcW w:w="2700" w:type="dxa"/>
          </w:tcPr>
          <w:p w14:paraId="6CDCCEFC" w14:textId="1B0DDCE3" w:rsidR="002C19D8" w:rsidRPr="002B1293" w:rsidRDefault="0014510F" w:rsidP="00582302">
            <w:pPr>
              <w:rPr>
                <w:rFonts w:cs="Times New Roman"/>
                <w:szCs w:val="24"/>
              </w:rPr>
            </w:pPr>
            <w:r w:rsidRPr="002B1293">
              <w:rPr>
                <w:rFonts w:cs="Times New Roman"/>
                <w:szCs w:val="24"/>
              </w:rPr>
              <w:t>DB AOD</w:t>
            </w:r>
            <w:r w:rsidRPr="002B1293">
              <w:rPr>
                <w:rFonts w:cs="Times New Roman"/>
                <w:szCs w:val="24"/>
                <w:vertAlign w:val="subscript"/>
              </w:rPr>
              <w:t>550nm</w:t>
            </w:r>
          </w:p>
        </w:tc>
        <w:tc>
          <w:tcPr>
            <w:tcW w:w="2067" w:type="dxa"/>
          </w:tcPr>
          <w:p w14:paraId="6DFD7F72" w14:textId="7F98591D" w:rsidR="002C19D8" w:rsidRPr="002B1293" w:rsidRDefault="0014510F" w:rsidP="00582302">
            <w:pPr>
              <w:rPr>
                <w:rFonts w:cs="Times New Roman"/>
                <w:szCs w:val="24"/>
              </w:rPr>
            </w:pPr>
            <w:r w:rsidRPr="002B1293">
              <w:rPr>
                <w:rFonts w:cs="Times New Roman"/>
                <w:szCs w:val="24"/>
              </w:rPr>
              <w:t>10x10 km</w:t>
            </w:r>
            <w:r w:rsidRPr="002B1293">
              <w:rPr>
                <w:rFonts w:cs="Times New Roman"/>
                <w:szCs w:val="24"/>
                <w:vertAlign w:val="superscript"/>
              </w:rPr>
              <w:t>2</w:t>
            </w:r>
          </w:p>
        </w:tc>
        <w:tc>
          <w:tcPr>
            <w:tcW w:w="2338" w:type="dxa"/>
          </w:tcPr>
          <w:p w14:paraId="310F39D1" w14:textId="7113C239" w:rsidR="002C19D8" w:rsidRPr="002B1293" w:rsidRDefault="0014510F" w:rsidP="00582302">
            <w:pPr>
              <w:rPr>
                <w:rFonts w:cs="Times New Roman"/>
                <w:szCs w:val="24"/>
              </w:rPr>
            </w:pPr>
            <w:r w:rsidRPr="002B1293">
              <w:rPr>
                <w:rFonts w:cs="Times New Roman"/>
                <w:szCs w:val="24"/>
              </w:rPr>
              <w:t>daily</w:t>
            </w:r>
          </w:p>
        </w:tc>
      </w:tr>
      <w:tr w:rsidR="0014510F" w:rsidRPr="002B1293" w14:paraId="63472E11" w14:textId="77777777" w:rsidTr="004A3D29">
        <w:tc>
          <w:tcPr>
            <w:tcW w:w="2245" w:type="dxa"/>
          </w:tcPr>
          <w:p w14:paraId="18F0B63A" w14:textId="77777777" w:rsidR="0014510F" w:rsidRPr="004A3D29" w:rsidRDefault="0014510F" w:rsidP="00582302">
            <w:pPr>
              <w:rPr>
                <w:rFonts w:cs="Times New Roman"/>
                <w:b/>
                <w:bCs/>
                <w:szCs w:val="24"/>
              </w:rPr>
            </w:pPr>
          </w:p>
        </w:tc>
        <w:tc>
          <w:tcPr>
            <w:tcW w:w="2700" w:type="dxa"/>
          </w:tcPr>
          <w:p w14:paraId="658B9666" w14:textId="0FC3DEE6" w:rsidR="0014510F" w:rsidRPr="002B1293" w:rsidRDefault="0014510F" w:rsidP="00582302">
            <w:pPr>
              <w:rPr>
                <w:rFonts w:cs="Times New Roman"/>
                <w:szCs w:val="24"/>
              </w:rPr>
            </w:pPr>
            <w:r w:rsidRPr="002B1293">
              <w:rPr>
                <w:rFonts w:cs="Times New Roman"/>
                <w:szCs w:val="24"/>
              </w:rPr>
              <w:t>FRP</w:t>
            </w:r>
          </w:p>
        </w:tc>
        <w:tc>
          <w:tcPr>
            <w:tcW w:w="2067" w:type="dxa"/>
          </w:tcPr>
          <w:p w14:paraId="3715C443" w14:textId="5BDD94EA" w:rsidR="0014510F" w:rsidRPr="002B1293" w:rsidRDefault="0014510F" w:rsidP="00582302">
            <w:pPr>
              <w:rPr>
                <w:rFonts w:cs="Times New Roman"/>
                <w:szCs w:val="24"/>
              </w:rPr>
            </w:pPr>
            <w:r w:rsidRPr="002B1293">
              <w:rPr>
                <w:rFonts w:cs="Times New Roman"/>
                <w:szCs w:val="24"/>
              </w:rPr>
              <w:t>1x1 km</w:t>
            </w:r>
            <w:r w:rsidRPr="002B1293">
              <w:rPr>
                <w:rFonts w:cs="Times New Roman"/>
                <w:szCs w:val="24"/>
                <w:vertAlign w:val="superscript"/>
              </w:rPr>
              <w:t>2</w:t>
            </w:r>
          </w:p>
        </w:tc>
        <w:tc>
          <w:tcPr>
            <w:tcW w:w="2338" w:type="dxa"/>
          </w:tcPr>
          <w:p w14:paraId="591705D2" w14:textId="4F9EC087" w:rsidR="0014510F" w:rsidRPr="002B1293" w:rsidRDefault="0014510F" w:rsidP="00582302">
            <w:pPr>
              <w:rPr>
                <w:rFonts w:cs="Times New Roman"/>
                <w:szCs w:val="24"/>
              </w:rPr>
            </w:pPr>
            <w:r w:rsidRPr="002B1293">
              <w:rPr>
                <w:rFonts w:cs="Times New Roman"/>
                <w:szCs w:val="24"/>
              </w:rPr>
              <w:t>daily</w:t>
            </w:r>
          </w:p>
        </w:tc>
      </w:tr>
      <w:tr w:rsidR="002C19D8" w:rsidRPr="002B1293" w14:paraId="20183521" w14:textId="77777777" w:rsidTr="004A3D29">
        <w:tc>
          <w:tcPr>
            <w:tcW w:w="2245" w:type="dxa"/>
          </w:tcPr>
          <w:p w14:paraId="4FE0250D" w14:textId="38DFFFE0" w:rsidR="002C19D8" w:rsidRPr="004A3D29" w:rsidRDefault="00EB75D8" w:rsidP="00582302">
            <w:pPr>
              <w:rPr>
                <w:rFonts w:cs="Times New Roman"/>
                <w:b/>
                <w:bCs/>
                <w:szCs w:val="24"/>
              </w:rPr>
            </w:pPr>
            <w:r w:rsidRPr="004A3D29">
              <w:rPr>
                <w:rFonts w:cs="Times New Roman"/>
                <w:b/>
                <w:bCs/>
                <w:szCs w:val="24"/>
              </w:rPr>
              <w:t>S-NPP VIIRS</w:t>
            </w:r>
          </w:p>
        </w:tc>
        <w:tc>
          <w:tcPr>
            <w:tcW w:w="2700" w:type="dxa"/>
          </w:tcPr>
          <w:p w14:paraId="64FA33D2" w14:textId="793398F0" w:rsidR="002C19D8" w:rsidRPr="002B1293" w:rsidRDefault="0014510F" w:rsidP="00582302">
            <w:pPr>
              <w:rPr>
                <w:rFonts w:cs="Times New Roman"/>
                <w:szCs w:val="24"/>
              </w:rPr>
            </w:pPr>
            <w:r w:rsidRPr="002B1293">
              <w:rPr>
                <w:rFonts w:cs="Times New Roman"/>
                <w:szCs w:val="24"/>
              </w:rPr>
              <w:t>DB AOD</w:t>
            </w:r>
            <w:r w:rsidRPr="002B1293">
              <w:rPr>
                <w:rFonts w:cs="Times New Roman"/>
                <w:szCs w:val="24"/>
                <w:vertAlign w:val="subscript"/>
              </w:rPr>
              <w:t>550nm</w:t>
            </w:r>
            <w:r w:rsidRPr="002B1293">
              <w:rPr>
                <w:rFonts w:cs="Times New Roman"/>
                <w:szCs w:val="24"/>
              </w:rPr>
              <w:t>, aerosol type, algorithm flag</w:t>
            </w:r>
          </w:p>
        </w:tc>
        <w:tc>
          <w:tcPr>
            <w:tcW w:w="2067" w:type="dxa"/>
          </w:tcPr>
          <w:p w14:paraId="6DA2DFCB" w14:textId="1E9F875E" w:rsidR="002C19D8" w:rsidRPr="002B1293" w:rsidRDefault="0014510F" w:rsidP="00582302">
            <w:pPr>
              <w:rPr>
                <w:rFonts w:cs="Times New Roman"/>
                <w:szCs w:val="24"/>
              </w:rPr>
            </w:pPr>
            <w:r w:rsidRPr="002B1293">
              <w:rPr>
                <w:rFonts w:cs="Times New Roman"/>
                <w:szCs w:val="24"/>
              </w:rPr>
              <w:t>6x6 km</w:t>
            </w:r>
            <w:r w:rsidRPr="002B1293">
              <w:rPr>
                <w:rFonts w:cs="Times New Roman"/>
                <w:szCs w:val="24"/>
                <w:vertAlign w:val="superscript"/>
              </w:rPr>
              <w:t>2</w:t>
            </w:r>
          </w:p>
        </w:tc>
        <w:tc>
          <w:tcPr>
            <w:tcW w:w="2338" w:type="dxa"/>
          </w:tcPr>
          <w:p w14:paraId="1C706D27" w14:textId="1541E09D" w:rsidR="002C19D8" w:rsidRPr="002B1293" w:rsidRDefault="0014510F" w:rsidP="00582302">
            <w:pPr>
              <w:rPr>
                <w:rFonts w:cs="Times New Roman"/>
                <w:szCs w:val="24"/>
              </w:rPr>
            </w:pPr>
            <w:r w:rsidRPr="002B1293">
              <w:rPr>
                <w:rFonts w:cs="Times New Roman"/>
                <w:szCs w:val="24"/>
              </w:rPr>
              <w:t>daily</w:t>
            </w:r>
          </w:p>
        </w:tc>
      </w:tr>
      <w:tr w:rsidR="002C19D8" w:rsidRPr="002B1293" w14:paraId="53A68D2D" w14:textId="77777777" w:rsidTr="004A3D29">
        <w:tc>
          <w:tcPr>
            <w:tcW w:w="2245" w:type="dxa"/>
          </w:tcPr>
          <w:p w14:paraId="5BBB0329" w14:textId="52CF3001" w:rsidR="002C19D8" w:rsidRPr="004A3D29" w:rsidRDefault="00EB75D8" w:rsidP="00582302">
            <w:pPr>
              <w:rPr>
                <w:rFonts w:cs="Times New Roman"/>
                <w:b/>
                <w:bCs/>
                <w:szCs w:val="24"/>
              </w:rPr>
            </w:pPr>
            <w:r w:rsidRPr="004A3D29">
              <w:rPr>
                <w:rFonts w:cs="Times New Roman"/>
                <w:b/>
                <w:bCs/>
                <w:szCs w:val="24"/>
              </w:rPr>
              <w:t>MERRA-2</w:t>
            </w:r>
          </w:p>
        </w:tc>
        <w:tc>
          <w:tcPr>
            <w:tcW w:w="2700" w:type="dxa"/>
          </w:tcPr>
          <w:p w14:paraId="3075235F" w14:textId="55140C8D" w:rsidR="002C19D8" w:rsidRPr="00325A71" w:rsidRDefault="0014510F" w:rsidP="00582302">
            <w:pPr>
              <w:rPr>
                <w:rFonts w:cs="Times New Roman"/>
                <w:szCs w:val="24"/>
                <w:vertAlign w:val="subscript"/>
              </w:rPr>
            </w:pPr>
            <w:r w:rsidRPr="002B1293">
              <w:rPr>
                <w:rFonts w:cs="Times New Roman"/>
                <w:szCs w:val="24"/>
              </w:rPr>
              <w:t>AOD</w:t>
            </w:r>
            <w:r w:rsidR="00325A71">
              <w:rPr>
                <w:rFonts w:cs="Times New Roman"/>
                <w:szCs w:val="24"/>
              </w:rPr>
              <w:softHyphen/>
            </w:r>
            <w:r w:rsidR="00325A71">
              <w:rPr>
                <w:rFonts w:cs="Times New Roman"/>
                <w:szCs w:val="24"/>
                <w:vertAlign w:val="subscript"/>
              </w:rPr>
              <w:t>550nm</w:t>
            </w:r>
          </w:p>
        </w:tc>
        <w:tc>
          <w:tcPr>
            <w:tcW w:w="2067" w:type="dxa"/>
          </w:tcPr>
          <w:p w14:paraId="18DAC76F" w14:textId="60B57181" w:rsidR="002C19D8" w:rsidRPr="002B1293" w:rsidRDefault="00A263A7" w:rsidP="00582302">
            <w:pPr>
              <w:rPr>
                <w:rFonts w:cs="Times New Roman"/>
                <w:szCs w:val="24"/>
              </w:rPr>
            </w:pPr>
            <w:r w:rsidRPr="002B1293">
              <w:rPr>
                <w:rFonts w:cs="Times New Roman"/>
                <w:szCs w:val="24"/>
              </w:rPr>
              <w:t>50x62.5 km</w:t>
            </w:r>
            <w:r w:rsidRPr="002B1293">
              <w:rPr>
                <w:rFonts w:cs="Times New Roman"/>
                <w:szCs w:val="24"/>
                <w:vertAlign w:val="superscript"/>
              </w:rPr>
              <w:t>2</w:t>
            </w:r>
          </w:p>
        </w:tc>
        <w:tc>
          <w:tcPr>
            <w:tcW w:w="2338" w:type="dxa"/>
          </w:tcPr>
          <w:p w14:paraId="1C21B196" w14:textId="527A4B59" w:rsidR="002C19D8" w:rsidRPr="002B1293" w:rsidRDefault="00A263A7" w:rsidP="00582302">
            <w:pPr>
              <w:rPr>
                <w:rFonts w:cs="Times New Roman"/>
                <w:szCs w:val="24"/>
              </w:rPr>
            </w:pPr>
            <w:r w:rsidRPr="002B1293">
              <w:rPr>
                <w:rFonts w:cs="Times New Roman"/>
                <w:szCs w:val="24"/>
              </w:rPr>
              <w:t>hourly</w:t>
            </w:r>
          </w:p>
        </w:tc>
      </w:tr>
      <w:tr w:rsidR="002C19D8" w:rsidRPr="002B1293" w14:paraId="566B6EDD" w14:textId="77777777" w:rsidTr="004A3D29">
        <w:tc>
          <w:tcPr>
            <w:tcW w:w="2245" w:type="dxa"/>
          </w:tcPr>
          <w:p w14:paraId="3782CE57" w14:textId="1F505C5D" w:rsidR="002C19D8" w:rsidRPr="004A3D29" w:rsidRDefault="00EB75D8" w:rsidP="00582302">
            <w:pPr>
              <w:rPr>
                <w:rFonts w:cs="Times New Roman"/>
                <w:b/>
                <w:bCs/>
                <w:szCs w:val="24"/>
              </w:rPr>
            </w:pPr>
            <w:r w:rsidRPr="004A3D29">
              <w:rPr>
                <w:rFonts w:cs="Times New Roman"/>
                <w:b/>
                <w:bCs/>
                <w:szCs w:val="24"/>
              </w:rPr>
              <w:t>HMS</w:t>
            </w:r>
          </w:p>
        </w:tc>
        <w:tc>
          <w:tcPr>
            <w:tcW w:w="2700" w:type="dxa"/>
          </w:tcPr>
          <w:p w14:paraId="3032B506" w14:textId="06947D67" w:rsidR="002C19D8" w:rsidRPr="002B1293" w:rsidRDefault="00A263A7" w:rsidP="00582302">
            <w:pPr>
              <w:rPr>
                <w:rFonts w:cs="Times New Roman"/>
                <w:szCs w:val="24"/>
              </w:rPr>
            </w:pPr>
            <w:r w:rsidRPr="002B1293">
              <w:rPr>
                <w:rFonts w:cs="Times New Roman"/>
                <w:szCs w:val="24"/>
              </w:rPr>
              <w:t>smoke density</w:t>
            </w:r>
          </w:p>
        </w:tc>
        <w:tc>
          <w:tcPr>
            <w:tcW w:w="2067" w:type="dxa"/>
          </w:tcPr>
          <w:p w14:paraId="245783B8" w14:textId="6168B4A6" w:rsidR="002C19D8" w:rsidRPr="002B1293" w:rsidRDefault="00A263A7" w:rsidP="00582302">
            <w:pPr>
              <w:rPr>
                <w:rFonts w:cs="Times New Roman"/>
                <w:szCs w:val="24"/>
              </w:rPr>
            </w:pPr>
            <w:r w:rsidRPr="002B1293">
              <w:rPr>
                <w:rFonts w:cs="Times New Roman"/>
                <w:szCs w:val="24"/>
              </w:rPr>
              <w:t>~1x1 km</w:t>
            </w:r>
            <w:r w:rsidRPr="002B1293">
              <w:rPr>
                <w:rFonts w:cs="Times New Roman"/>
                <w:szCs w:val="24"/>
                <w:vertAlign w:val="superscript"/>
              </w:rPr>
              <w:t>2</w:t>
            </w:r>
          </w:p>
        </w:tc>
        <w:tc>
          <w:tcPr>
            <w:tcW w:w="2338" w:type="dxa"/>
          </w:tcPr>
          <w:p w14:paraId="4C64E9D5" w14:textId="2BA9825C" w:rsidR="002C19D8" w:rsidRPr="002B1293" w:rsidRDefault="00A263A7" w:rsidP="00582302">
            <w:pPr>
              <w:rPr>
                <w:rFonts w:cs="Times New Roman"/>
                <w:szCs w:val="24"/>
              </w:rPr>
            </w:pPr>
            <w:r w:rsidRPr="002B1293">
              <w:rPr>
                <w:rFonts w:cs="Times New Roman"/>
                <w:szCs w:val="24"/>
              </w:rPr>
              <w:t>daily</w:t>
            </w:r>
          </w:p>
        </w:tc>
      </w:tr>
      <w:tr w:rsidR="002C19D8" w:rsidRPr="002B1293" w14:paraId="21E908F1" w14:textId="77777777" w:rsidTr="004A3D29">
        <w:tc>
          <w:tcPr>
            <w:tcW w:w="2245" w:type="dxa"/>
          </w:tcPr>
          <w:p w14:paraId="7288EFFF" w14:textId="058209C5" w:rsidR="002C19D8" w:rsidRPr="004A3D29" w:rsidRDefault="00EB75D8" w:rsidP="00582302">
            <w:pPr>
              <w:rPr>
                <w:rFonts w:cs="Times New Roman"/>
                <w:b/>
                <w:bCs/>
                <w:szCs w:val="24"/>
              </w:rPr>
            </w:pPr>
            <w:r w:rsidRPr="004A3D29">
              <w:rPr>
                <w:rFonts w:cs="Times New Roman"/>
                <w:b/>
                <w:bCs/>
                <w:szCs w:val="24"/>
              </w:rPr>
              <w:t>AERONET</w:t>
            </w:r>
          </w:p>
        </w:tc>
        <w:tc>
          <w:tcPr>
            <w:tcW w:w="2700" w:type="dxa"/>
          </w:tcPr>
          <w:p w14:paraId="0A6BF011" w14:textId="2789D8A5" w:rsidR="002C19D8" w:rsidRPr="002B1293" w:rsidRDefault="000E00EF" w:rsidP="00582302">
            <w:pPr>
              <w:rPr>
                <w:rFonts w:cs="Times New Roman"/>
                <w:szCs w:val="24"/>
              </w:rPr>
            </w:pPr>
            <w:r w:rsidRPr="002B1293">
              <w:rPr>
                <w:rFonts w:cs="Times New Roman"/>
                <w:szCs w:val="24"/>
              </w:rPr>
              <w:t>AOD</w:t>
            </w:r>
            <w:r w:rsidRPr="002B1293">
              <w:rPr>
                <w:rFonts w:cs="Times New Roman"/>
                <w:szCs w:val="24"/>
                <w:vertAlign w:val="subscript"/>
              </w:rPr>
              <w:t>675nm</w:t>
            </w:r>
            <w:r w:rsidRPr="002B1293">
              <w:rPr>
                <w:rFonts w:cs="Times New Roman"/>
                <w:szCs w:val="24"/>
              </w:rPr>
              <w:t>, AEE</w:t>
            </w:r>
            <w:r w:rsidRPr="002B1293">
              <w:rPr>
                <w:rFonts w:cs="Times New Roman"/>
                <w:szCs w:val="24"/>
              </w:rPr>
              <w:softHyphen/>
            </w:r>
            <w:r w:rsidRPr="002B1293">
              <w:rPr>
                <w:rFonts w:cs="Times New Roman"/>
                <w:szCs w:val="24"/>
                <w:vertAlign w:val="subscript"/>
              </w:rPr>
              <w:t>440-675nm</w:t>
            </w:r>
          </w:p>
        </w:tc>
        <w:tc>
          <w:tcPr>
            <w:tcW w:w="2067" w:type="dxa"/>
          </w:tcPr>
          <w:p w14:paraId="69E57B57" w14:textId="272524AE" w:rsidR="002C19D8" w:rsidRPr="002B1293" w:rsidRDefault="000E00EF" w:rsidP="00582302">
            <w:pPr>
              <w:rPr>
                <w:rFonts w:cs="Times New Roman"/>
                <w:szCs w:val="24"/>
              </w:rPr>
            </w:pPr>
            <w:r w:rsidRPr="002B1293">
              <w:rPr>
                <w:rFonts w:cs="Times New Roman"/>
                <w:szCs w:val="24"/>
              </w:rPr>
              <w:t>point location</w:t>
            </w:r>
          </w:p>
        </w:tc>
        <w:tc>
          <w:tcPr>
            <w:tcW w:w="2338" w:type="dxa"/>
          </w:tcPr>
          <w:p w14:paraId="23B9972B" w14:textId="18D32D7B" w:rsidR="002C19D8" w:rsidRPr="002B1293" w:rsidRDefault="000E00EF" w:rsidP="00582302">
            <w:pPr>
              <w:keepNext/>
              <w:rPr>
                <w:rFonts w:cs="Times New Roman"/>
                <w:szCs w:val="24"/>
              </w:rPr>
            </w:pPr>
            <w:r w:rsidRPr="002B1293">
              <w:rPr>
                <w:rFonts w:cs="Times New Roman"/>
                <w:szCs w:val="24"/>
              </w:rPr>
              <w:t>&lt;1 hour</w:t>
            </w:r>
          </w:p>
        </w:tc>
      </w:tr>
    </w:tbl>
    <w:p w14:paraId="72F5E1D2" w14:textId="2D0947C4" w:rsidR="002C19D8" w:rsidRPr="002B1293" w:rsidRDefault="000E00EF" w:rsidP="00D52313">
      <w:pPr>
        <w:pStyle w:val="Caption"/>
      </w:pPr>
      <w:bookmarkStart w:id="24" w:name="_Toc159825957"/>
      <w:r w:rsidRPr="002B1293">
        <w:t xml:space="preserve">Table </w:t>
      </w:r>
      <w:r>
        <w:fldChar w:fldCharType="begin"/>
      </w:r>
      <w:r>
        <w:instrText xml:space="preserve"> SEQ Table \* ARABIC </w:instrText>
      </w:r>
      <w:r>
        <w:fldChar w:fldCharType="separate"/>
      </w:r>
      <w:r w:rsidR="00C54A78">
        <w:rPr>
          <w:noProof/>
        </w:rPr>
        <w:t>1</w:t>
      </w:r>
      <w:r>
        <w:rPr>
          <w:noProof/>
        </w:rPr>
        <w:fldChar w:fldCharType="end"/>
      </w:r>
      <w:r w:rsidRPr="002B1293">
        <w:t>: List of all data sources used in the training and evaluation of the UNet 3+ gap-filler.</w:t>
      </w:r>
      <w:bookmarkEnd w:id="24"/>
    </w:p>
    <w:p w14:paraId="74A84A3A" w14:textId="24287BB5" w:rsidR="00C80B6A" w:rsidRDefault="000E00EF" w:rsidP="00582302">
      <w:pPr>
        <w:rPr>
          <w:rFonts w:cs="Times New Roman"/>
          <w:szCs w:val="24"/>
        </w:rPr>
      </w:pPr>
      <w:r w:rsidRPr="002B1293">
        <w:rPr>
          <w:rFonts w:cs="Times New Roman"/>
          <w:szCs w:val="24"/>
        </w:rPr>
        <w:tab/>
      </w:r>
    </w:p>
    <w:p w14:paraId="6F28EF93" w14:textId="1765AF52" w:rsidR="00C80B6A" w:rsidRDefault="00023609" w:rsidP="00950E6A">
      <w:pPr>
        <w:pStyle w:val="Heading2"/>
      </w:pPr>
      <w:bookmarkStart w:id="25" w:name="_Toc161431079"/>
      <w:r>
        <w:lastRenderedPageBreak/>
        <w:t>2.1 Instrumentation</w:t>
      </w:r>
      <w:bookmarkEnd w:id="25"/>
    </w:p>
    <w:p w14:paraId="726F5C19" w14:textId="77777777" w:rsidR="00653BCF" w:rsidRDefault="00653BCF" w:rsidP="00D61B77">
      <w:pPr>
        <w:pStyle w:val="Heading3"/>
      </w:pPr>
      <w:bookmarkStart w:id="26" w:name="_Toc161431080"/>
      <w:r>
        <w:t>2.1.1 Cimel CE-318</w:t>
      </w:r>
      <w:bookmarkEnd w:id="26"/>
    </w:p>
    <w:p w14:paraId="352D163B" w14:textId="57F341D8" w:rsidR="00653BCF" w:rsidRDefault="00653BCF" w:rsidP="00653BCF">
      <w:pPr>
        <w:rPr>
          <w:rFonts w:cs="Times New Roman"/>
          <w:szCs w:val="24"/>
        </w:rPr>
      </w:pPr>
      <w:r>
        <w:rPr>
          <w:rFonts w:cs="Times New Roman"/>
          <w:szCs w:val="24"/>
        </w:rPr>
        <w:tab/>
        <w:t>The Cimel CE-318 is a photometer that can take both daytime and nighttime iradiance measurements. These devices can measure direct (Direct-Sun scan) and sky (Almucantar and Principal Plane scans) irradiance</w:t>
      </w:r>
      <w:r w:rsidR="00286D87">
        <w:rPr>
          <w:rFonts w:cs="Times New Roman"/>
          <w:szCs w:val="24"/>
        </w:rPr>
        <w:t xml:space="preserve"> </w:t>
      </w:r>
      <w:r>
        <w:rPr>
          <w:rFonts w:cs="Times New Roman"/>
          <w:szCs w:val="24"/>
        </w:rPr>
        <w:t xml:space="preserve">using the sun as the light source under non-cloudy conditions </w:t>
      </w:r>
      <w:r>
        <w:fldChar w:fldCharType="begin"/>
      </w:r>
      <w:r w:rsidR="00BB6527">
        <w:rPr>
          <w:rFonts w:cs="Times New Roman"/>
          <w:szCs w:val="24"/>
        </w:rPr>
        <w:instrText xml:space="preserve"> ADDIN ZOTERO_ITEM CSL_CITATION {"citationID":"W8vYX8Y5","properties":{"formattedCitation":"(O. Dubovik et al., 2000; Oleg Dubovik et al., 2006; Holben et al., 1998)","plainCitation":"(O. Dubovik et al., 2000; Oleg Dubovik et al., 2006; Holben et al., 1998)","dontUpdate":true,"noteIndex":0},"citationItems":[{"id":426,"uris":["http://zotero.org/groups/4584967/items/D75FJG9M"],"itemData":{"id":426,"type":"article-journal","abstract":"Sensitivity studies are conducted regarding aerosol optical property retrieval from radiances measured by ground-based Sun-sky scanning radiometers of the Aerosol Robotic Network (AERONET). These studies focus on testing a new inversion concept for simultaneously retrieving aerosol size distribution, complex refractive index, and single-scattering albedo from spectral measurements of direct and diffuse radiation. The perturbations of the inversion resulting from random errors, instrumental offsets, and known uncertainties in the atmospheric radiation model are analyzed. Sun or sky channel miscalibration, inaccurate azimuth angle pointing during sky radiance measurements, and inaccuracy in accounting for surface reflectance are considered as error sources. The effects of these errors on the characterization of three typical and optically distinct aerosols with bimodal size distributions (weakly absorbing water-soluble aerosol, absorbing biomass-burning aerosol, and desert dust) are considered. The aerosol particles are assumed in the retrieval to be polydispersed homogeneous spheres with the same complex refractive index. Therefore we also examined how inversions with such an assumption bias the retrievals in the case of nonspherical dust aerosols and in the case of externally or internally mixed spherical particles with different refractive indices. The analysis shows successful retrieval of all aerosol characteristics (size distribution, complex refractive index, and single-scattering albedo), provided the inversion includes the data combination of spectral optical depth together with sky radiances in the full solar almucantar (with angular coverage of scattering angles up to 100° or more). The retrieval accuracy is acceptable for most remote sensing applications even in the presence of rather strong systematic or random uncertainties in the measurements. The major limitations relate to the characterization of low optical depth situations for all aerosol types, where high relative errors may occur in the direct radiation measurements of aerosol optical depth. Also, the results of tests indicate that a decrease of angular coverage of scattering (scattering angles of 75° or less) in the sky radiance results in the loss of practical information about refractive index. Accurate azimuth angle pointing is critical for the characterization of dust. Scattering by nonspherical dust particles requires special analysis, whereby approximation of the aerosol by spheres allows us to derive single-scattering albedo by inverting spectral optical depth together with sky radiances in the full solar almucantar. Inverting sky radiances measured in the first 40° scattering angle only, where nonspherical effects are minor, results in accurate retrievals of aerosol size distributions of nonspherical particles.","container-title":"Journal of Geophysical Research: Atmospheres","DOI":"10.1029/2000JD900040","ISSN":"2156-2202","issue":"D8","language":"en","license":"Copyright 2000 by the American Geophysical Union.","note":"_eprint: https://onlinelibrary.wiley.com/doi/pdf/10.1029/2000JD900040","page":"9791-9806","source":"Wiley Online Library","title":"Accuracy assessments of aerosol optical properties retrieved from Aerosol Robotic Network (AERONET) Sun and sky radiance measurements","volume":"105","author":[{"family":"Dubovik","given":"O."},{"family":"Smirnov","given":"A."},{"family":"Holben","given":"B. N."},{"family":"King","given":"M. D."},{"family":"Kaufman","given":"Y. J."},{"family":"Eck","given":"T. F."},{"family":"Slutsker","given":"I."}],"issued":{"date-parts":[["2000"]]},"citation-key":"dubovikAccuracyAssessmentsAerosol2000a"}},{"id":610,"uris":["http://zotero.org/groups/4584967/items/4LBMWWN2"],"itemData":{"id":610,"type":"article-journal","abstract":"The possibility of using shape mixtures of randomly oriented spheroids for modeling desert dust aerosol light scattering is discussed. For reducing calculation time, look-up tables were simulated for quadrature coefficients employed in the numerical integration of spheroid optical properties over size and shape. The calculations were done for 25 bins of the spheroid axis ratio ranging from </w:instrText>
      </w:r>
      <w:r w:rsidR="00BB6527">
        <w:rPr>
          <w:rFonts w:ascii="Cambria Math" w:hAnsi="Cambria Math" w:cs="Cambria Math"/>
          <w:szCs w:val="24"/>
        </w:rPr>
        <w:instrText>∼</w:instrText>
      </w:r>
      <w:r w:rsidR="00BB6527">
        <w:rPr>
          <w:rFonts w:cs="Times New Roman"/>
          <w:szCs w:val="24"/>
        </w:rPr>
        <w:instrText xml:space="preserve">0.3 (flattened spheroids) to </w:instrText>
      </w:r>
      <w:r w:rsidR="00BB6527">
        <w:rPr>
          <w:rFonts w:ascii="Cambria Math" w:hAnsi="Cambria Math" w:cs="Cambria Math"/>
          <w:szCs w:val="24"/>
        </w:rPr>
        <w:instrText>∼</w:instrText>
      </w:r>
      <w:r w:rsidR="00BB6527">
        <w:rPr>
          <w:rFonts w:cs="Times New Roman"/>
          <w:szCs w:val="24"/>
        </w:rPr>
        <w:instrText xml:space="preserve">3.0 (elongated spheroids) and for 41 narrow size bins covering the size parameter range from </w:instrText>
      </w:r>
      <w:r w:rsidR="00BB6527">
        <w:rPr>
          <w:rFonts w:ascii="Cambria Math" w:hAnsi="Cambria Math" w:cs="Cambria Math"/>
          <w:szCs w:val="24"/>
        </w:rPr>
        <w:instrText>∼</w:instrText>
      </w:r>
      <w:r w:rsidR="00BB6527">
        <w:rPr>
          <w:rFonts w:cs="Times New Roman"/>
          <w:szCs w:val="24"/>
        </w:rPr>
        <w:instrText xml:space="preserve">0.012 to </w:instrText>
      </w:r>
      <w:r w:rsidR="00BB6527">
        <w:rPr>
          <w:rFonts w:ascii="Cambria Math" w:hAnsi="Cambria Math" w:cs="Cambria Math"/>
          <w:szCs w:val="24"/>
        </w:rPr>
        <w:instrText>∼</w:instrText>
      </w:r>
      <w:r w:rsidR="00BB6527">
        <w:rPr>
          <w:rFonts w:cs="Times New Roman"/>
          <w:szCs w:val="24"/>
        </w:rPr>
        <w:instrText xml:space="preserve">625. The look-up tables were arranged into a software package, which allows fast, accurate, and flexible modeling of scattering by randomly oriented spheroids with different size and shape distributions. In order to evaluate spheroid model and explore the possibility of aerosol shape identification, the software tool has been integrated into inversion algorithms for retrieving detailed aerosol properties from laboratory or remote sensing polarimetric measurements of light scattering. The application of this retrieval technique to laboratory measurements by Volten et al. (2001) has shown that spheroids can closely reproduce mineral dust light scattering matrices. The spheroid model was utilized for retrievals of aerosol properties from atmospheric radiation measured by AERONET ground-based Sun/sky-radiometers. It is shown that mixtures of spheroids allow rather accurate fitting of measured spectral and angular dependencies of observed intensity and polarization. Moreover, it is shown that for aerosol mixtures with a significant fraction of coarse-mode particles (radii ≥ </w:instrText>
      </w:r>
      <w:r w:rsidR="00BB6527">
        <w:rPr>
          <w:rFonts w:ascii="Cambria Math" w:hAnsi="Cambria Math" w:cs="Cambria Math"/>
          <w:szCs w:val="24"/>
        </w:rPr>
        <w:instrText>∼</w:instrText>
      </w:r>
      <w:r w:rsidR="00BB6527">
        <w:rPr>
          <w:rFonts w:cs="Times New Roman"/>
          <w:szCs w:val="24"/>
        </w:rPr>
        <w:instrText xml:space="preserve">1 μm), the nonsphericity of aerosol particles can be detected as part of AERONET retrievals. The retrieval results indicate that nonspherical particles with aspect ratios </w:instrText>
      </w:r>
      <w:r w:rsidR="00BB6527">
        <w:rPr>
          <w:rFonts w:ascii="Cambria Math" w:hAnsi="Cambria Math" w:cs="Cambria Math"/>
          <w:szCs w:val="24"/>
        </w:rPr>
        <w:instrText>∼</w:instrText>
      </w:r>
      <w:r w:rsidR="00BB6527">
        <w:rPr>
          <w:rFonts w:cs="Times New Roman"/>
          <w:szCs w:val="24"/>
        </w:rPr>
        <w:instrText xml:space="preserve">1.5 and higher dominate in desert dust plumes, while in the case of background maritime aerosol spherical particles are dominant. Finally, the potential of using AERONET derived spheroid mixtures for modeling the effects of aerosol particle nonsphericity in other remote sensing techniques is discussed. For example, the variability of lidar measurements (extinction to backscattering ratio and signal depolarization ratio) is illustrated and analyzed. Also, some potentially important differences in the sensitivity of angular light scattering to parameters of nonspherical versus spherical aerosols are revealed and discussed.","container-title":"Journal of Geophysical Research: Atmospheres","DOI":"10.1029/2005JD006619","ISSN":"2156-2202","issue":"D11","language":"en","license":"Copyright 2006 by the American Geophysical Union.","note":"_eprint: https://onlinelibrary.wiley.com/doi/pdf/10.1029/2005JD006619","source":"Wiley Online Library","title":"Application of spheroid models to account for aerosol particle nonsphericity in remote sensing of desert dust","URL":"https://onlinelibrary.wiley.com/doi/abs/10.1029/2005JD006619","volume":"111","author":[{"family":"Dubovik","given":"Oleg"},{"family":"Sinyuk","given":"Alexander"},{"family":"Lapyonok","given":"Tatyana"},{"family":"Holben","given":"Brent N."},{"family":"Mishchenko","given":"Michael"},{"family":"Yang","given":"Ping"},{"family":"Eck","given":"Tom F."},{"family":"Volten","given":"Hester"},{"family":"Muñoz","given":"Olga"},{"family":"Veihelmann","given":"Ben"},{"family":"Zande","given":"Wim J.","non-dropping-particle":"van der"},{"family":"Leon","given":"Jean-Francois"},{"family":"Sorokin","given":"Michael"},{"family":"Slutsker","given":"Ilya"}],"accessed":{"date-parts":[["2024",2,10]]},"issued":{"date-parts":[["2006"]]},"citation-key":"dubovikApplicationSpheroidModels2006"}},{"id":508,"uris":["http://zotero.org/groups/4584967/items/RX9ECLM5"],"itemData":{"id":508,"type":"article-journal","abstract":"The concept and description of a remote sensing aerosol monitoring network initiated by NASA, developed to support NASA, CNES, and NASDA’s Earth satellite systems under the name AERONET and expanded by national and international collaboration, is described. Recent development of weather-resistant automatic sun and sky scanning spectral radiometers enable frequent measurements of atmospheric aerosol optical properties and precipitable water at remote sites. Transmission of automatic measurements via the geostationary satellites GOES and METEOSATS’ Data Collection Systems allows reception and processing in near real-time from approximately 75% of the Earth’s surface and with the expected addition of GMS, the coverage will increase to 90% in 1998. NASA developed a UNIX-based near real-time processing, display and analysis system providing internet access to the emerging global database. Information on the system is available on the project homepage, http://spamer.gsfc.nasa.gov. The philosophy of an open access database, centralized processing and a user-friendly graphical interface has contributed to the growth of international cooperation for ground-based aerosol monitoring and imposes a standardization for these measurements. The system’s automatic data acquisition, transmission, and processing facilitates aerosol characterization on local, regional, and global scales with applications to transport and radiation budget studies, radiative transfer-modeling and validation of satellite aerosol retrievals. This article discusses the operation and philosophy of the monitoring system, the precision and accuracy of the measuring radiometers, a brief description of the processing system, and access to the database.","container-title":"Remote Sensing of Environment","DOI":"10.1016/S0034-4257(98)00031-5","ISSN":"0034-4257","issue":"1","journalAbbreviation":"Remote Sensing of Environment","page":"1-16","source":"ScienceDirect","title":"AERONET—A Federated Instrument Network and Data Archive for Aerosol Characterization","volume":"66","author":[{"family":"Holben","given":"B. N."},{"family":"Eck","given":"T. F."},{"family":"Slutsker","given":"I."},{"family":"Tanré","given":"D."},{"family":"Buis","given":"J. P."},{"family":"Setzer","given":"A."},{"family":"Vermote","given":"E."},{"family":"Reagan","given":"J. A."},{"family":"Kaufman","given":"Y. J."},{"family":"Nakajima","given":"T."},{"family":"Lavenu","given":"F."},{"family":"Jankowiak","given":"I."},{"family":"Smirnov","given":"A."}],"issued":{"date-parts":[["1998",10,1]]},"citation-key":"holbenAERONETFederatedInstrument1998"}}],"schema":"https://github.com/citation-style-language/schema/raw/master/csl-citation.json"} </w:instrText>
      </w:r>
      <w:r>
        <w:fldChar w:fldCharType="separate"/>
      </w:r>
      <w:r w:rsidR="00286D87" w:rsidRPr="00286D87">
        <w:rPr>
          <w:rFonts w:cs="Times New Roman"/>
        </w:rPr>
        <w:t>(Dubovik et al., 2000; Dubovik et al., 2006; Holben et al., 1998)</w:t>
      </w:r>
      <w:r>
        <w:fldChar w:fldCharType="end"/>
      </w:r>
      <w:r>
        <w:rPr>
          <w:rFonts w:cs="Times New Roman"/>
          <w:szCs w:val="24"/>
        </w:rPr>
        <w:t>. NASA operates a global network of Cimel-CE 318 sunphotometers called the AErosol RObotic NETwork (AERONET).</w:t>
      </w:r>
    </w:p>
    <w:p w14:paraId="6EFFF609" w14:textId="77777777" w:rsidR="00924772" w:rsidRPr="00601F10" w:rsidRDefault="00924772" w:rsidP="00D61B77">
      <w:pPr>
        <w:pStyle w:val="Heading3"/>
      </w:pPr>
      <w:bookmarkStart w:id="27" w:name="_Toc161431081"/>
      <w:r w:rsidRPr="00601F10">
        <w:t>2.</w:t>
      </w:r>
      <w:r>
        <w:t>1.2</w:t>
      </w:r>
      <w:r w:rsidRPr="00601F10">
        <w:t xml:space="preserve"> Terra/Aqua </w:t>
      </w:r>
      <w:r w:rsidRPr="00492459">
        <w:t>Moderate Resolution Imaging Spectroradiomete</w:t>
      </w:r>
      <w:r>
        <w:t>r (</w:t>
      </w:r>
      <w:r w:rsidRPr="00601F10">
        <w:t>MODIS</w:t>
      </w:r>
      <w:r>
        <w:t>)</w:t>
      </w:r>
      <w:bookmarkEnd w:id="27"/>
    </w:p>
    <w:p w14:paraId="6C8EB1C6" w14:textId="6B2B97FA" w:rsidR="00924772" w:rsidRDefault="00924772" w:rsidP="00924772">
      <w:pPr>
        <w:pStyle w:val="NormalWeb"/>
        <w:spacing w:before="0" w:beforeAutospacing="0" w:after="0" w:afterAutospacing="0" w:line="480" w:lineRule="auto"/>
        <w:ind w:firstLine="720"/>
        <w:rPr>
          <w:color w:val="000000"/>
        </w:rPr>
      </w:pPr>
      <w:r>
        <w:rPr>
          <w:color w:val="000000"/>
        </w:rPr>
        <w:t>Terra and Aqua are two NASA polar-orbiting satellites equipped with the twin instruments Moderate Resolution Imaging Spectroradiometer (MODIS), sensors used for earth and climate measurements. Terra was launched in 1999, and Aqua was launched shortly after in 2002. MODIS was designed to resolve the spatial and temporal distribution of aerosols, clouds, and other weather features (e.g., albedo)</w:t>
      </w:r>
      <w:r w:rsidR="001F7AC5">
        <w:rPr>
          <w:color w:val="000000"/>
        </w:rPr>
        <w:t xml:space="preserve"> globally</w:t>
      </w:r>
      <w:r>
        <w:rPr>
          <w:color w:val="000000"/>
        </w:rPr>
        <w:t xml:space="preserve">. It has 36 spectral channels ranging from 0.41 μm to 15 μm at spatial resolutions ranging from 250 m to 1 km at nadir, allowing for aerosol and cloud characterization </w:t>
      </w:r>
      <w:r>
        <w:rPr>
          <w:color w:val="000000"/>
        </w:rPr>
        <w:fldChar w:fldCharType="begin"/>
      </w:r>
      <w:r w:rsidR="00BB6527">
        <w:rPr>
          <w:color w:val="000000"/>
        </w:rPr>
        <w:instrText xml:space="preserve"> ADDIN ZOTERO_ITEM CSL_CITATION {"citationID":"50OoQgMN","properties":{"formattedCitation":"(Ackerman et al., 1998; Gao et al., 2002; Martins et al., 2002)","plainCitation":"(Ackerman et al., 1998; Gao et al., 2002; Martins et al., 2002)","noteIndex":0},"citationItems":[{"id":525,"uris":["http://zotero.org/groups/4584967/items/VU9PZ8LZ"],"itemData":{"id":525,"type":"article-journal","abstract":"The MODIS cloud mask uses several cloud detection tests to indicate a level of confidence that the MODIS is observing clear skies. It will be produced globally at single-pixel resolution; the algorithm uses as many as 14 of the MODIS 36 spectral bands to maximize reliable cloud detection and to mitigate past difficulties experienced by sensors with coarser spatial resolution or fewer spectral bands. The MODIS cloud mask is ancillary input to MODIS land, ocean, and atmosphere science algorithms to suggest processing options. The MODIS cloud mask algorithm will operate in near real time in a limited computer processing and storage facility with simple easy-to-follow algorithm paths. The MODIS cloud mask algorithm identifies several conceptual domains according to surface type and solar illumination, including land, water, snow/ice, desert, and coast for both day and night. Once a pixel has been assigned to a particular domain (defining an algorithm path), a series of threshold tests attempts to detect the presence of clouds in the instrument field of view. Each cloud detection test returns a confidence level that the pixel is clear ranging in value from 1 (high) to zero (low). There are several types of tests, where detection of different cloud conditions relies on different tests. Tests capable of detecting similar cloud conditions are grouped together. While these groups are arranged so that independence between them is maximized, few, if any, spectral tests are completely independent. The minimum confidence from all tests within a group is taken to be representative of that group. These confidences indicate absence of particular cloud types. The product of all the group confidences is used to determine the confidence of finding clear-sky conditions. This paper outlines the MODIS cloud masking algorithm. While no present sensor has all of the spectral bands necessary for testing the complete MODIS cloud mask, initial validation of some of the individual cloud tests is presented using existing remote sensing data sets.","container-title":"Journal of Geophysical Research: Atmospheres","DOI":"10.1029/1998JD200032","ISSN":"2156-2202","issue":"D24","language":"en","license":"Copyright 1998 by the American Geophysical Union.","note":"_eprint: https://onlinelibrary.wiley.com/doi/pdf/10.1029/1998JD200032","page":"32141-32157","source":"Wiley Online Library","title":"Discriminating clear sky from clouds with MODIS","volume":"103","author":[{"family":"Ackerman","given":"Steven A."},{"family":"Strabala","given":"Kathleen I."},{"family":"Menzel","given":"W. Paul"},{"family":"Frey","given":"Richard A."},{"family":"Moeller","given":"Christopher C."},{"family":"Gumley","given":"Liam E."}],"issued":{"date-parts":[["1998"]]},"citation-key":"ackermanDiscriminatingClearSky1998"}},{"id":526,"uris":["http://zotero.org/groups/4584967/items/KTNXMMUI"],"itemData":{"id":526,"type":"article-journal","abstract":"The scattering of solar radiation by cirrus clouds often contaminates aerosol products retrieved from satellite-based measurements using channels located in the visible and near-IR spectral region. Previously, it was demonstrated that a narrow satellite channel located near 1.38 μm is very effective in detecting the high level thin cirrus clouds. In this paper, we describe a ratio technique using the 1.38-μm channel and the 1.24-μm channel for identifying pixels contaminated by thin cirrus clouds so that improved aerosol and dust products can be obtained. The multi-channel data acquired with the NASA Moderate Resolution Imaging SpectroRadiometer (MODIS) on the Terra Spacecraft are used to demonstrate this technique.","container-title":"Geophysical Research Letters","DOI":"10.1029/2002GL015475","ISSN":"1944-8007","issue":"18","language":"en","license":"Copyright 2002 by the American Geophysical Union.","note":"_eprint: https://onlinelibrary.wiley.com/doi/pdf/10.1029/2002GL015475","page":"36-1-36-4","source":"Wiley Online Library","title":"Distinguishing tropospheric aerosols from thin cirrus clouds for improved aerosol retrievals using the ratio of 1.38-μm and 1.24-μm channels","volume":"29","author":[{"family":"Gao","given":"Bo-Cai"},{"family":"Kaufman","given":"Yoram J."},{"family":"Tanre","given":"Didier"},{"family":"Li","given":"Rong-Rong"}],"issued":{"date-parts":[["2002"]]},"citation-key":"gaoDistinguishingTroposphericAerosols2002"}},{"id":528,"uris":["http://zotero.org/groups/4584967/items/FIFPNBZ6"],"itemData":{"id":528,"type":"article-journal","abstract":"A cloud masking algorithm based on the spatial variability of reflectances at the top of the atmosphere in visible wavelengths was developed for the retrieval of aerosol properties by MODIS. It is shown that the spatial pattern of cloud reflectance as observed from space, is very different from that of aerosols. Clouds show a very high spatial variability in the scale of hundred meters to few kilometers, whereas aerosols in general are very homogeneous. The concept of spatial variability of reflectances at the top of the atmosphere is mainly applicable over the ocean where the surface background is sufficiently homogeneous for the separation between aerosols and clouds. Aerosol retrievals require a particular cloud masking approach since a conservative mask will screen out strong aerosol episodes and a less conservative mask could allow for cloud contamination that tremendously affect the retrieved aerosol optical properties (e.g. aerosol optical depth and effective radii). A detailed study on the effect of cloud contamination on aerosol retrievals is performed and parameters are established determining the threshold value for the MODIS aerosol cloud mask (3X3-STD) over the ocean. The 3X3-STD algorithm discussed in this paper is the operational cloud mask used for MODIS aerosol retrievals over the ocean.","container-title":"Geophysical Research Letters","DOI":"10.1029/2001GL013252","ISSN":"1944-8007","issue":"12","language":"en","license":"Copyright 2002 by the American Geophysical Union.","note":"_eprint: https://onlinelibrary.wiley.com/doi/pdf/10.1029/2001GL013252","page":"MOD4-1-MOD4-4","source":"Wiley Online Library","title":"MODIS Cloud screening for remote sensing of aerosols over oceans using spatial variability","volume":"29","author":[{"family":"Martins","given":"José Vanderlei"},{"family":"Tanré","given":"Didier"},{"family":"Remer","given":"Lorraine"},{"family":"Kaufman","given":"Yoram"},{"family":"Mattoo","given":"Shana"},{"family":"Levy","given":"Robert"}],"issued":{"date-parts":[["2002"]]},"citation-key":"martinsMODISCloudScreening2002"}}],"schema":"https://github.com/citation-style-language/schema/raw/master/csl-citation.json"} </w:instrText>
      </w:r>
      <w:r>
        <w:rPr>
          <w:color w:val="000000"/>
        </w:rPr>
        <w:fldChar w:fldCharType="separate"/>
      </w:r>
      <w:r w:rsidRPr="00A03ABA">
        <w:t>(Ackerman et al., 1998; Gao et al., 2002; Martins et al., 2002)</w:t>
      </w:r>
      <w:r>
        <w:rPr>
          <w:color w:val="000000"/>
        </w:rPr>
        <w:fldChar w:fldCharType="end"/>
      </w:r>
      <w:r>
        <w:rPr>
          <w:color w:val="000000"/>
        </w:rPr>
        <w:t xml:space="preserve">. MODIS’s spectral range enabled </w:t>
      </w:r>
      <w:r w:rsidR="00262E49">
        <w:rPr>
          <w:color w:val="000000"/>
        </w:rPr>
        <w:t>it to make</w:t>
      </w:r>
      <w:r>
        <w:rPr>
          <w:color w:val="000000"/>
        </w:rPr>
        <w:t xml:space="preserve"> AOD retrievals </w:t>
      </w:r>
      <w:r>
        <w:rPr>
          <w:color w:val="000000"/>
        </w:rPr>
        <w:fldChar w:fldCharType="begin"/>
      </w:r>
      <w:r w:rsidR="00BB6527">
        <w:rPr>
          <w:color w:val="000000"/>
        </w:rPr>
        <w:instrText xml:space="preserve"> ADDIN ZOTERO_ITEM CSL_CITATION {"citationID":"YcympUhV","properties":{"formattedCitation":"(Tanr\\uc0\\u233{} et al., 1996, 1997b)","plainCitation":"(Tanré et al., 1996, 1997b)","noteIndex":0},"citationItems":[{"id":523,"uris":["http://zotero.org/groups/4584967/items/KF6XI426"],"itemData":{"id":523,"type":"article-journal","abstract":"Information on the aerosol size distribution contained in the reflected solar spectral radiances detected over the oceans can be reduced into two quantities. These quantities have been determined in an unbiased way with the use of the principal components. Consequently, only one to two parameters of the size distribution can be retrieved. For a single-mode distribution these parameters are the effective radius of the particles and the width of the size distribution. The accuracy of the retrieval depends on the view and illumination directions. Accurate knowledge of the refractive index, real and imaginary parts, is not critically important for the retrieval as long as the retrieved particles are smaller than 1.0 μm. An error budget shows that very clean conditions are not suitable for getting any information on the aerosol size distribution. A surprising result of this investigation is that the spectral reflectance of a bimodal-lognormal distribution can be simulated very well with spectral reflectance of a single lognormal with an appropriate radius and width of distribution, σ, that do not necessarily correspond to an average of the bimodal values. The present results change drastically our philosophy regarding the retrieval scheme. Additional studies are needed to confirm the present results for nonspherical particles.","container-title":"Journal of Geophysical Research: Atmospheres","DOI":"10.1029/96JD00333","ISSN":"2156-2202","issue":"D14","language":"en","license":"Copyright 1996 by the American Geophysical Union.","note":"_eprint: https://onlinelibrary.wiley.com/doi/pdf/10.1029/96JD00333","page":"19043-19060","source":"Wiley Online Library","title":"Information on aerosol size distribution contained in solar reflected spectral radiances","volume":"101","author":[{"family":"Tanré","given":"D."},{"family":"Herman","given":"M."},{"family":"Kaufman","given":"Y. J."}],"issued":{"date-parts":[["1996"]]},"citation-key":"tanreInformationAerosolSize1996"}},{"id":524,"uris":["http://zotero.org/groups/4584967/items/ERPBUA5F"],"itemData":{"id":524,"type":"article-journal","abstract":"Spectral radiances measured at the top of the atmosphere in a wide spectral range (0.55–2.13 μm) are used to monitor the aerosol optical thickness and the aerosol size distribution (integrated on the vertical column) of the ambient (undisturbed) aerosol over the oceans. Even for the moderate resolution imaging spectrometer (MODIS) wide spectral range, only three parameters that describe the aerosol loading and size distribution can be retrieved. These three parameters are not always unique. For instance, the spectral radiance of an aerosol with a bilognormal size distribution can be simulated very well with a single lognormal aerosol with an appropriate mean radius and width of distribution. Preassumptions on the general structure of the size distribution are therefore required in the inversion of MODIS data. The retrieval of the aerosol properties is performed using lookup table computations. The volume size distribution in the lookup table is described with two lognormal modes: a single mode to describe the accumulation mode particles (radius &lt;0.5 μm) and a single coarse mode to describe dust and/or salt particles (radius &gt;1.0 μm). Note that two accumulation modes may be present, one dominated by gas phase processes and a second dominated by cloud phase processes. The coarse mode can also be split into several partially overlapping modes describing maritime salt particles and dust. The aerosol parameters we expect to retrieve are η, the fractional contribution of the accumulation mode to scattering; τ, the spectral optical thickness; and rm, the mean particle size of the dominant mode. Additional radiative quantities such as asymmetry parameter and effective radius are derived subsequently. The impact of the surface conditions, wind speed and chlorophyll content on the retrieval is estimated, the impact of potential sources of error like the calibration of the instrument is also tested. The algorithm has been applied successfully to actual data sets provided by the Thematic Mapper on Landsat 5 and by the MODIS airborne simulator on the ER-2 and tested against ground and airborne measurements. A first estimate of the general accuracy is Δτ = ±0.05±0.05τ (at 550 nm), Δrm = 0.3rm, Δη = ±0.25.","container-title":"Journal of Geophysical Research: Atmospheres","DOI":"10.1029/96JD03437","ISSN":"2156-2202","issue":"D14","language":"en","license":"Copyright 1997 by the American Geophysical Union.","note":"_eprint: https://onlinelibrary.wiley.com/doi/pdf/10.1029/96JD03437","page":"16971-16988","source":"Wiley Online Library","title":"Remote sensing of aerosol properties over oceans using the MODIS/EOS spectral radiances","volume":"102","author":[{"family":"Tanré","given":"D."},{"family":"Kaufman","given":"Y. J."},{"family":"Herman","given":"M."},{"family":"Mattoo","given":"S."}],"issued":{"date-parts":[["1997"]]},"citation-key":"tanreRemoteSensingAerosol1997"}}],"schema":"https://github.com/citation-style-language/schema/raw/master/csl-citation.json"} </w:instrText>
      </w:r>
      <w:r>
        <w:rPr>
          <w:color w:val="000000"/>
        </w:rPr>
        <w:fldChar w:fldCharType="separate"/>
      </w:r>
      <w:r w:rsidR="00DA640D" w:rsidRPr="00DA640D">
        <w:t>(Tanré et al., 1996, 1997b)</w:t>
      </w:r>
      <w:r>
        <w:rPr>
          <w:color w:val="000000"/>
        </w:rPr>
        <w:fldChar w:fldCharType="end"/>
      </w:r>
      <w:r>
        <w:rPr>
          <w:color w:val="000000"/>
        </w:rPr>
        <w:t>.</w:t>
      </w:r>
    </w:p>
    <w:p w14:paraId="3946F889" w14:textId="495274E3" w:rsidR="00924772" w:rsidRDefault="00924772" w:rsidP="00924772">
      <w:pPr>
        <w:pStyle w:val="NormalWeb"/>
        <w:spacing w:before="0" w:beforeAutospacing="0" w:after="0" w:afterAutospacing="0" w:line="480" w:lineRule="auto"/>
        <w:ind w:firstLine="720"/>
        <w:rPr>
          <w:color w:val="000000"/>
        </w:rPr>
      </w:pPr>
      <w:r>
        <w:rPr>
          <w:color w:val="000000"/>
        </w:rPr>
        <w:t>Polar-orbiting satellites capture images of each part of the Earth at the same local time daily (</w:t>
      </w:r>
      <w:r w:rsidR="00C11965">
        <w:rPr>
          <w:color w:val="000000"/>
        </w:rPr>
        <w:fldChar w:fldCharType="begin"/>
      </w:r>
      <w:r w:rsidR="00C11965">
        <w:rPr>
          <w:color w:val="000000"/>
        </w:rPr>
        <w:instrText xml:space="preserve"> REF _Ref158844557 \h </w:instrText>
      </w:r>
      <w:r w:rsidR="00C11965">
        <w:rPr>
          <w:color w:val="000000"/>
        </w:rPr>
      </w:r>
      <w:r w:rsidR="00C11965">
        <w:rPr>
          <w:color w:val="000000"/>
        </w:rPr>
        <w:fldChar w:fldCharType="separate"/>
      </w:r>
      <w:r w:rsidR="00C54A78">
        <w:t xml:space="preserve">Figure </w:t>
      </w:r>
      <w:r w:rsidR="00C54A78">
        <w:rPr>
          <w:noProof/>
        </w:rPr>
        <w:t>4</w:t>
      </w:r>
      <w:r w:rsidR="00C11965">
        <w:rPr>
          <w:color w:val="000000"/>
        </w:rPr>
        <w:fldChar w:fldCharType="end"/>
      </w:r>
      <w:r w:rsidR="00C11965">
        <w:rPr>
          <w:color w:val="000000"/>
        </w:rPr>
        <w:t>)</w:t>
      </w:r>
      <w:r>
        <w:rPr>
          <w:color w:val="000000"/>
        </w:rPr>
        <w:t xml:space="preserve">. Since their orbit is relatively closer to the Earth </w:t>
      </w:r>
      <w:r w:rsidR="00F012A5">
        <w:rPr>
          <w:color w:val="000000"/>
        </w:rPr>
        <w:t xml:space="preserve">than </w:t>
      </w:r>
      <w:r>
        <w:rPr>
          <w:color w:val="000000"/>
        </w:rPr>
        <w:t xml:space="preserve">geostationary satellites, </w:t>
      </w:r>
      <w:r>
        <w:rPr>
          <w:color w:val="000000"/>
        </w:rPr>
        <w:lastRenderedPageBreak/>
        <w:t xml:space="preserve">polar-orbiting satellites </w:t>
      </w:r>
      <w:r w:rsidR="00F012A5">
        <w:rPr>
          <w:color w:val="000000"/>
        </w:rPr>
        <w:t>can</w:t>
      </w:r>
      <w:r>
        <w:rPr>
          <w:color w:val="000000"/>
        </w:rPr>
        <w:t xml:space="preserve"> acquire daily high-resolution images. Terra has a morning overpass time of 10:30 a.m.</w:t>
      </w:r>
      <w:r w:rsidR="00396AF5">
        <w:rPr>
          <w:color w:val="000000"/>
        </w:rPr>
        <w:t>,</w:t>
      </w:r>
      <w:r>
        <w:rPr>
          <w:color w:val="000000"/>
        </w:rPr>
        <w:t xml:space="preserve"> and Aqua has an afternoon overpass time of 1:30 p.m.</w:t>
      </w:r>
    </w:p>
    <w:p w14:paraId="671FDE5C" w14:textId="77777777" w:rsidR="00C11965" w:rsidRDefault="00924772" w:rsidP="00C11965">
      <w:pPr>
        <w:pStyle w:val="NormalWeb"/>
        <w:keepNext/>
        <w:spacing w:before="0" w:beforeAutospacing="0" w:after="0" w:afterAutospacing="0" w:line="480" w:lineRule="auto"/>
      </w:pPr>
      <w:r w:rsidRPr="002B1293">
        <w:rPr>
          <w:noProof/>
          <w:color w:val="000000"/>
        </w:rPr>
        <w:drawing>
          <wp:inline distT="0" distB="0" distL="0" distR="0" wp14:anchorId="5E3405B7" wp14:editId="2FE0EA13">
            <wp:extent cx="5715000" cy="3581661"/>
            <wp:effectExtent l="0" t="0" r="0" b="0"/>
            <wp:docPr id="1002130877" name="Picture 3" descr="A blue and green earth with a blue circle around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130877" name="Picture 3" descr="A blue and green earth with a blue circle around it&#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19009" cy="3584173"/>
                    </a:xfrm>
                    <a:prstGeom prst="rect">
                      <a:avLst/>
                    </a:prstGeom>
                    <a:noFill/>
                    <a:ln>
                      <a:noFill/>
                    </a:ln>
                  </pic:spPr>
                </pic:pic>
              </a:graphicData>
            </a:graphic>
          </wp:inline>
        </w:drawing>
      </w:r>
    </w:p>
    <w:p w14:paraId="72B96021" w14:textId="0EBB9DDD" w:rsidR="00924772" w:rsidRPr="002B1293" w:rsidRDefault="00C11965" w:rsidP="00D52313">
      <w:pPr>
        <w:pStyle w:val="Caption"/>
      </w:pPr>
      <w:bookmarkStart w:id="28" w:name="_Ref158844557"/>
      <w:bookmarkStart w:id="29" w:name="_Toc159825966"/>
      <w:r>
        <w:t xml:space="preserve">Figure </w:t>
      </w:r>
      <w:r>
        <w:fldChar w:fldCharType="begin"/>
      </w:r>
      <w:r>
        <w:instrText xml:space="preserve"> SEQ Figure \* ARABIC </w:instrText>
      </w:r>
      <w:r>
        <w:fldChar w:fldCharType="separate"/>
      </w:r>
      <w:r w:rsidR="00C54A78">
        <w:rPr>
          <w:noProof/>
        </w:rPr>
        <w:t>4</w:t>
      </w:r>
      <w:r>
        <w:rPr>
          <w:noProof/>
        </w:rPr>
        <w:fldChar w:fldCharType="end"/>
      </w:r>
      <w:bookmarkEnd w:id="28"/>
      <w:r>
        <w:t xml:space="preserve">: </w:t>
      </w:r>
      <w:r w:rsidRPr="0086158A">
        <w:t>Depiction of the orbit of a polar-orbiting satellite.</w:t>
      </w:r>
      <w:r w:rsidR="004345C6">
        <w:t xml:space="preserve"> Source: Space Foundation.</w:t>
      </w:r>
      <w:bookmarkEnd w:id="29"/>
    </w:p>
    <w:p w14:paraId="2A1C91AF" w14:textId="77777777" w:rsidR="00924772" w:rsidRPr="002B1293" w:rsidRDefault="00924772" w:rsidP="00924772">
      <w:pPr>
        <w:pStyle w:val="NormalWeb"/>
        <w:spacing w:before="0" w:beforeAutospacing="0" w:after="0" w:afterAutospacing="0" w:line="480" w:lineRule="auto"/>
      </w:pPr>
    </w:p>
    <w:p w14:paraId="250DB673" w14:textId="77777777" w:rsidR="00924772" w:rsidRPr="00601F10" w:rsidRDefault="00924772" w:rsidP="00D61B77">
      <w:pPr>
        <w:pStyle w:val="Heading3"/>
      </w:pPr>
      <w:bookmarkStart w:id="30" w:name="_Toc161431082"/>
      <w:r w:rsidRPr="00601F10">
        <w:t>2.</w:t>
      </w:r>
      <w:r>
        <w:t>1.3</w:t>
      </w:r>
      <w:r w:rsidRPr="00601F10">
        <w:t xml:space="preserve"> S</w:t>
      </w:r>
      <w:r>
        <w:t>uomi</w:t>
      </w:r>
      <w:r w:rsidRPr="00601F10">
        <w:t>-NPP</w:t>
      </w:r>
      <w:r>
        <w:t xml:space="preserve"> </w:t>
      </w:r>
      <w:r w:rsidRPr="00492459">
        <w:t>Visible Infrared Imaging Radiometer Suite</w:t>
      </w:r>
      <w:r w:rsidRPr="00601F10">
        <w:t xml:space="preserve"> </w:t>
      </w:r>
      <w:r>
        <w:t>(</w:t>
      </w:r>
      <w:r w:rsidRPr="00601F10">
        <w:t>VIIRS</w:t>
      </w:r>
      <w:r>
        <w:t>)</w:t>
      </w:r>
      <w:bookmarkEnd w:id="30"/>
    </w:p>
    <w:p w14:paraId="6B2FDEA4" w14:textId="51FB5F10" w:rsidR="00924772" w:rsidRPr="009F7FCA" w:rsidRDefault="00924772" w:rsidP="00924772">
      <w:pPr>
        <w:rPr>
          <w:rFonts w:cs="Times New Roman"/>
          <w:szCs w:val="24"/>
        </w:rPr>
      </w:pPr>
      <w:r w:rsidRPr="002B1293">
        <w:rPr>
          <w:rFonts w:cs="Times New Roman"/>
          <w:szCs w:val="24"/>
        </w:rPr>
        <w:tab/>
        <w:t xml:space="preserve">The Suomi National Polar-orbiting Partnership (S-NPP) is a weather satellite </w:t>
      </w:r>
      <w:r>
        <w:rPr>
          <w:rFonts w:cs="Times New Roman"/>
          <w:szCs w:val="24"/>
        </w:rPr>
        <w:t>launched in partnership between NASA and NOAA in 2011. S-NPP carries an instrument suite called the Visible Infrared Imaging Radiometer Suite (VIIRS), which combines features of MODIS with those of the Advanced Very High-Resolution Radiometer (AVHRR) (the previous generation of radiometer equipped with NOAA polar-orbiting satellites) and the Operation Linescan System (an instrument used by the Defense Meteorological Satellite Program (DMSP) to monitor the global distribution of clouds and cloud top temperatures</w:t>
      </w:r>
      <w:r w:rsidR="00A74FDF">
        <w:rPr>
          <w:rFonts w:cs="Times New Roman"/>
          <w:szCs w:val="24"/>
        </w:rPr>
        <w:t>)</w:t>
      </w:r>
      <w:r w:rsidR="00725BAF">
        <w:rPr>
          <w:rFonts w:cs="Times New Roman"/>
          <w:szCs w:val="24"/>
        </w:rPr>
        <w:t xml:space="preserve"> </w:t>
      </w:r>
      <w:r>
        <w:rPr>
          <w:rFonts w:cs="Times New Roman"/>
          <w:szCs w:val="24"/>
        </w:rPr>
        <w:fldChar w:fldCharType="begin"/>
      </w:r>
      <w:r w:rsidR="00BB6527">
        <w:rPr>
          <w:rFonts w:cs="Times New Roman"/>
          <w:szCs w:val="24"/>
        </w:rPr>
        <w:instrText xml:space="preserve"> ADDIN ZOTERO_ITEM CSL_CITATION {"citationID":"Isb0p3XG","properties":{"formattedCitation":"(\\uc0\\u8220{}DMSP Operational Linescan System (OLS),\\uc0\\u8221{} 2022; Liang, 2018)","plainCitation":"(“DMSP Operational Linescan System (OLS),” 2022; Liang, 2018)","noteIndex":0},"citationItems":[{"id":530,"uris":["http://zotero.org/groups/4584967/items/G25UDA6H"],"itemData":{"id":530,"type":"webpage","abstract":"Comprehensive Remote Sensing, Nine Volume Set covers all aspects of the topic, with each volume edited by well-known scientists and contributed to by ...","container-title":"ScienceDirect","language":"en","note":"ISBN: 9780128032213","title":"Comprehensive Remote Sensing","URL":"http://www.sciencedirect.com:5070/referencework/9780128032213/comprehensive-remote-sensing","author":[{"family":"Liang","given":"Shunlin"}],"accessed":{"date-parts":[["2024",2,9]]},"issued":{"date-parts":[["2018"]]},"citation-key":"liangComprehensiveRemoteSensing2018"}},{"id":531,"uris":["http://zotero.org/groups/4584967/items/7UKK2YLW"],"itemData":{"id":531,"type":"webpage","abstract":"The global distribution of clouds and cloud top temperatures is monitored via imagery provided by the Defense Meteorological Satellite Program (DMSP) Operational Linescan System (OLS). The visible and infrared (OLS) sensors collect images globally across a 3000 km swath, twice per day. The archived dataset consists of low resolution global and high resolution regional imagery, satellite ephemeris, and solar and lunar information.","container-title":"National Centers for Environmental Information (NCEI)","language":"en","title":"DMSP Operational Linescan System (OLS)","URL":"https://www.ncei.noaa.gov/products/dmsp-operational-linescan-system","accessed":{"date-parts":[["2024",2,9]]},"issued":{"date-parts":[["2022",10,12]]},"citation-key":"DMSPOperationalLinescan2022"}}],"schema":"https://github.com/citation-style-language/schema/raw/master/csl-citation.json"} </w:instrText>
      </w:r>
      <w:r>
        <w:rPr>
          <w:rFonts w:cs="Times New Roman"/>
          <w:szCs w:val="24"/>
        </w:rPr>
        <w:fldChar w:fldCharType="separate"/>
      </w:r>
      <w:r w:rsidR="000B28D6" w:rsidRPr="000B28D6">
        <w:rPr>
          <w:rFonts w:cs="Times New Roman"/>
          <w:szCs w:val="24"/>
        </w:rPr>
        <w:t xml:space="preserve">(“DMSP Operational Linescan System </w:t>
      </w:r>
      <w:r w:rsidR="000B28D6" w:rsidRPr="000B28D6">
        <w:rPr>
          <w:rFonts w:cs="Times New Roman"/>
          <w:szCs w:val="24"/>
        </w:rPr>
        <w:lastRenderedPageBreak/>
        <w:t>(OLS),” 2022; Liang, 2018)</w:t>
      </w:r>
      <w:r>
        <w:rPr>
          <w:rFonts w:cs="Times New Roman"/>
          <w:szCs w:val="24"/>
        </w:rPr>
        <w:fldChar w:fldCharType="end"/>
      </w:r>
      <w:r w:rsidR="00A74FDF">
        <w:rPr>
          <w:rStyle w:val="CommentReference"/>
        </w:rPr>
        <w:t xml:space="preserve"> </w:t>
      </w:r>
      <w:r>
        <w:rPr>
          <w:rFonts w:cs="Times New Roman"/>
          <w:szCs w:val="24"/>
        </w:rPr>
        <w:t>. VIIRS has 22 spectral channel</w:t>
      </w:r>
      <w:r w:rsidRPr="00133485">
        <w:rPr>
          <w:rFonts w:cs="Times New Roman"/>
          <w:szCs w:val="24"/>
        </w:rPr>
        <w:t xml:space="preserve">s, ranging from 0.412 µm to 11.45 µm, at 375 m and 750 m spatial resolution at </w:t>
      </w:r>
      <w:r>
        <w:rPr>
          <w:rFonts w:cs="Times New Roman"/>
          <w:szCs w:val="24"/>
        </w:rPr>
        <w:t xml:space="preserve">nadir </w:t>
      </w:r>
      <w:r>
        <w:rPr>
          <w:rFonts w:cs="Times New Roman"/>
          <w:szCs w:val="24"/>
        </w:rPr>
        <w:fldChar w:fldCharType="begin"/>
      </w:r>
      <w:r w:rsidR="00BB6527">
        <w:rPr>
          <w:rFonts w:cs="Times New Roman"/>
          <w:szCs w:val="24"/>
        </w:rPr>
        <w:instrText xml:space="preserve"> ADDIN ZOTERO_ITEM CSL_CITATION {"citationID":"OhV3GAmA","properties":{"formattedCitation":"(Liang, 2018)","plainCitation":"(Liang, 2018)","noteIndex":0},"citationItems":[{"id":530,"uris":["http://zotero.org/groups/4584967/items/G25UDA6H"],"itemData":{"id":530,"type":"webpage","abstract":"Comprehensive Remote Sensing, Nine Volume Set covers all aspects of the topic, with each volume edited by well-known scientists and contributed to by ...","container-title":"ScienceDirect","language":"en","note":"ISBN: 9780128032213","title":"Comprehensive Remote Sensing","URL":"http://www.sciencedirect.com:5070/referencework/9780128032213/comprehensive-remote-sensing","author":[{"family":"Liang","given":"Shunlin"}],"accessed":{"date-parts":[["2024",2,9]]},"issued":{"date-parts":[["2018"]]},"citation-key":"liangComprehensiveRemoteSensing2018"}}],"schema":"https://github.com/citation-style-language/schema/raw/master/csl-citation.json"} </w:instrText>
      </w:r>
      <w:r>
        <w:rPr>
          <w:rFonts w:cs="Times New Roman"/>
          <w:szCs w:val="24"/>
        </w:rPr>
        <w:fldChar w:fldCharType="separate"/>
      </w:r>
      <w:r w:rsidR="000B28D6" w:rsidRPr="000B28D6">
        <w:rPr>
          <w:rFonts w:cs="Times New Roman"/>
        </w:rPr>
        <w:t>(Liang, 2018)</w:t>
      </w:r>
      <w:r>
        <w:rPr>
          <w:rFonts w:cs="Times New Roman"/>
          <w:szCs w:val="24"/>
        </w:rPr>
        <w:fldChar w:fldCharType="end"/>
      </w:r>
      <w:r>
        <w:rPr>
          <w:rFonts w:cs="Times New Roman"/>
          <w:szCs w:val="24"/>
        </w:rPr>
        <w:t>. VIIRS also has a swath width of 3,000 km, which is 7</w:t>
      </w:r>
      <w:r w:rsidR="00FB2AFB">
        <w:rPr>
          <w:rFonts w:cs="Times New Roman"/>
          <w:szCs w:val="24"/>
        </w:rPr>
        <w:t>0</w:t>
      </w:r>
      <w:r>
        <w:rPr>
          <w:rFonts w:cs="Times New Roman"/>
          <w:szCs w:val="24"/>
        </w:rPr>
        <w:t>0 km greater than that of MODIS and eliminates gaps in coverage by S-NPP</w:t>
      </w:r>
      <w:r w:rsidR="005F12C9">
        <w:rPr>
          <w:rFonts w:cs="Times New Roman"/>
          <w:szCs w:val="24"/>
        </w:rPr>
        <w:t xml:space="preserve"> </w:t>
      </w:r>
      <w:r w:rsidR="00FB2AFB">
        <w:rPr>
          <w:rFonts w:cs="Times New Roman"/>
          <w:szCs w:val="24"/>
        </w:rPr>
        <w:fldChar w:fldCharType="begin"/>
      </w:r>
      <w:r w:rsidR="00BB6527">
        <w:rPr>
          <w:rFonts w:cs="Times New Roman"/>
          <w:szCs w:val="24"/>
        </w:rPr>
        <w:instrText xml:space="preserve"> ADDIN ZOTERO_ITEM CSL_CITATION {"citationID":"BpTtpUjJ","properties":{"formattedCitation":"(Hillger et al., 2014)","plainCitation":"(Hillger et al., 2014)","noteIndex":0},"citationItems":[{"id":702,"uris":["http://zotero.org/groups/4584967/items/XEMH4AMN"],"itemData":{"id":702,"type":"article-journal","abstract":"The Visible Infrared Imaging Radiometer Suite (VIIRS) combines the best aspects of both civilian and military heritage instrumentation. VIIRS has improved capabilities over its predecessors: a wider swath width and much higher spatial resolution at swath edge. The VIIRS day-night band (DNB) is sensitive to very low levels of visible light and is capable of detecting low clouds, land surface features, and sea ice at night, in addition to light emissions from both man-made and natural sources. Imagery from the Suomi National Polar-orbiting Partnership (Suomi NPP) satellite has been in the checkout process since its launch on 28 October 2011. The ongoing evaluation of VIIRS Imagery helped resolve several imagery-related issues, including missing radiance measurements. In particular, near-constant contrast imagery, derived from the DNB, had a large number of issues to overcome, including numerous missing or blank-fill images and a stray light leakage problem that was only recently resolved via software fixes. In spite of various sensor issues, the VIIRS DNB has added tremendous operational and research value to Suomi NPP. Remarkably, it has been discovered to be sensitive enough to identify clouds even in very low light new moon conditions, using reflected light from the Earth's airglow layer. Impressive examples of the multispectral imaging capabilities are shown to demonstrate its applications for a wide range of operational users. Future members of the Joint Polar Satellite System constellation will also carry and extend the use of VIIRS. Imagery evaluation will continue with these satellites to ensure the quality of imagery for end users.","container-title":"Journal of Geophysical Research: Atmospheres","DOI":"10.1002/2013JD021170","ISSN":"2169-8996","issue":"11","language":"en","license":"©2014. American Geophysical Union. All Rights Reserved.","note":"_eprint: https://onlinelibrary.wiley.com/doi/pdf/10.1002/2013JD021170","page":"6440-6455","source":"Wiley Online Library","title":"Suomi NPP VIIRS Imagery evaluation","volume":"119","author":[{"family":"Hillger","given":"Donald"},{"family":"Seaman","given":"Curtis"},{"family":"Liang","given":"Calvin"},{"family":"Miller","given":"Steven"},{"family":"Lindsey","given":"Daniel"},{"family":"Kopp","given":"Thomas"}],"issued":{"date-parts":[["2014"]]},"citation-key":"hillgerSuomiNPPVIIRS2014"}}],"schema":"https://github.com/citation-style-language/schema/raw/master/csl-citation.json"} </w:instrText>
      </w:r>
      <w:r w:rsidR="00FB2AFB">
        <w:rPr>
          <w:rFonts w:cs="Times New Roman"/>
          <w:szCs w:val="24"/>
        </w:rPr>
        <w:fldChar w:fldCharType="separate"/>
      </w:r>
      <w:r w:rsidR="00FB2AFB" w:rsidRPr="00FB2AFB">
        <w:rPr>
          <w:rFonts w:cs="Times New Roman"/>
        </w:rPr>
        <w:t>(Hillger et al., 2014)</w:t>
      </w:r>
      <w:r w:rsidR="00FB2AFB">
        <w:rPr>
          <w:rFonts w:cs="Times New Roman"/>
          <w:szCs w:val="24"/>
        </w:rPr>
        <w:fldChar w:fldCharType="end"/>
      </w:r>
      <w:r>
        <w:rPr>
          <w:rFonts w:cs="Times New Roman"/>
          <w:szCs w:val="24"/>
        </w:rPr>
        <w:t xml:space="preserve">. S-NPP also has the same 1:30 p.m. overpass time as the A-train (constellation of satellites that overpass 1:30 p.m. such as Aqua satellite) </w:t>
      </w:r>
      <w:r w:rsidR="00DA640D">
        <w:rPr>
          <w:rFonts w:cs="Times New Roman"/>
          <w:szCs w:val="24"/>
        </w:rPr>
        <w:fldChar w:fldCharType="begin"/>
      </w:r>
      <w:r w:rsidR="00BB6527">
        <w:rPr>
          <w:rFonts w:cs="Times New Roman"/>
          <w:szCs w:val="24"/>
        </w:rPr>
        <w:instrText xml:space="preserve"> ADDIN ZOTERO_ITEM CSL_CITATION {"citationID":"rSyHRJqT","properties":{"formattedCitation":"(Stephens et al., 2002)","plainCitation":"(Stephens et al., 2002)","noteIndex":0},"citationItems":[{"id":619,"uris":["http://zotero.org/groups/4584967/items/UWHTVQYQ"],"itemData":{"id":619,"type":"article-journal","abstract":"CloudSat is a satellite experiment designed to measure the vertical structure of clouds from space. The expected launch of CloudSat is planned for 2004, and once launched, CloudSat will orbit in formation as part of a constellation of satellites (the A-Train) that includes NASA's Aqua and Aura satellites, a NASA–CNES lidar satellite (CALIPSO), and a CNES satellite carrying a polarimeter (PARASOL). A unique feature that CloudSat brings to this constellation is the ability to fly a precise orbit enabling the fields of view of the CloudSat radar to be overlapped with the CALIPSO lidar footprint and the other measurements of the constellation. The precision and near simultaneity of this overlap creates a unique multisatellite observing system for studying the atmospheric processes essential to the hydrological cycle. The vertical profiles of cloud properties provided by CloudSat on the global scale fill a critical gap in the investigation of feedback mechanisms linking clouds to climate. Measuring these profiles requires a combination of active and passive instruments, and this will be achieved by combining the radar data of CloudSat with data from other active and passive sensors of the constellation. This paper describes the underpinning science and general overview of the mission, provides some idea of the expected products and anticipated application of these products, and the potential capability of the A-Train for cloud observations. Notably, the CloudSat mission is expected to stimulate new areas of research on clouds. The mission also provides an important opportunity to demonstrate active sensor technology for future scientific and tactical applications. The CloudSat mission is a partnership between NASA's JPL, the Canadian Space Agency, Colorado State University, the U.S. Air Force, and the U.S. Department of Energy.","container-title":"Bulletin of the American Meteorological Society","DOI":"10.1175/BAMS-83-12-1771","ISSN":"0003-0007, 1520-0477","issue":"12","language":"en","note":"publisher: American Meteorological Society\nsection: Bulletin of the American Meteorological Society","page":"1771-1790","source":"journals.ametsoc.org","title":"THE CLOUDSAT MISSION AND THE A-TRAIN: A New Dimension of Space-Based Observations of Clouds and Precipitation","title-short":"THE CLOUDSAT MISSION AND THE A-TRAIN","volume":"83","author":[{"family":"Stephens","given":"Graeme L."},{"family":"Vane","given":"Deborah G."},{"family":"Boain","given":"Ronald J."},{"family":"Mace","given":"Gerald G."},{"family":"Sassen","given":"Kenneth"},{"family":"Wang","given":"Zhien"},{"family":"Illingworth","given":"Anthony J."},{"family":"O'connor","given":"Ewan J."},{"family":"Rossow","given":"William B."},{"family":"Durden","given":"Stephen L."},{"family":"Miller","given":"Steven D."},{"family":"Austin","given":"Richard T."},{"family":"Benedetti","given":"Angela"},{"family":"Mitrescu","given":"Cristian"}],"issued":{"date-parts":[["2002",12,1]]},"citation-key":"stephensCLOUDSATMISSIONATRAIN2002"}}],"schema":"https://github.com/citation-style-language/schema/raw/master/csl-citation.json"} </w:instrText>
      </w:r>
      <w:r w:rsidR="00DA640D">
        <w:rPr>
          <w:rFonts w:cs="Times New Roman"/>
          <w:szCs w:val="24"/>
        </w:rPr>
        <w:fldChar w:fldCharType="separate"/>
      </w:r>
      <w:r w:rsidR="00DA640D" w:rsidRPr="00DA640D">
        <w:rPr>
          <w:rFonts w:cs="Times New Roman"/>
        </w:rPr>
        <w:t>(Stephens et al., 2002)</w:t>
      </w:r>
      <w:r w:rsidR="00DA640D">
        <w:rPr>
          <w:rFonts w:cs="Times New Roman"/>
          <w:szCs w:val="24"/>
        </w:rPr>
        <w:fldChar w:fldCharType="end"/>
      </w:r>
      <w:r>
        <w:rPr>
          <w:rFonts w:cs="Times New Roman"/>
          <w:szCs w:val="24"/>
        </w:rPr>
        <w:t>.</w:t>
      </w:r>
    </w:p>
    <w:p w14:paraId="267D22B4" w14:textId="77777777" w:rsidR="00924772" w:rsidRDefault="00924772" w:rsidP="00D61B77">
      <w:pPr>
        <w:pStyle w:val="Heading2"/>
      </w:pPr>
      <w:bookmarkStart w:id="31" w:name="_Toc161431083"/>
      <w:r>
        <w:t>2.2 Datasets</w:t>
      </w:r>
      <w:bookmarkEnd w:id="31"/>
    </w:p>
    <w:p w14:paraId="29A9273D" w14:textId="77777777" w:rsidR="00924772" w:rsidRPr="00EC1800" w:rsidRDefault="00924772" w:rsidP="00D61B77">
      <w:pPr>
        <w:pStyle w:val="Heading3"/>
      </w:pPr>
      <w:bookmarkStart w:id="32" w:name="_Toc161431084"/>
      <w:r w:rsidRPr="00EC1800">
        <w:t>2.</w:t>
      </w:r>
      <w:r>
        <w:t>2.</w:t>
      </w:r>
      <w:r w:rsidRPr="00EC1800">
        <w:t xml:space="preserve">1 </w:t>
      </w:r>
      <w:r>
        <w:t>Weather Variables from North American Model (NAM) 12 km</w:t>
      </w:r>
      <w:bookmarkEnd w:id="32"/>
    </w:p>
    <w:p w14:paraId="59530C73" w14:textId="1EDE4EF0" w:rsidR="00924772" w:rsidRPr="00422245" w:rsidRDefault="00924772" w:rsidP="00924772">
      <w:pPr>
        <w:rPr>
          <w:rFonts w:cs="Times New Roman"/>
          <w:szCs w:val="24"/>
        </w:rPr>
      </w:pPr>
      <w:r w:rsidRPr="002B1293">
        <w:rPr>
          <w:rFonts w:cs="Times New Roman"/>
          <w:szCs w:val="24"/>
        </w:rPr>
        <w:tab/>
      </w:r>
      <w:r>
        <w:rPr>
          <w:rFonts w:cs="Times New Roman"/>
          <w:szCs w:val="24"/>
        </w:rPr>
        <w:t xml:space="preserve">We incorporated weather data from the North American Mesoscale Forecast System (NAM) 12 km </w:t>
      </w:r>
      <w:r w:rsidR="00DF5746">
        <w:rPr>
          <w:rFonts w:cs="Times New Roman"/>
          <w:szCs w:val="24"/>
        </w:rPr>
        <w:fldChar w:fldCharType="begin"/>
      </w:r>
      <w:r w:rsidR="00BB6527">
        <w:rPr>
          <w:rFonts w:cs="Times New Roman"/>
          <w:szCs w:val="24"/>
        </w:rPr>
        <w:instrText xml:space="preserve"> ADDIN ZOTERO_ITEM CSL_CITATION {"citationID":"e5o4gYvd","properties":{"formattedCitation":"(Janjic et al., 2005)","plainCitation":"(Janjic et al., 2005)","noteIndex":0},"citationItems":[{"id":701,"uris":["http://zotero.org/groups/4584967/items/Z6UQFPSB"],"itemData":{"id":701,"type":"article","event-place":"Boulder, CO, NCAR, 2.9","publisher-place":"Boulder, CO, NCAR, 2.9","title":"The NCEP WRF Core","author":[{"family":"Janjic","given":"Zavisa"},{"family":"Black","given":"Tom"},{"family":"Pyle","given":"Matthew"},{"family":"Chuang","given":"Hui-ya"},{"family":"Rogers","given":"Eric"},{"family":"DiMego","given":"Geoff"}],"issued":{"date-parts":[["2005"]]},"citation-key":"janjicNCEPWRFCore2005"}}],"schema":"https://github.com/citation-style-language/schema/raw/master/csl-citation.json"} </w:instrText>
      </w:r>
      <w:r w:rsidR="00DF5746">
        <w:rPr>
          <w:rFonts w:cs="Times New Roman"/>
          <w:szCs w:val="24"/>
        </w:rPr>
        <w:fldChar w:fldCharType="separate"/>
      </w:r>
      <w:r w:rsidR="00DF5746" w:rsidRPr="00DF5746">
        <w:rPr>
          <w:rFonts w:cs="Times New Roman"/>
        </w:rPr>
        <w:t>(Janjic et al., 2005)</w:t>
      </w:r>
      <w:r w:rsidR="00DF5746">
        <w:rPr>
          <w:rFonts w:cs="Times New Roman"/>
          <w:szCs w:val="24"/>
        </w:rPr>
        <w:fldChar w:fldCharType="end"/>
      </w:r>
      <w:r>
        <w:rPr>
          <w:rFonts w:cs="Times New Roman"/>
          <w:szCs w:val="24"/>
        </w:rPr>
        <w:t xml:space="preserve"> to provide the gap-filled model the building blocks for deciphering the nature of aerosol transport and evolution. The NAM datasets were selected because 1) a weather model would offer spatially complete data on a regularly spaced grid, unlike data collected from balloon soundings or weather stations, and 2) a mesoscale model would be gridded at roughly the resolution as that of satellite products.</w:t>
      </w:r>
    </w:p>
    <w:p w14:paraId="621187F1" w14:textId="6C7AE2E8" w:rsidR="00924772" w:rsidRDefault="00924772" w:rsidP="00924772">
      <w:pPr>
        <w:rPr>
          <w:rFonts w:cs="Times New Roman"/>
          <w:szCs w:val="24"/>
        </w:rPr>
      </w:pPr>
      <w:r>
        <w:rPr>
          <w:rFonts w:cs="Times New Roman"/>
          <w:szCs w:val="24"/>
        </w:rPr>
        <w:tab/>
        <w:t>The NAM 12 km model is a regional weather forecast model developed by the National Oceanic and Atmospheric Administration (NOAA) and run by the National Centers for Environmental Prediction (NCEP)</w:t>
      </w:r>
      <w:r w:rsidR="00F960F2">
        <w:rPr>
          <w:rFonts w:cs="Times New Roman"/>
          <w:szCs w:val="24"/>
        </w:rPr>
        <w:t xml:space="preserve"> </w:t>
      </w:r>
      <w:r>
        <w:rPr>
          <w:rFonts w:cs="Times New Roman"/>
          <w:szCs w:val="24"/>
        </w:rPr>
        <w:fldChar w:fldCharType="begin"/>
      </w:r>
      <w:r w:rsidR="00BB6527">
        <w:rPr>
          <w:rFonts w:cs="Times New Roman"/>
          <w:szCs w:val="24"/>
        </w:rPr>
        <w:instrText xml:space="preserve"> ADDIN ZOTERO_ITEM CSL_CITATION {"citationID":"X3fjAyc3","properties":{"formattedCitation":"(Information (NCEI), n.d.)","plainCitation":"(Information (NCEI), n.d.)","noteIndex":0},"citationItems":[{"id":503,"uris":["http://zotero.org/groups/4584967/items/WCTMK8FM"],"itemData":{"id":503,"type":"webpage","abstract":"North American Mesoscale Forecast System (NAM) [12 km] (format: HTML)","language":"en","note":"Last Modified: 2023-06-23","title":"North American Mesoscale Forecast System (NAM) [12 km]","URL":"https://www.ncei.noaa.gov/access/metadata/landing-page/bin/iso?id=gov.noaa.ncdc:C00630","author":[{"family":"Information (NCEI)","given":"National Centers for Environmental"}],"accessed":{"date-parts":[["2024",2,2]]},"citation-key":"informationnceiNorthAmericanMesoscale"}}],"schema":"https://github.com/citation-style-language/schema/raw/master/csl-citation.json"} </w:instrText>
      </w:r>
      <w:r>
        <w:rPr>
          <w:rFonts w:cs="Times New Roman"/>
          <w:szCs w:val="24"/>
        </w:rPr>
        <w:fldChar w:fldCharType="separate"/>
      </w:r>
      <w:r w:rsidR="00435FC9" w:rsidRPr="00435FC9">
        <w:rPr>
          <w:rFonts w:cs="Times New Roman"/>
        </w:rPr>
        <w:t>(Information (NCEI), n.d.)</w:t>
      </w:r>
      <w:r>
        <w:rPr>
          <w:rFonts w:cs="Times New Roman"/>
          <w:szCs w:val="24"/>
        </w:rPr>
        <w:fldChar w:fldCharType="end"/>
      </w:r>
      <w:r>
        <w:rPr>
          <w:rFonts w:cs="Times New Roman"/>
          <w:szCs w:val="24"/>
        </w:rPr>
        <w:t>. It offers weather parameters, including pressure, temperature, humidity, planetary boundary layer height (PBLH), and land-use parameters such as orography and vegetation. NAM uses a Lambert Conformal grid spaced at 12x12 km</w:t>
      </w:r>
      <w:r>
        <w:rPr>
          <w:rFonts w:cs="Times New Roman"/>
          <w:szCs w:val="24"/>
          <w:vertAlign w:val="superscript"/>
        </w:rPr>
        <w:t>2</w:t>
      </w:r>
      <w:r>
        <w:rPr>
          <w:rFonts w:cs="Times New Roman"/>
          <w:szCs w:val="24"/>
        </w:rPr>
        <w:t xml:space="preserve"> that covers CONUS</w:t>
      </w:r>
      <w:r w:rsidR="006551D6">
        <w:rPr>
          <w:rFonts w:cs="Times New Roman"/>
          <w:szCs w:val="24"/>
        </w:rPr>
        <w:t xml:space="preserve"> (</w:t>
      </w:r>
      <w:r w:rsidR="006551D6">
        <w:rPr>
          <w:rFonts w:cs="Times New Roman"/>
          <w:szCs w:val="24"/>
        </w:rPr>
        <w:fldChar w:fldCharType="begin"/>
      </w:r>
      <w:r w:rsidR="006551D6">
        <w:rPr>
          <w:rFonts w:cs="Times New Roman"/>
          <w:szCs w:val="24"/>
        </w:rPr>
        <w:instrText xml:space="preserve"> REF _Ref158845243 \h </w:instrText>
      </w:r>
      <w:r w:rsidR="006551D6">
        <w:rPr>
          <w:rFonts w:cs="Times New Roman"/>
          <w:szCs w:val="24"/>
        </w:rPr>
      </w:r>
      <w:r w:rsidR="006551D6">
        <w:rPr>
          <w:rFonts w:cs="Times New Roman"/>
          <w:szCs w:val="24"/>
        </w:rPr>
        <w:fldChar w:fldCharType="separate"/>
      </w:r>
      <w:r w:rsidR="00C54A78">
        <w:t xml:space="preserve">Figure </w:t>
      </w:r>
      <w:r w:rsidR="00C54A78">
        <w:rPr>
          <w:noProof/>
        </w:rPr>
        <w:t>5</w:t>
      </w:r>
      <w:r w:rsidR="006551D6">
        <w:rPr>
          <w:rFonts w:cs="Times New Roman"/>
          <w:szCs w:val="24"/>
        </w:rPr>
        <w:fldChar w:fldCharType="end"/>
      </w:r>
      <w:r w:rsidR="006551D6">
        <w:rPr>
          <w:rFonts w:cs="Times New Roman"/>
          <w:szCs w:val="24"/>
        </w:rPr>
        <w:t>)</w:t>
      </w:r>
      <w:r>
        <w:rPr>
          <w:rFonts w:cs="Times New Roman"/>
          <w:szCs w:val="24"/>
        </w:rPr>
        <w:t>, is run four times daily at 00:00, 06:00, 12:00, and 18:00 UTC, and has been operational since March 2004</w:t>
      </w:r>
      <w:r w:rsidR="00435FC9">
        <w:rPr>
          <w:rFonts w:cs="Times New Roman"/>
          <w:szCs w:val="24"/>
        </w:rPr>
        <w:t xml:space="preserve"> </w:t>
      </w:r>
      <w:r w:rsidR="00435FC9">
        <w:rPr>
          <w:rFonts w:cs="Times New Roman"/>
          <w:szCs w:val="24"/>
        </w:rPr>
        <w:fldChar w:fldCharType="begin"/>
      </w:r>
      <w:r w:rsidR="00BB6527">
        <w:rPr>
          <w:rFonts w:cs="Times New Roman"/>
          <w:szCs w:val="24"/>
        </w:rPr>
        <w:instrText xml:space="preserve"> ADDIN ZOTERO_ITEM CSL_CITATION {"citationID":"zSihYo3Y","properties":{"formattedCitation":"(Information (NCEI), n.d.)","plainCitation":"(Information (NCEI), n.d.)","noteIndex":0},"citationItems":[{"id":503,"uris":["http://zotero.org/groups/4584967/items/WCTMK8FM"],"itemData":{"id":503,"type":"webpage","abstract":"North American Mesoscale Forecast System (NAM) [12 km] (format: HTML)","language":"en","note":"Last Modified: 2023-06-23","title":"North American Mesoscale Forecast System (NAM) [12 km]","URL":"https://www.ncei.noaa.gov/access/metadata/landing-page/bin/iso?id=gov.noaa.ncdc:C00630","author":[{"family":"Information (NCEI)","given":"National Centers for Environmental"}],"accessed":{"date-parts":[["2024",2,2]]},"citation-key":"informationnceiNorthAmericanMesoscale"}}],"schema":"https://github.com/citation-style-language/schema/raw/master/csl-citation.json"} </w:instrText>
      </w:r>
      <w:r w:rsidR="00435FC9">
        <w:rPr>
          <w:rFonts w:cs="Times New Roman"/>
          <w:szCs w:val="24"/>
        </w:rPr>
        <w:fldChar w:fldCharType="separate"/>
      </w:r>
      <w:r w:rsidR="00435FC9" w:rsidRPr="00435FC9">
        <w:rPr>
          <w:rFonts w:cs="Times New Roman"/>
        </w:rPr>
        <w:t>(Information (NCEI), n.d.)</w:t>
      </w:r>
      <w:r w:rsidR="00435FC9">
        <w:rPr>
          <w:rFonts w:cs="Times New Roman"/>
          <w:szCs w:val="24"/>
        </w:rPr>
        <w:fldChar w:fldCharType="end"/>
      </w:r>
      <w:r w:rsidR="00E97546">
        <w:rPr>
          <w:rFonts w:cs="Times New Roman"/>
          <w:szCs w:val="24"/>
        </w:rPr>
        <w:t>.</w:t>
      </w:r>
    </w:p>
    <w:p w14:paraId="55992588" w14:textId="77777777" w:rsidR="00924772" w:rsidRDefault="00924772" w:rsidP="00924772">
      <w:pPr>
        <w:keepNext/>
      </w:pPr>
      <w:r>
        <w:rPr>
          <w:rFonts w:cs="Times New Roman"/>
          <w:noProof/>
          <w:szCs w:val="24"/>
        </w:rPr>
        <w:lastRenderedPageBreak/>
        <w:drawing>
          <wp:inline distT="0" distB="0" distL="0" distR="0" wp14:anchorId="10C66700" wp14:editId="266A3422">
            <wp:extent cx="5934075" cy="4581525"/>
            <wp:effectExtent l="0" t="0" r="9525" b="9525"/>
            <wp:docPr id="973750675" name="Picture 2" descr="A map of the worl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3750675" name="Picture 2" descr="A map of the world&#10;&#10;Description automatically generate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34075" cy="4581525"/>
                    </a:xfrm>
                    <a:prstGeom prst="rect">
                      <a:avLst/>
                    </a:prstGeom>
                    <a:noFill/>
                    <a:ln>
                      <a:noFill/>
                    </a:ln>
                  </pic:spPr>
                </pic:pic>
              </a:graphicData>
            </a:graphic>
          </wp:inline>
        </w:drawing>
      </w:r>
    </w:p>
    <w:p w14:paraId="6F41AB58" w14:textId="5E8028F5" w:rsidR="00924772" w:rsidRDefault="00924772" w:rsidP="00D52313">
      <w:pPr>
        <w:pStyle w:val="Caption"/>
        <w:rPr>
          <w:rFonts w:cs="Times New Roman"/>
        </w:rPr>
      </w:pPr>
      <w:bookmarkStart w:id="33" w:name="_Ref158845243"/>
      <w:bookmarkStart w:id="34" w:name="_Toc159825967"/>
      <w:r>
        <w:t xml:space="preserve">Figure </w:t>
      </w:r>
      <w:r>
        <w:fldChar w:fldCharType="begin"/>
      </w:r>
      <w:r>
        <w:instrText xml:space="preserve"> SEQ Figure \* ARABIC </w:instrText>
      </w:r>
      <w:r>
        <w:fldChar w:fldCharType="separate"/>
      </w:r>
      <w:r w:rsidR="00C54A78">
        <w:rPr>
          <w:noProof/>
        </w:rPr>
        <w:t>5</w:t>
      </w:r>
      <w:r>
        <w:rPr>
          <w:noProof/>
        </w:rPr>
        <w:fldChar w:fldCharType="end"/>
      </w:r>
      <w:bookmarkEnd w:id="33"/>
      <w:r>
        <w:t>: A map of the NAM domain (solid) as well as the parent domain (dashed). We used data gridded in the solid region.</w:t>
      </w:r>
      <w:r w:rsidR="00C87CB3">
        <w:t xml:space="preserve"> Source: </w:t>
      </w:r>
      <w:r w:rsidR="000D2CE7">
        <w:fldChar w:fldCharType="begin"/>
      </w:r>
      <w:r w:rsidR="00BB6527">
        <w:instrText xml:space="preserve"> ADDIN ZOTERO_ITEM CSL_CITATION {"citationID":"l79XgA2h","properties":{"formattedCitation":"(\\uc0\\u8220{}North American Mesoscale Forecast System,\\uc0\\u8221{} 2020)","plainCitation":"(“North American Mesoscale Forecast System,” 2020)","noteIndex":0},"citationItems":[{"id":699,"uris":["http://zotero.org/groups/4584967/items/L8XAS8VB"],"itemData":{"id":699,"type":"webpage","abstract":"The North American Mesoscale Forecast System (NAM) is one of the National Centers For Environmental Prediction’s (NCEP) major models for producing weather forecasts. NAM generates multiple grids (or domains) of weather forecasts over the North American continent at various horizontal resolutions. Each grid contains data for dozens of weather parameters, including temperature, precipitation, lightning, and turbulent kinetic energy.","container-title":"National Centers for Environmental Information (NCEI)","language":"en","title":"North American Mesoscale Forecast System","URL":"https://www.ncei.noaa.gov/products/weather-climate-models/north-american-mesoscale","accessed":{"date-parts":[["2024",2,24]]},"issued":{"date-parts":[["2020",8,10]]},"citation-key":"NorthAmericanMesoscale2020"}}],"schema":"https://github.com/citation-style-language/schema/raw/master/csl-citation.json"} </w:instrText>
      </w:r>
      <w:r w:rsidR="000D2CE7">
        <w:fldChar w:fldCharType="separate"/>
      </w:r>
      <w:r w:rsidR="000D2CE7" w:rsidRPr="000D2CE7">
        <w:rPr>
          <w:rFonts w:cs="Times New Roman"/>
        </w:rPr>
        <w:t>(“North American Mesoscale Forecast System,” 2020)</w:t>
      </w:r>
      <w:r w:rsidR="000D2CE7">
        <w:fldChar w:fldCharType="end"/>
      </w:r>
      <w:r w:rsidR="004365DD">
        <w:t>.</w:t>
      </w:r>
      <w:bookmarkEnd w:id="34"/>
    </w:p>
    <w:p w14:paraId="010B2A50" w14:textId="0A897B2F" w:rsidR="00924772" w:rsidRPr="002B1293" w:rsidRDefault="00924772" w:rsidP="005B4F47">
      <w:pPr>
        <w:rPr>
          <w:rFonts w:cs="Times New Roman"/>
          <w:szCs w:val="24"/>
        </w:rPr>
      </w:pPr>
      <w:r>
        <w:rPr>
          <w:rFonts w:cs="Times New Roman"/>
          <w:szCs w:val="24"/>
        </w:rPr>
        <w:tab/>
        <w:t>We selected surface pressure (P</w:t>
      </w:r>
      <w:r w:rsidRPr="009E7324">
        <w:rPr>
          <w:rFonts w:cs="Times New Roman"/>
          <w:szCs w:val="24"/>
          <w:vertAlign w:val="subscript"/>
        </w:rPr>
        <w:t>0</w:t>
      </w:r>
      <w:r>
        <w:rPr>
          <w:rFonts w:cs="Times New Roman"/>
          <w:szCs w:val="24"/>
        </w:rPr>
        <w:t>), pressure at mean sea level (MSLP), surface temperature (T</w:t>
      </w:r>
      <w:r w:rsidRPr="002119EA">
        <w:rPr>
          <w:rFonts w:cs="Times New Roman"/>
          <w:szCs w:val="24"/>
          <w:vertAlign w:val="subscript"/>
        </w:rPr>
        <w:t>0</w:t>
      </w:r>
      <w:r>
        <w:rPr>
          <w:rFonts w:cs="Times New Roman"/>
          <w:szCs w:val="24"/>
        </w:rPr>
        <w:t>), 2-meter temperature (2-T), 2-meter dewpoint temperature (2-DewT), 2-meter relative humidity (2-RH), 10-meter wind speeds (10-WS), PBLH, orography, and vegetation</w:t>
      </w:r>
      <w:r w:rsidR="006551D6">
        <w:rPr>
          <w:rFonts w:cs="Times New Roman"/>
          <w:szCs w:val="24"/>
        </w:rPr>
        <w:t>.</w:t>
      </w:r>
      <w:r w:rsidR="00255D8B">
        <w:rPr>
          <w:rFonts w:cs="Times New Roman"/>
          <w:szCs w:val="24"/>
        </w:rPr>
        <w:t xml:space="preserve"> </w:t>
      </w:r>
      <w:r>
        <w:rPr>
          <w:rFonts w:cs="Times New Roman"/>
          <w:szCs w:val="24"/>
        </w:rPr>
        <w:t xml:space="preserve">We aligned the time of the NAM variables with satellite overpasses and averaged  consecutive 18:00 and 00:00 UTC datasets, which range from 1:00 p.m. PST to 4:00 p.m. EST. </w:t>
      </w:r>
    </w:p>
    <w:p w14:paraId="2462FAC8" w14:textId="2C6795B0" w:rsidR="00924772" w:rsidRPr="00CE4AAD" w:rsidRDefault="00924772" w:rsidP="00D61B77">
      <w:pPr>
        <w:pStyle w:val="Heading3"/>
      </w:pPr>
      <w:bookmarkStart w:id="35" w:name="_Toc161431085"/>
      <w:r w:rsidRPr="00CE4AAD">
        <w:t>2</w:t>
      </w:r>
      <w:r>
        <w:t>.2</w:t>
      </w:r>
      <w:r w:rsidRPr="00CE4AAD">
        <w:t xml:space="preserve">.3 </w:t>
      </w:r>
      <w:r w:rsidRPr="005A00E5">
        <w:t>Hazard Mapping System (HMS)</w:t>
      </w:r>
      <w:bookmarkEnd w:id="35"/>
    </w:p>
    <w:p w14:paraId="043B9B95" w14:textId="7BB4D2E0" w:rsidR="00924772" w:rsidRPr="002B1293" w:rsidRDefault="00924772" w:rsidP="00924772">
      <w:pPr>
        <w:rPr>
          <w:rFonts w:cs="Times New Roman"/>
          <w:szCs w:val="24"/>
        </w:rPr>
      </w:pPr>
      <w:r w:rsidRPr="002B1293">
        <w:rPr>
          <w:rFonts w:cs="Times New Roman"/>
          <w:szCs w:val="24"/>
        </w:rPr>
        <w:lastRenderedPageBreak/>
        <w:tab/>
      </w:r>
      <w:r w:rsidR="00325EE0">
        <w:rPr>
          <w:rFonts w:cs="Times New Roman"/>
          <w:szCs w:val="24"/>
        </w:rPr>
        <w:t>We also included NOAA’s Hazard Mapping System (HMS) smoke polygons product further to facilitate the model's decision-making for smoke recognition.</w:t>
      </w:r>
      <w:r w:rsidRPr="002B1293">
        <w:rPr>
          <w:rFonts w:cs="Times New Roman"/>
          <w:szCs w:val="24"/>
        </w:rPr>
        <w:t xml:space="preserve"> HMS is a framework that takes near-real</w:t>
      </w:r>
      <w:r>
        <w:rPr>
          <w:rFonts w:cs="Times New Roman"/>
          <w:szCs w:val="24"/>
        </w:rPr>
        <w:t>-</w:t>
      </w:r>
      <w:r w:rsidRPr="002B1293">
        <w:rPr>
          <w:rFonts w:cs="Times New Roman"/>
          <w:szCs w:val="24"/>
        </w:rPr>
        <w:t>time polar (S-NPP, NOAA-20, Terra) and geostationary (GOES-16 and GOES-17) satellite observations, passes them through automated fire and smoke plume detection and is final</w:t>
      </w:r>
      <w:r>
        <w:rPr>
          <w:rFonts w:cs="Times New Roman"/>
          <w:szCs w:val="24"/>
        </w:rPr>
        <w:t>ized by quality-controlled</w:t>
      </w:r>
      <w:r w:rsidRPr="002B1293">
        <w:rPr>
          <w:rFonts w:cs="Times New Roman"/>
          <w:szCs w:val="24"/>
        </w:rPr>
        <w:t xml:space="preserve"> by expert image analysts</w:t>
      </w:r>
      <w:r>
        <w:rPr>
          <w:rFonts w:cs="Times New Roman"/>
          <w:szCs w:val="24"/>
        </w:rPr>
        <w:t xml:space="preserve"> </w:t>
      </w:r>
      <w:r w:rsidRPr="002B1293">
        <w:rPr>
          <w:rFonts w:cs="Times New Roman"/>
          <w:szCs w:val="24"/>
        </w:rPr>
        <w:fldChar w:fldCharType="begin"/>
      </w:r>
      <w:r w:rsidR="00BB6527">
        <w:rPr>
          <w:rFonts w:cs="Times New Roman"/>
          <w:szCs w:val="24"/>
        </w:rPr>
        <w:instrText xml:space="preserve"> ADDIN ZOTERO_ITEM CSL_CITATION {"citationID":"8wstApTx","properties":{"formattedCitation":"(Brey et al., 2018; McNamara et al., 2004)","plainCitation":"(Brey et al., 2018; McNamara et al., 2004)","noteIndex":0},"citationItems":[{"id":228,"uris":["http://zotero.org/groups/4584967/items/X5CIUTNE"],"itemData":{"id":228,"type":"article-journal","abstract":"&lt;p&gt;&lt;strong class=\"journal-contentHeaderColor\"&gt;Abstract.&lt;/strong&gt; Fires represent an air quality challenge because they are large, dynamic and transient sources of particulate matter and ozone precursors. Transported smoke can deteriorate air quality over large regions. Fire severity and frequency are likely to increase in the future, exacerbating an existing problem. Using the National Environmental Satellite, Data, and Information Service (NESDIS) Hazard Mapping System (HMS) smoke data for North America for the period 2007 to 2014, we examine a subset of fires that are confirmed to have produced sufficient smoke to warrant the initiation of a U.S. National Weather Service smoke forecast. We find that gridded HMS-analyzed fires are well correlated (&lt;span class=\"inline-formula\"&gt;&lt;i&gt;r&lt;/i&gt;=&lt;/span&gt;&amp;thinsp;0.84) with emissions from the Global Fire Emissions Inventory Database 4s (GFED4s). We define a new metric, smoke hours, by linking observed smoke plumes to active fires using ensembles of forward trajectories. This work shows that the Southwest, Northwest, and Northwest Territories initiate the most air quality forecasts and produce more smoke than any other North American region by measure of the number of HYSPLIT points analyzed, the duration of those HYSPLIT points, and the total number of smoke hours produced. The average number of days with smoke plumes overhead is largest over the north-central United States. Only Alaska, the Northwest, the Southwest, and Southeast United States regions produce the majority of smoke plumes observed over their own borders. This work moves a new dataset from a daily operational setting to a research context, and it demonstrates how changes to the frequency or intensity of fires in the western United States could impact other regions.&lt;/p&gt;","container-title":"Atmospheric Chemistry and Physics","DOI":"https://doi.org/10.5194/acp-18-1745-2018","ISSN":"1680-7316","issue":"3","language":"English","note":"publisher: Copernicus GmbH","page":"1745-1761","source":"acp.copernicus.org","title":"Connecting smoke plumes to sources using Hazard Mapping System (HMS) smoke and fire location data over North America","volume":"18","author":[{"family":"Brey","given":"Steven J."},{"family":"Ruminski","given":"Mark"},{"family":"Atwood","given":"Samuel A."},{"family":"Fischer","given":"Emily V."}],"issued":{"date-parts":[["2018",2,6]]},"citation-key":"breyConnectingSmokePlumes2018"}},{"id":497,"uris":["http://zotero.org/groups/4584967/items/C4DJQMUZ"],"itemData":{"id":497,"type":"document","publisher":"NOAA/NESDIS","title":"THE HAZARD MAPPING SYSTEM (HMS) - NOAA'S MULTI-SENSOR FIRE AND SMOKE DETECTION PROGRAM USING ENVIRONMENTAL SATELLITES","author":[{"family":"McNamara","given":"Donna"},{"family":"Stephens","given":"George"},{"family":"Ruminski","given":"Mark"}],"issued":{"date-parts":[["2004"]]},"citation-key":"mcnamaraHAZARDMAPPINGSYSTEM2004"}}],"schema":"https://github.com/citation-style-language/schema/raw/master/csl-citation.json"} </w:instrText>
      </w:r>
      <w:r w:rsidRPr="002B1293">
        <w:rPr>
          <w:rFonts w:cs="Times New Roman"/>
          <w:szCs w:val="24"/>
        </w:rPr>
        <w:fldChar w:fldCharType="separate"/>
      </w:r>
      <w:r w:rsidRPr="001E0537">
        <w:rPr>
          <w:rFonts w:cs="Times New Roman"/>
        </w:rPr>
        <w:t>(Brey et al., 2018; McNamara et al., 2004)</w:t>
      </w:r>
      <w:r w:rsidRPr="002B1293">
        <w:rPr>
          <w:rFonts w:cs="Times New Roman"/>
          <w:szCs w:val="24"/>
        </w:rPr>
        <w:fldChar w:fldCharType="end"/>
      </w:r>
      <w:r w:rsidRPr="002B1293">
        <w:rPr>
          <w:rFonts w:cs="Times New Roman"/>
          <w:szCs w:val="24"/>
        </w:rPr>
        <w:t xml:space="preserve">. HMS runs 24x7x365 and produces daily </w:t>
      </w:r>
      <w:r>
        <w:rPr>
          <w:rFonts w:cs="Times New Roman"/>
          <w:szCs w:val="24"/>
        </w:rPr>
        <w:t>spatial datasets</w:t>
      </w:r>
      <w:r w:rsidRPr="002B1293">
        <w:rPr>
          <w:rFonts w:cs="Times New Roman"/>
          <w:szCs w:val="24"/>
        </w:rPr>
        <w:t xml:space="preserve"> of smoke plumes over CONUS. These plumes are given as shape files and are categorized as light, medium, and heavy depending on the apparent opacity of the smoke in the satellite imagery. </w:t>
      </w:r>
    </w:p>
    <w:p w14:paraId="7DCC68B2" w14:textId="77777777" w:rsidR="00924772" w:rsidRPr="002B1293" w:rsidRDefault="00924772" w:rsidP="00924772">
      <w:pPr>
        <w:keepNext/>
        <w:rPr>
          <w:rFonts w:cs="Times New Roman"/>
        </w:rPr>
      </w:pPr>
      <w:r w:rsidRPr="002B1293">
        <w:rPr>
          <w:rFonts w:cs="Times New Roman"/>
          <w:noProof/>
          <w:szCs w:val="24"/>
        </w:rPr>
        <w:drawing>
          <wp:inline distT="0" distB="0" distL="0" distR="0" wp14:anchorId="535EBA9E" wp14:editId="742A1710">
            <wp:extent cx="4019048" cy="3771429"/>
            <wp:effectExtent l="0" t="0" r="635" b="635"/>
            <wp:docPr id="2003787493" name="Picture 5" descr="A map of the california coa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787493" name="Picture 5" descr="A map of the california coast&#10;&#10;Description automatically generated"/>
                    <pic:cNvPicPr/>
                  </pic:nvPicPr>
                  <pic:blipFill>
                    <a:blip r:embed="rId14">
                      <a:extLst>
                        <a:ext uri="{28A0092B-C50C-407E-A947-70E740481C1C}">
                          <a14:useLocalDpi xmlns:a14="http://schemas.microsoft.com/office/drawing/2010/main" val="0"/>
                        </a:ext>
                      </a:extLst>
                    </a:blip>
                    <a:stretch>
                      <a:fillRect/>
                    </a:stretch>
                  </pic:blipFill>
                  <pic:spPr>
                    <a:xfrm>
                      <a:off x="0" y="0"/>
                      <a:ext cx="4019048" cy="3771429"/>
                    </a:xfrm>
                    <a:prstGeom prst="rect">
                      <a:avLst/>
                    </a:prstGeom>
                  </pic:spPr>
                </pic:pic>
              </a:graphicData>
            </a:graphic>
          </wp:inline>
        </w:drawing>
      </w:r>
    </w:p>
    <w:p w14:paraId="25D97AC0" w14:textId="4EDDE30B" w:rsidR="00924772" w:rsidRDefault="00924772" w:rsidP="00D52313">
      <w:pPr>
        <w:pStyle w:val="Caption"/>
      </w:pPr>
      <w:bookmarkStart w:id="36" w:name="_Toc159825968"/>
      <w:r w:rsidRPr="002B1293">
        <w:t xml:space="preserve">Figure </w:t>
      </w:r>
      <w:r>
        <w:fldChar w:fldCharType="begin"/>
      </w:r>
      <w:r>
        <w:instrText xml:space="preserve"> SEQ Figure \* ARABIC </w:instrText>
      </w:r>
      <w:r>
        <w:fldChar w:fldCharType="separate"/>
      </w:r>
      <w:r w:rsidR="00C54A78">
        <w:rPr>
          <w:noProof/>
        </w:rPr>
        <w:t>6</w:t>
      </w:r>
      <w:r>
        <w:rPr>
          <w:noProof/>
        </w:rPr>
        <w:fldChar w:fldCharType="end"/>
      </w:r>
      <w:r w:rsidRPr="002B1293">
        <w:t>: A sample map of the HMS smoke product for Nov</w:t>
      </w:r>
      <w:r w:rsidR="009F2321">
        <w:t>ember</w:t>
      </w:r>
      <w:r w:rsidRPr="002B1293">
        <w:t xml:space="preserve"> 8, </w:t>
      </w:r>
      <w:r w:rsidR="009F2321" w:rsidRPr="002B1293">
        <w:t>2018,</w:t>
      </w:r>
      <w:r w:rsidRPr="002B1293">
        <w:t xml:space="preserve"> showing a large smoke plume from the Camp Fire. Green, yellow, and red denote light, medium, and heavy smoke densities, respectively.</w:t>
      </w:r>
      <w:r w:rsidR="009F2321">
        <w:t xml:space="preserve"> Source: </w:t>
      </w:r>
      <w:r w:rsidR="00BC652B">
        <w:t>NOAA HMS.</w:t>
      </w:r>
      <w:bookmarkEnd w:id="36"/>
    </w:p>
    <w:p w14:paraId="18E8031A" w14:textId="77777777" w:rsidR="00D569D6" w:rsidRPr="00601F10" w:rsidRDefault="00D569D6" w:rsidP="00D61B77">
      <w:pPr>
        <w:pStyle w:val="Heading3"/>
      </w:pPr>
      <w:bookmarkStart w:id="37" w:name="_Toc161431086"/>
      <w:r w:rsidRPr="00601F10">
        <w:t>2.</w:t>
      </w:r>
      <w:r>
        <w:t>2.2</w:t>
      </w:r>
      <w:r w:rsidRPr="00601F10">
        <w:t xml:space="preserve"> </w:t>
      </w:r>
      <w:r w:rsidRPr="00CF3EC1">
        <w:t xml:space="preserve">Modern-Era Retrospective Analysis for Research and Applications, version 2 </w:t>
      </w:r>
      <w:r>
        <w:t xml:space="preserve"> (</w:t>
      </w:r>
      <w:r w:rsidRPr="00601F10">
        <w:t>MERRA-2</w:t>
      </w:r>
      <w:r>
        <w:t>)</w:t>
      </w:r>
      <w:bookmarkEnd w:id="37"/>
    </w:p>
    <w:p w14:paraId="17CBAB21" w14:textId="51DF46EC" w:rsidR="00D569D6" w:rsidRPr="002B1293" w:rsidRDefault="00D569D6" w:rsidP="00D569D6">
      <w:pPr>
        <w:rPr>
          <w:rFonts w:cs="Times New Roman"/>
          <w:szCs w:val="24"/>
        </w:rPr>
      </w:pPr>
      <w:r w:rsidRPr="002B1293">
        <w:rPr>
          <w:rFonts w:cs="Times New Roman"/>
          <w:szCs w:val="24"/>
        </w:rPr>
        <w:lastRenderedPageBreak/>
        <w:tab/>
        <w:t xml:space="preserve">The </w:t>
      </w:r>
      <w:bookmarkStart w:id="38" w:name="_Hlk158634368"/>
      <w:r w:rsidRPr="002B1293">
        <w:rPr>
          <w:rFonts w:cs="Times New Roman"/>
          <w:szCs w:val="24"/>
        </w:rPr>
        <w:t xml:space="preserve">Modern-Era Retrospective Analysis for Research and Applications, version 2 </w:t>
      </w:r>
      <w:bookmarkEnd w:id="38"/>
      <w:r w:rsidRPr="002B1293">
        <w:rPr>
          <w:rFonts w:cs="Times New Roman"/>
          <w:szCs w:val="24"/>
        </w:rPr>
        <w:t>(MERRA-2), is a global reanalysis product developed by NASA’s</w:t>
      </w:r>
      <w:r>
        <w:rPr>
          <w:rFonts w:cs="Times New Roman"/>
          <w:szCs w:val="24"/>
        </w:rPr>
        <w:t xml:space="preserve"> </w:t>
      </w:r>
      <w:r w:rsidRPr="002B1293">
        <w:rPr>
          <w:rFonts w:cs="Times New Roman"/>
          <w:szCs w:val="24"/>
        </w:rPr>
        <w:t>Global Modeling and Assimilation Office (GMAO). It offers many improvements over the previous version, which most notably for this project, includes aerosol data assimilation and analysis</w:t>
      </w:r>
      <w:r>
        <w:rPr>
          <w:rFonts w:cs="Times New Roman"/>
          <w:szCs w:val="24"/>
        </w:rPr>
        <w:t xml:space="preserve"> </w:t>
      </w:r>
      <w:r w:rsidRPr="002B1293">
        <w:rPr>
          <w:rFonts w:cs="Times New Roman"/>
          <w:szCs w:val="24"/>
        </w:rPr>
        <w:fldChar w:fldCharType="begin"/>
      </w:r>
      <w:r w:rsidR="00BB6527">
        <w:rPr>
          <w:rFonts w:cs="Times New Roman"/>
          <w:szCs w:val="24"/>
        </w:rPr>
        <w:instrText xml:space="preserve"> ADDIN ZOTERO_ITEM CSL_CITATION {"citationID":"vRk46Q7Q","properties":{"formattedCitation":"(Gelaro et al., 2017; Randles et al., 2017)","plainCitation":"(Gelaro et al., 2017; Randles et al., 2017)","noteIndex":0},"citationItems":[{"id":501,"uris":["http://zotero.org/groups/4584967/items/FQ98MSJ7"],"itemData":{"id":501,"type":"article-journal","abstract":"Abstract The Modern-Era Retrospective Analysis for Research and Applications, version 2 (MERRA-2), updates NASA’s previous satellite-era (1980 onward) reanalysis system to include additional observations and improvements to the Goddard Earth Observing System, version 5 (GEOS-5), Earth system model. As a major step toward a full Integrated Earth Systems Analysis (IESA), in addition to meteorological observations, MERRA-2 now includes assimilation of aerosol optical depth (AOD) from various ground- and space-based remote sensing platforms. Here, in the first of a pair of studies, the MERRA-2 aerosol assimilation is documented, including a description of the prognostic model (GEOS-5 coupled to the GOCART aerosol module), aerosol emissions, and the quality control of ingested observations. Initial validation and evaluation of the analyzed AOD fields are provided using independent observations from ground, aircraft, and shipborne instruments. The positive impact of the AOD assimilation on simulated aerosols is demonstrated by comparing MERRA-2 aerosol fields to an identical control simulation that does not include AOD assimilation. After showing the AOD evaluation, this paper takes a first look at aerosol–climate interactions by examining the shortwave, clear-sky aerosol direct radiative effect. The companion paper (Part II) evaluates and validates available MERRA-2 aerosol properties not directly impacted by the AOD assimilation (e.g., aerosol vertical distribution and absorption). Importantly, while highlighting the skill of the MERRA-2 aerosol assimilation products, both studies point out caveats that must be considered when using this new reanalysis product for future studies of aerosols and their interactions with weather and climate.","container-title":"Journal of Climate","DOI":"10.1175/JCLI-D-16-0609.1","ISSN":"0894-8755, 1520-0442","issue":"17","language":"EN","note":"publisher: American Meteorological Society\nsection: Journal of Climate","page":"6823-6850","source":"journals.ametsoc.org","title":"The MERRA-2 Aerosol Reanalysis, 1980 Onward. Part I: System Description and Data Assimilation Evaluation","title-short":"The MERRA-2 Aerosol Reanalysis, 1980 Onward. Part I","volume":"30","author":[{"family":"Randles","given":"C. A."},{"family":"Silva","given":"A. M.","dropping-particle":"da"},{"family":"Buchard","given":"V."},{"family":"Colarco","given":"P. R."},{"family":"Darmenov","given":"A."},{"family":"Govindaraju","given":"R."},{"family":"Smirnov","given":"A."},{"family":"Holben","given":"B."},{"family":"Ferrare","given":"R."},{"family":"Hair","given":"J."},{"family":"Shinozuka","given":"Y."},{"family":"Flynn","given":"C. J."}],"issued":{"date-parts":[["2017",9,1]]},"citation-key":"randlesMERRA2AerosolReanalysis2017"}},{"id":502,"uris":["http://zotero.org/groups/4584967/items/IHRCJR9I"],"itemData":{"id":502,"type":"article-journal","abstract":"Abstract The Modern-Era Retrospective Analysis for Research and Applications, version 2 (MERRA-2), is the latest atmospheric reanalysis of the modern satellite era produced by NASA’s Global Modeling and Assimilation Office (GMAO). MERRA-2 assimilates observation types not available to its predecessor, MERRA, and includes updates to the Goddard Earth Observing System (GEOS) model and analysis scheme so as to provide a viable ongoing climate analysis beyond MERRA’s terminus. While addressing known limitations of MERRA, MERRA-2 is also intended to be a development milestone for a future integrated Earth system analysis (IESA) currently under development at GMAO. This paper provides an overview of the MERRA-2 system and various performance metrics. Among the advances in MERRA-2 relevant to IESA are the assimilation of aerosol observations, several improvements to the representation of the stratosphere including ozone, and improved representations of cryospheric processes. Other improvements in the quality of MERRA-2 compared with MERRA include the reduction of some spurious trends and jumps related to changes in the observing system and reduced biases and imbalances in aspects of the water cycle. Remaining deficiencies are also identified. Production of MERRA-2 began in June 2014 in four processing streams and converged to a single near-real-time stream in mid-2015. MERRA-2 products are accessible online through the NASA Goddard Earth Sciences Data Information Services Center (GES DISC).","container-title":"Journal of Climate","DOI":"10.1175/JCLI-D-16-0758.1","ISSN":"0894-8755, 1520-0442","issue":"14","language":"EN","note":"publisher: American Meteorological Society\nsection: Journal of Climate","page":"5419-5454","source":"journals.ametsoc.org","title":"The Modern-Era Retrospective Analysis for Research and Applications, Version 2 (MERRA-2)","volume":"30","author":[{"family":"Gelaro","given":"Ronald"},{"family":"McCarty","given":"Will"},{"family":"Suárez","given":"Max J."},{"family":"Todling","given":"Ricardo"},{"family":"Molod","given":"Andrea"},{"family":"Takacs","given":"Lawrence"},{"family":"Randles","given":"Cynthia A."},{"family":"Darmenov","given":"Anton"},{"family":"Bosilovich","given":"Michael G."},{"family":"Reichle","given":"Rolf"},{"family":"Wargan","given":"Krzysztof"},{"family":"Coy","given":"Lawrence"},{"family":"Cullather","given":"Richard"},{"family":"Draper","given":"Clara"},{"family":"Akella","given":"Santha"},{"family":"Buchard","given":"Virginie"},{"family":"Conaty","given":"Austin"},{"family":"Silva","given":"Arlindo M.","dropping-particle":"da"},{"family":"Gu","given":"Wei"},{"family":"Kim","given":"Gi-Kong"},{"family":"Koster","given":"Randal"},{"family":"Lucchesi","given":"Robert"},{"family":"Merkova","given":"Dagmar"},{"family":"Nielsen","given":"Jon Eric"},{"family":"Partyka","given":"Gary"},{"family":"Pawson","given":"Steven"},{"family":"Putman","given":"William"},{"family":"Rienecker","given":"Michele"},{"family":"Schubert","given":"Siegfried D."},{"family":"Sienkiewicz","given":"Meta"},{"family":"Zhao","given":"Bin"}],"issued":{"date-parts":[["2017",7,15]]},"citation-key":"gelaroModernEraRetrospectiveAnalysis2017"}}],"schema":"https://github.com/citation-style-language/schema/raw/master/csl-citation.json"} </w:instrText>
      </w:r>
      <w:r w:rsidRPr="002B1293">
        <w:rPr>
          <w:rFonts w:cs="Times New Roman"/>
          <w:szCs w:val="24"/>
        </w:rPr>
        <w:fldChar w:fldCharType="separate"/>
      </w:r>
      <w:r w:rsidRPr="001E0537">
        <w:rPr>
          <w:rFonts w:cs="Times New Roman"/>
        </w:rPr>
        <w:t>(Gelaro et al., 2017; Randles et al., 2017)</w:t>
      </w:r>
      <w:r w:rsidRPr="002B1293">
        <w:rPr>
          <w:rFonts w:cs="Times New Roman"/>
          <w:szCs w:val="24"/>
        </w:rPr>
        <w:fldChar w:fldCharType="end"/>
      </w:r>
      <w:r w:rsidRPr="002B1293">
        <w:rPr>
          <w:rFonts w:cs="Times New Roman"/>
          <w:szCs w:val="24"/>
        </w:rPr>
        <w:t>. It has been noted that such data assimilation has prospects for air quality studies</w:t>
      </w:r>
      <w:r w:rsidRPr="002B1293">
        <w:rPr>
          <w:rFonts w:cs="Times New Roman"/>
          <w:szCs w:val="24"/>
        </w:rPr>
        <w:fldChar w:fldCharType="begin"/>
      </w:r>
      <w:r w:rsidR="00BB6527">
        <w:rPr>
          <w:rFonts w:cs="Times New Roman"/>
          <w:szCs w:val="24"/>
        </w:rPr>
        <w:instrText xml:space="preserve"> ADDIN ZOTERO_ITEM CSL_CITATION {"citationID":"JjUg4MQk","properties":{"formattedCitation":"(Bocquet et al., 2015)","plainCitation":"(Bocquet et al., 2015)","noteIndex":0},"citationItems":[{"id":499,"uris":["http://zotero.org/groups/4584967/items/GQG4FKVI"],"itemData":{"id":499,"type":"article-journal","abstract":"Data assimilation is used in atmospheric chemistry models to improve air quality forecasts, construct re-analyses of three-dimensional chemical (including aerosol) concentrations and perform inverse modeling of input variables or model parameters (e.g., emissions). Coupled chemistry meteorology models (CCMM) are atmospheric chemistry models that simulate meteorological processes and chemical transformations jointly. They offer the possibility to assimilate both meteorological and chemical data; however, because CCMM are fairly recent, data assimilation in CCMM has been limited to date. We review here the current status of data assimilation in atmospheric chemistry models with a particular focus on future prospects for data assimilation in CCMM. We first review the methods available for data assimilation in atmospheric models, including variational methods, ensemble Kalman filters, and hybrid methods. Next, we review past applications that have included chemical data assimilation in chemical transport models (CTM) and in CCMM. Observational data sets available for chemical data assimilation are described, including surface data, surface-based remote sensing, airborne data, and satellite data. Several case studies of chemical data assimilation in CCMM are presented to highlight the benefits obtained by assimilating chemical data in CCMM. A case study of data assimilation to constrain emissions is also presented. There are few examples to date of joint meteorological and chemical data assimilation in CCMM and potential difficulties associated with data assimilation in CCMM are discussed. As the number of variables being assimilated increases, it is essential to characterize correctly the errors; in particular, the specification of error cross-correlations may be problematic. In some cases, offline diagnostics are necessary to ensure that data assimilation can truly improve model performance. However, the main challenge is likely to be the paucity of chemical data available for assimilation in CCMM.","container-title":"Atmospheric Chemistry and Physics","DOI":"10.5194/acp-15-5325-2015","ISSN":"1680-7316","issue":"10","language":"English","note":"publisher: Copernicus GmbH","page":"5325-5358","source":"Copernicus Online Journals","title":"Data assimilation in atmospheric chemistry models: current status and future prospects for coupled chemistry meteorology models","title-short":"Data assimilation in atmospheric chemistry models","volume":"15","author":[{"family":"Bocquet","given":"M."},{"family":"Elbern","given":"H."},{"family":"Eskes","given":"H."},{"family":"Hirtl","given":"M."},{"family":"Žabkar","given":"R."},{"family":"Carmichael","given":"G. R."},{"family":"Flemming","given":"J."},{"family":"Inness","given":"A."},{"family":"Pagowski","given":"M."},{"family":"Pérez Camaño","given":"J. L."},{"family":"Saide","given":"P. E."},{"family":"San Jose","given":"R."},{"family":"Sofiev","given":"M."},{"family":"Vira","given":"J."},{"family":"Baklanov","given":"A."},{"family":"Carnevale","given":"C."},{"family":"Grell","given":"G."},{"family":"Seigneur","given":"C."}],"issued":{"date-parts":[["2015",5,18]]},"citation-key":"bocquetDataAssimilationAtmospheric2015"}}],"schema":"https://github.com/citation-style-language/schema/raw/master/csl-citation.json"} </w:instrText>
      </w:r>
      <w:r w:rsidRPr="002B1293">
        <w:rPr>
          <w:rFonts w:cs="Times New Roman"/>
          <w:szCs w:val="24"/>
        </w:rPr>
        <w:fldChar w:fldCharType="separate"/>
      </w:r>
      <w:r w:rsidRPr="001E0537">
        <w:rPr>
          <w:rFonts w:cs="Times New Roman"/>
        </w:rPr>
        <w:t>(Bocquet et al., 2015)</w:t>
      </w:r>
      <w:r w:rsidRPr="002B1293">
        <w:rPr>
          <w:rFonts w:cs="Times New Roman"/>
          <w:szCs w:val="24"/>
        </w:rPr>
        <w:fldChar w:fldCharType="end"/>
      </w:r>
      <w:r w:rsidRPr="002B1293">
        <w:rPr>
          <w:rFonts w:cs="Times New Roman"/>
          <w:szCs w:val="24"/>
        </w:rPr>
        <w:t xml:space="preserve">. </w:t>
      </w:r>
      <w:r w:rsidR="00F016B3">
        <w:rPr>
          <w:rFonts w:cs="Times New Roman"/>
          <w:szCs w:val="24"/>
        </w:rPr>
        <w:t xml:space="preserve">Most </w:t>
      </w:r>
      <w:r w:rsidRPr="002B1293">
        <w:rPr>
          <w:rFonts w:cs="Times New Roman"/>
          <w:szCs w:val="24"/>
        </w:rPr>
        <w:t>of MERRA-2’s aerosol assimilation data comes from MODIS Terra and Aqua, with additional inputs from AERONET.</w:t>
      </w:r>
    </w:p>
    <w:p w14:paraId="3AE5EA5D" w14:textId="5E585783" w:rsidR="00D569D6" w:rsidRPr="00D569D6" w:rsidRDefault="00D569D6" w:rsidP="00924772">
      <w:pPr>
        <w:rPr>
          <w:rFonts w:cs="Times New Roman"/>
          <w:szCs w:val="24"/>
        </w:rPr>
      </w:pPr>
      <w:r w:rsidRPr="002B1293">
        <w:rPr>
          <w:rFonts w:cs="Times New Roman"/>
          <w:szCs w:val="24"/>
        </w:rPr>
        <w:tab/>
        <w:t xml:space="preserve">From the MERRA-2 dataset, an hourly time-averaged single-level assimilation aerosol diagnostics dataset, we used the reanalysis AOD </w:t>
      </w:r>
      <w:r>
        <w:rPr>
          <w:rFonts w:cs="Times New Roman"/>
          <w:szCs w:val="24"/>
        </w:rPr>
        <w:t xml:space="preserve">at 550 nm </w:t>
      </w:r>
      <w:r w:rsidRPr="002B1293">
        <w:rPr>
          <w:rFonts w:cs="Times New Roman"/>
          <w:szCs w:val="24"/>
        </w:rPr>
        <w:t xml:space="preserve">product that is spatially complete and offered at the native resolution of 0.5° x 0.625°. </w:t>
      </w:r>
    </w:p>
    <w:p w14:paraId="71141D87" w14:textId="32D5C077" w:rsidR="00924772" w:rsidRDefault="00924772" w:rsidP="00D61B77">
      <w:pPr>
        <w:pStyle w:val="Heading3"/>
      </w:pPr>
      <w:bookmarkStart w:id="39" w:name="_Toc161431087"/>
      <w:r w:rsidRPr="001F1117">
        <w:t>2.</w:t>
      </w:r>
      <w:r>
        <w:t>2</w:t>
      </w:r>
      <w:r w:rsidRPr="001F1117">
        <w:t>.</w:t>
      </w:r>
      <w:r>
        <w:t xml:space="preserve">4 </w:t>
      </w:r>
      <w:r w:rsidRPr="009B6A50">
        <w:t>AErosol Robotic NETwork (AERONET)</w:t>
      </w:r>
      <w:bookmarkEnd w:id="39"/>
    </w:p>
    <w:p w14:paraId="1D12FE3E" w14:textId="3D7A071A" w:rsidR="00924772" w:rsidRDefault="00924772" w:rsidP="00924772">
      <w:pPr>
        <w:rPr>
          <w:rFonts w:cs="Times New Roman"/>
          <w:szCs w:val="24"/>
        </w:rPr>
      </w:pPr>
      <w:r w:rsidRPr="002B1293">
        <w:rPr>
          <w:rFonts w:cs="Times New Roman"/>
          <w:szCs w:val="24"/>
        </w:rPr>
        <w:tab/>
        <w:t xml:space="preserve">AERONET, is a global federation of ground-based remote sensing aerosol networks. Each site contains a </w:t>
      </w:r>
      <w:r>
        <w:rPr>
          <w:rFonts w:cs="Times New Roman"/>
          <w:szCs w:val="24"/>
        </w:rPr>
        <w:t>Cimel CE-318</w:t>
      </w:r>
      <w:r w:rsidRPr="002B1293">
        <w:rPr>
          <w:rFonts w:cs="Times New Roman"/>
          <w:szCs w:val="24"/>
        </w:rPr>
        <w:t xml:space="preserve"> Photometer</w:t>
      </w:r>
      <w:r>
        <w:rPr>
          <w:rFonts w:cs="Times New Roman"/>
          <w:szCs w:val="24"/>
        </w:rPr>
        <w:t xml:space="preserve"> </w:t>
      </w:r>
      <w:r w:rsidR="00DC3A5A">
        <w:rPr>
          <w:rFonts w:cs="Times New Roman"/>
          <w:szCs w:val="24"/>
        </w:rPr>
        <w:t>which</w:t>
      </w:r>
      <w:r>
        <w:rPr>
          <w:rFonts w:cs="Times New Roman"/>
          <w:szCs w:val="24"/>
        </w:rPr>
        <w:t xml:space="preserve"> retrieve</w:t>
      </w:r>
      <w:r w:rsidR="00DC3A5A">
        <w:rPr>
          <w:rFonts w:cs="Times New Roman"/>
          <w:szCs w:val="24"/>
        </w:rPr>
        <w:t>s</w:t>
      </w:r>
      <w:r>
        <w:rPr>
          <w:rFonts w:cs="Times New Roman"/>
          <w:szCs w:val="24"/>
        </w:rPr>
        <w:t xml:space="preserve"> AOD hourly</w:t>
      </w:r>
      <w:r w:rsidRPr="002B1293">
        <w:rPr>
          <w:rFonts w:cs="Times New Roman"/>
          <w:szCs w:val="24"/>
        </w:rPr>
        <w:t xml:space="preserve">. These AOD retrievals are highly accurate but are only point measurements compared to the </w:t>
      </w:r>
      <w:r w:rsidR="00DC3A5A" w:rsidRPr="002B1293">
        <w:rPr>
          <w:rFonts w:cs="Times New Roman"/>
          <w:szCs w:val="24"/>
        </w:rPr>
        <w:t>area</w:t>
      </w:r>
      <w:r w:rsidR="00DC3A5A">
        <w:rPr>
          <w:rFonts w:cs="Times New Roman"/>
          <w:szCs w:val="24"/>
        </w:rPr>
        <w:t>-averaged</w:t>
      </w:r>
      <w:r w:rsidRPr="002B1293">
        <w:rPr>
          <w:rFonts w:cs="Times New Roman"/>
          <w:szCs w:val="24"/>
        </w:rPr>
        <w:t xml:space="preserve"> AOD retrievals from satellite instruments and reanalysis.</w:t>
      </w:r>
      <w:r>
        <w:rPr>
          <w:rFonts w:cs="Times New Roman"/>
          <w:szCs w:val="24"/>
        </w:rPr>
        <w:t xml:space="preserve"> </w:t>
      </w:r>
      <w:r w:rsidR="00FE007C">
        <w:rPr>
          <w:rFonts w:cs="Times New Roman"/>
          <w:szCs w:val="24"/>
        </w:rPr>
        <w:t xml:space="preserve">The AOD retrievals from AERONET are highly accurate </w:t>
      </w:r>
      <w:r w:rsidR="00FE007C">
        <w:fldChar w:fldCharType="begin"/>
      </w:r>
      <w:r w:rsidR="00BB6527">
        <w:rPr>
          <w:rFonts w:cs="Times New Roman"/>
          <w:szCs w:val="24"/>
        </w:rPr>
        <w:instrText xml:space="preserve"> ADDIN ZOTERO_ITEM CSL_CITATION {"citationID":"YnnxTfnS","properties":{"formattedCitation":"(Holben et al., 1998)","plainCitation":"(Holben et al., 1998)","noteIndex":0},"citationItems":[{"id":508,"uris":["http://zotero.org/groups/4584967/items/RX9ECLM5"],"itemData":{"id":508,"type":"article-journal","abstract":"The concept and description of a remote sensing aerosol monitoring network initiated by NASA, developed to support NASA, CNES, and NASDA’s Earth satellite systems under the name AERONET and expanded by national and international collaboration, is described. Recent development of weather-resistant automatic sun and sky scanning spectral radiometers enable frequent measurements of atmospheric aerosol optical properties and precipitable water at remote sites. Transmission of automatic measurements via the geostationary satellites GOES and METEOSATS’ Data Collection Systems allows reception and processing in near real-time from approximately 75% of the Earth’s surface and with the expected addition of GMS, the coverage will increase to 90% in 1998. NASA developed a UNIX-based near real-time processing, display and analysis system providing internet access to the emerging global database. Information on the system is available on the project homepage, http://spamer.gsfc.nasa.gov. The philosophy of an open access database, centralized processing and a user-friendly graphical interface has contributed to the growth of international cooperation for ground-based aerosol monitoring and imposes a standardization for these measurements. The system’s automatic data acquisition, transmission, and processing facilitates aerosol characterization on local, regional, and global scales with applications to transport and radiation budget studies, radiative transfer-modeling and validation of satellite aerosol retrievals. This article discusses the operation and philosophy of the monitoring system, the precision and accuracy of the measuring radiometers, a brief description of the processing system, and access to the database.","container-title":"Remote Sensing of Environment","DOI":"10.1016/S0034-4257(98)00031-5","ISSN":"0034-4257","issue":"1","journalAbbreviation":"Remote Sensing of Environment","page":"1-16","source":"ScienceDirect","title":"AERONET—A Federated Instrument Network and Data Archive for Aerosol Characterization","volume":"66","author":[{"family":"Holben","given":"B. N."},{"family":"Eck","given":"T. F."},{"family":"Slutsker","given":"I."},{"family":"Tanré","given":"D."},{"family":"Buis","given":"J. P."},{"family":"Setzer","given":"A."},{"family":"Vermote","given":"E."},{"family":"Reagan","given":"J. A."},{"family":"Kaufman","given":"Y. J."},{"family":"Nakajima","given":"T."},{"family":"Lavenu","given":"F."},{"family":"Jankowiak","given":"I."},{"family":"Smirnov","given":"A."}],"issued":{"date-parts":[["1998",10,1]]},"citation-key":"holbenAERONETFederatedInstrument1998"}}],"schema":"https://github.com/citation-style-language/schema/raw/master/csl-citation.json"} </w:instrText>
      </w:r>
      <w:r w:rsidR="00FE007C">
        <w:fldChar w:fldCharType="separate"/>
      </w:r>
      <w:r w:rsidR="00FE007C">
        <w:rPr>
          <w:rFonts w:cs="Times New Roman"/>
        </w:rPr>
        <w:t>(Holben et al., 1998)</w:t>
      </w:r>
      <w:r w:rsidR="00FE007C">
        <w:fldChar w:fldCharType="end"/>
      </w:r>
      <w:r w:rsidR="00FE007C">
        <w:rPr>
          <w:rFonts w:cs="Times New Roman"/>
          <w:szCs w:val="24"/>
        </w:rPr>
        <w:t xml:space="preserve">, but do not reveal much about the spatial distribution of AOD since they are only point measurements </w:t>
      </w:r>
      <w:r w:rsidR="00FE007C">
        <w:fldChar w:fldCharType="begin"/>
      </w:r>
      <w:r w:rsidR="00BB6527">
        <w:rPr>
          <w:rFonts w:cs="Times New Roman"/>
          <w:szCs w:val="24"/>
        </w:rPr>
        <w:instrText xml:space="preserve"> ADDIN ZOTERO_ITEM CSL_CITATION {"citationID":"XrrN3qOn","properties":{"formattedCitation":"(Gupta et al., 2006)","plainCitation":"(Gupta et al., 2006)","noteIndex":0},"citationItems":[{"id":289,"uris":["http://zotero.org/groups/4584967/items/DPH2S5GC"],"itemData":{"id":289,"type":"article-journal","abstract":"Using 1 year of aerosol optical thickness (AOT) retrievals from the MODerate resolution Imaging Spectro-radiometer (MODIS) on board NASA's Terra and Aqua satellite along with ground measurements of PM2.5 mass concentration, we assess particulate matter air quality over different locations across the global urban areas spread over 26 locations in Sydney, Delhi, Hong Kong, New York City and Switzerland. An empirical relationship between AOT and PM2.5 mass is obtained and results show that there is an excellent correlation between the bin-averaged daily mean satellite and ground-based values with a linear correlation coefficient of 0.96. Using meteorological and other ancillary datasets, we assess the effects of wind speed, cloud cover, and mixing height (MH) on particulate matter (PM) air quality and conclude that these data are necessary to further apply satellite data for air quality research. Our study clearly demonstrates that satellite-derived AOT is a good surrogate for monitoring PM air quality over the earth. However, our analysis shows that the PM2.5–AOT relationship strongly depends on aerosol concentrations, ambient relative humidity (RH), fractional cloud cover and height of the mixing layer. Highest correlation between MODIS AOT and PM2.5 mass is found under clear sky conditions with less than 40–50% RH and when atmospheric MH ranges from 100 to 200 m. Future remote sensing sensors such as Cloud-Aerosol Lidar and Infrared Pathfinder Satellite Observations (CALIPSO) that have the capability to provide vertical distribution of aerosols will further enhance our ability to monitor and forecast air pollution. This study is among the first to examine the relationship between satellite and ground measurements over several global locations.","container-title":"Atmospheric Environment","DOI":"10.1016/j.atmosenv.2006.03.016","ISSN":"1352-2310","issue":"30","journalAbbreviation":"Atmospheric Environment","page":"5880-5892","source":"ScienceDirect","title":"Satellite remote sensing of particulate matter and air quality assessment over global cities","volume":"40","author":[{"family":"Gupta","given":"Pawan"},{"family":"Christopher","given":"Sundar A."},{"family":"Wang","given":"Jun"},{"family":"Gehrig","given":"Robert"},{"family":"Lee","given":"Yc"},{"family":"Kumar","given":"Naresh"}],"issued":{"date-parts":[["2006",9]]},"citation-key":"guptaSatelliteRemoteSensing2006"}}],"schema":"https://github.com/citation-style-language/schema/raw/master/csl-citation.json"} </w:instrText>
      </w:r>
      <w:r w:rsidR="00FE007C">
        <w:fldChar w:fldCharType="separate"/>
      </w:r>
      <w:r w:rsidR="00FE007C">
        <w:rPr>
          <w:rFonts w:cs="Times New Roman"/>
        </w:rPr>
        <w:t>(Gupta et al., 2006)</w:t>
      </w:r>
      <w:r w:rsidR="00FE007C">
        <w:fldChar w:fldCharType="end"/>
      </w:r>
      <w:r w:rsidR="00FE007C">
        <w:rPr>
          <w:rFonts w:cs="Times New Roman"/>
          <w:szCs w:val="24"/>
        </w:rPr>
        <w:t xml:space="preserve">. </w:t>
      </w:r>
      <w:r>
        <w:rPr>
          <w:rFonts w:cs="Times New Roman"/>
          <w:szCs w:val="24"/>
        </w:rPr>
        <w:t>AERONET has grown to be a very expansive network, with 462 stations included in our study domain, and is a valuable evaluation and calibration dataset.</w:t>
      </w:r>
      <w:r w:rsidRPr="002B1293">
        <w:rPr>
          <w:rFonts w:cs="Times New Roman"/>
          <w:szCs w:val="24"/>
        </w:rPr>
        <w:t xml:space="preserve"> As such, we used AERONET AOD data </w:t>
      </w:r>
      <w:r w:rsidR="00D02A74">
        <w:rPr>
          <w:rFonts w:cs="Times New Roman"/>
          <w:szCs w:val="24"/>
        </w:rPr>
        <w:t xml:space="preserve">to evaluate </w:t>
      </w:r>
      <w:r w:rsidRPr="002B1293">
        <w:rPr>
          <w:rFonts w:cs="Times New Roman"/>
          <w:szCs w:val="24"/>
        </w:rPr>
        <w:t>the gap-filling model</w:t>
      </w:r>
      <w:r>
        <w:rPr>
          <w:rFonts w:cs="Times New Roman"/>
          <w:szCs w:val="24"/>
        </w:rPr>
        <w:t xml:space="preserve"> but not as input</w:t>
      </w:r>
      <w:r w:rsidRPr="002B1293">
        <w:rPr>
          <w:rFonts w:cs="Times New Roman"/>
          <w:szCs w:val="24"/>
        </w:rPr>
        <w:t>.</w:t>
      </w:r>
    </w:p>
    <w:p w14:paraId="39A10690" w14:textId="4A67C030" w:rsidR="00404C5B" w:rsidRPr="009157AF" w:rsidRDefault="009157AF" w:rsidP="00924772">
      <w:pPr>
        <w:rPr>
          <w:rFonts w:cs="Times New Roman"/>
          <w:szCs w:val="24"/>
        </w:rPr>
      </w:pPr>
      <w:r>
        <w:rPr>
          <w:rFonts w:cs="Times New Roman"/>
          <w:szCs w:val="24"/>
        </w:rPr>
        <w:tab/>
        <w:t>We use AOD</w:t>
      </w:r>
      <w:r>
        <w:rPr>
          <w:rFonts w:cs="Times New Roman"/>
          <w:szCs w:val="24"/>
          <w:vertAlign w:val="subscript"/>
        </w:rPr>
        <w:t>675</w:t>
      </w:r>
      <w:r>
        <w:rPr>
          <w:rFonts w:cs="Times New Roman"/>
          <w:szCs w:val="24"/>
        </w:rPr>
        <w:t xml:space="preserve"> and AE</w:t>
      </w:r>
      <w:r>
        <w:rPr>
          <w:rFonts w:cs="Times New Roman"/>
          <w:szCs w:val="24"/>
          <w:vertAlign w:val="subscript"/>
        </w:rPr>
        <w:t>440-675</w:t>
      </w:r>
      <w:r>
        <w:rPr>
          <w:rFonts w:cs="Times New Roman"/>
          <w:szCs w:val="24"/>
        </w:rPr>
        <w:t xml:space="preserve"> </w:t>
      </w:r>
      <w:r w:rsidR="00D70511">
        <w:rPr>
          <w:rFonts w:cs="Times New Roman"/>
          <w:szCs w:val="24"/>
        </w:rPr>
        <w:t>from AERONET Version 3 Level 2</w:t>
      </w:r>
      <w:r w:rsidR="009C1208">
        <w:rPr>
          <w:rFonts w:cs="Times New Roman"/>
          <w:szCs w:val="24"/>
        </w:rPr>
        <w:t xml:space="preserve"> (quality assurance)</w:t>
      </w:r>
      <w:r w:rsidR="00CE2494">
        <w:rPr>
          <w:rFonts w:cs="Times New Roman"/>
          <w:szCs w:val="24"/>
        </w:rPr>
        <w:t xml:space="preserve"> between 10 a.m. and 2 p.m. local time</w:t>
      </w:r>
      <w:r w:rsidR="00D70511">
        <w:rPr>
          <w:rFonts w:cs="Times New Roman"/>
          <w:szCs w:val="24"/>
        </w:rPr>
        <w:t xml:space="preserve">. </w:t>
      </w:r>
      <w:r w:rsidR="00277EA8">
        <w:rPr>
          <w:rFonts w:cs="Times New Roman"/>
          <w:szCs w:val="24"/>
        </w:rPr>
        <w:t xml:space="preserve">Version 3 offers a </w:t>
      </w:r>
      <w:r w:rsidR="004E210D">
        <w:rPr>
          <w:rFonts w:cs="Times New Roman"/>
          <w:szCs w:val="24"/>
        </w:rPr>
        <w:t xml:space="preserve">number of improvements over Version </w:t>
      </w:r>
      <w:r w:rsidR="004E210D">
        <w:rPr>
          <w:rFonts w:cs="Times New Roman"/>
          <w:szCs w:val="24"/>
        </w:rPr>
        <w:lastRenderedPageBreak/>
        <w:t xml:space="preserve">2, including automatic cloud screening and instrument anomaly quality controls </w:t>
      </w:r>
      <w:r w:rsidR="004E210D">
        <w:rPr>
          <w:rFonts w:cs="Times New Roman"/>
          <w:szCs w:val="24"/>
        </w:rPr>
        <w:fldChar w:fldCharType="begin"/>
      </w:r>
      <w:r w:rsidR="00BB6527">
        <w:rPr>
          <w:rFonts w:cs="Times New Roman"/>
          <w:szCs w:val="24"/>
        </w:rPr>
        <w:instrText xml:space="preserve"> ADDIN ZOTERO_ITEM CSL_CITATION {"citationID":"o1w8I8fb","properties":{"formattedCitation":"(Giles et al., 2019)","plainCitation":"(Giles et al., 2019)","noteIndex":0},"citationItems":[{"id":509,"uris":["http://zotero.org/groups/4584967/items/KF42A2WJ"],"itemData":{"id":509,"type":"article-journal","abstract":"The Aerosol Robotic Network (AERONET) has provided highly accurate, ground-truth measurements of the aerosol optical depth (AOD) using Cimel Electronique Sun–sky radiometers for more than 25 years. In Version 2 (V2) of the AERONET database, the near-real-time AOD was semiautomatically quality controlled utilizing mainly cloud-screening methodology, while additional AOD data contaminated by clouds or affected by instrument anomalies were removed manually before attaining quality-assured status (Level 2.0). The large growth in the number of AERONET sites over the past 25 years resulted in significant burden to the manual quality control of millions of measurements in a consistent manner. The AERONET Version 3 (V3) algorithm provides fully automatic cloud screening and instrument anomaly quality controls. All of these new algorithm updates apply to near-real-time data as well as post-field-deployment processed data, and AERONET reprocessed the database in 2018. A full algorithm redevelopment provided the opportunity to improve data inputs and corrections such as unique filter-specific temperature characterizations for all visible and near-infrared wavelengths, updated gaseous and water vapor absorption coefficients, and ancillary data sets. The Level 2.0 AOD quality-assured data set is now available within a month after post-field calibration, reducing the lag time from up to several months. Near-real-time estimated uncertainty is determined using data qualified as V3 Level 2.0 AOD and considering the difference between the AOD computed with the pre-field calibration and AOD computed with pre-field and post-field calibration. This assessment provides a near-real-time uncertainty estimate for which average differences of AOD suggest a +0.02 bias and one sigma uncertainty of 0.02, spectrally, but the bias and uncertainty can be significantly larger for specific instrument deployments. Long-term monthly averages analyzed for the entire V3 and V2 databases produced average differences (V3–V2) of +0.002 with a ±0.02&amp;thinsp;SD (standard deviation), yet monthly averages calculated using time-matched observations in both databases were analyzed to compute an average difference of −0.002 with a ±0.004&amp;thinsp;SD. The high statistical agreement in multiyear monthly averaged AOD validates the advanced automatic data quality control algorithms and suggests that migrating research to the V3 database will corroborate most V2 research conclusions and likely lead to more accurate results in some cases.","container-title":"Atmospheric Measurement Techniques","DOI":"10.5194/amt-12-169-2019","ISSN":"1867-1381","issue":"1","language":"English","note":"publisher: Copernicus GmbH","page":"169-209","source":"Copernicus Online Journals","title":"Advancements in the Aerosol Robotic Network (AERONET) Version 3 database – automated near-real-time quality control algorithm with improved cloud screening for Sun photometer aerosol optical depth (AOD) measurements","volume":"12","author":[{"family":"Giles","given":"David M."},{"family":"Sinyuk","given":"Alexander"},{"family":"Sorokin","given":"Mikhail G."},{"family":"Schafer","given":"Joel S."},{"family":"Smirnov","given":"Alexander"},{"family":"Slutsker","given":"Ilya"},{"family":"Eck","given":"Thomas F."},{"family":"Holben","given":"Brent N."},{"family":"Lewis","given":"Jasper R."},{"family":"Campbell","given":"James R."},{"family":"Welton","given":"Ellsworth J."},{"family":"Korkin","given":"Sergey V."},{"family":"Lyapustin","given":"Alexei I."}],"issued":{"date-parts":[["2019",1,11]]},"citation-key":"gilesAdvancementsAerosolRobotic2019"}}],"schema":"https://github.com/citation-style-language/schema/raw/master/csl-citation.json"} </w:instrText>
      </w:r>
      <w:r w:rsidR="004E210D">
        <w:rPr>
          <w:rFonts w:cs="Times New Roman"/>
          <w:szCs w:val="24"/>
        </w:rPr>
        <w:fldChar w:fldCharType="separate"/>
      </w:r>
      <w:r w:rsidR="004E210D" w:rsidRPr="004E210D">
        <w:rPr>
          <w:rFonts w:cs="Times New Roman"/>
        </w:rPr>
        <w:t>(Giles et al., 2019)</w:t>
      </w:r>
      <w:r w:rsidR="004E210D">
        <w:rPr>
          <w:rFonts w:cs="Times New Roman"/>
          <w:szCs w:val="24"/>
        </w:rPr>
        <w:fldChar w:fldCharType="end"/>
      </w:r>
      <w:r w:rsidR="00794CAE">
        <w:rPr>
          <w:rFonts w:cs="Times New Roman"/>
          <w:szCs w:val="24"/>
        </w:rPr>
        <w:t xml:space="preserve"> as well as </w:t>
      </w:r>
      <w:r w:rsidR="00592DE7">
        <w:rPr>
          <w:rFonts w:cs="Times New Roman"/>
          <w:szCs w:val="24"/>
        </w:rPr>
        <w:t xml:space="preserve">a higher retention rate of high AOD values </w:t>
      </w:r>
      <w:r w:rsidR="00592DE7">
        <w:rPr>
          <w:rFonts w:cs="Times New Roman"/>
          <w:szCs w:val="24"/>
        </w:rPr>
        <w:fldChar w:fldCharType="begin"/>
      </w:r>
      <w:r w:rsidR="00BB6527">
        <w:rPr>
          <w:rFonts w:cs="Times New Roman"/>
          <w:szCs w:val="24"/>
        </w:rPr>
        <w:instrText xml:space="preserve"> ADDIN ZOTERO_ITEM CSL_CITATION {"citationID":"NLiR5yqB","properties":{"formattedCitation":"(Bhattacharjee et al., 2023)","plainCitation":"(Bhattacharjee et al., 2023)","noteIndex":0},"citationItems":[{"id":652,"uris":["http://zotero.org/groups/4584967/items/9IIPDAEC"],"itemData":{"id":652,"type":"article-journal","abstract":"Abstract The NWS/NCEP recently implemented a new global deterministic aerosol forecast model named the Global Ensemble Forecast Systems Aerosols (GEFS-Aerosols), which is based on the Finite Volume version 3 GFS (FV3GFS). It replaced the operational NOAA Environmental Modeling System (NEMS) GFS Aerosol Component version 2 (NGACv2), which was based on a global spectral model (GSM). GEFS-Aerosols uses aerosol modules from the GOCART previously integrated in the WRF Model with Chemistry (WRF-Chem), FENGSHA dust scheme, and several other updates. In this study, we have extensively evaluated aerosol optical depth (AOD) forecasts from GEFS-Aerosols against various observations over a timespan longer than one year (2019–20). The total AOD improvement (in terms of seasonal mean) in GEFS-Aerosols is about 40% compared to NGACv2 in the fall and winter season of 2019. In terms of aerosol species, the biggest improvement came from the enhanced representation of biomass burning aerosol species as GEFS-Aerosols is able to capture more fire events in southern Africa, South America, and Asia than its predecessor. Dust AODs reproduce the seasonal variation over Africa and the Middle East. We have found that correlation of total AOD over large regions of the globe remains consistent for forecast days 3–5. However, we have found that GEFS-Aerosols generates some systematic positive biases for organic carbon AOD near biomass burning regions and sulfate AOD over prediction over East Asia. The addition of a data assimilation capability to GEFS-Aerosols in the near future is expected to address these biases and provide a positive impact to aerosol forecasts by the model. Significance Statement The purpose of this study is to quantify improvements associated with the newly implemented global aerosol forecast model at NWS/NCEP. The monthly and seasonal variations of AOD forecasts of various aerosol regimes are overall consistent with the observations. Our results provide a guide to downstream regional air quality models like CMAQ that will use GEFS-Aerosols to provide lateral boundary conditions.","container-title":"Weather and Forecasting","DOI":"10.1175/WAF-D-22-0083.1","ISSN":"1520-0434, 0882-8156","issue":"2","language":"EN","note":"publisher: American Meteorological Society\nsection: Weather and Forecasting","page":"225-249","source":"journals.ametsoc.org","title":"Evaluation of Aerosol Optical Depth Forecasts from NOAA’s Global Aerosol Forecast Model (GEFS-Aerosols)","volume":"38","author":[{"family":"Bhattacharjee","given":"Partha S."},{"family":"Zhang","given":"Li"},{"family":"Baker","given":"Barry"},{"family":"Pan","given":"Li"},{"family":"Montuoro","given":"Raffaele"},{"family":"Grell","given":"Georg A."},{"family":"McQueen","given":"Jeffery T."}],"issued":{"date-parts":[["2023",2,2]]},"citation-key":"bhattacharjeeEvaluationAerosolOptical2023"}}],"schema":"https://github.com/citation-style-language/schema/raw/master/csl-citation.json"} </w:instrText>
      </w:r>
      <w:r w:rsidR="00592DE7">
        <w:rPr>
          <w:rFonts w:cs="Times New Roman"/>
          <w:szCs w:val="24"/>
        </w:rPr>
        <w:fldChar w:fldCharType="separate"/>
      </w:r>
      <w:r w:rsidR="00592DE7" w:rsidRPr="00592DE7">
        <w:rPr>
          <w:rFonts w:cs="Times New Roman"/>
        </w:rPr>
        <w:t>(Bhattacharjee et al., 2023)</w:t>
      </w:r>
      <w:r w:rsidR="00592DE7">
        <w:rPr>
          <w:rFonts w:cs="Times New Roman"/>
          <w:szCs w:val="24"/>
        </w:rPr>
        <w:fldChar w:fldCharType="end"/>
      </w:r>
      <w:r w:rsidR="004D39ED">
        <w:rPr>
          <w:rFonts w:cs="Times New Roman"/>
          <w:szCs w:val="24"/>
        </w:rPr>
        <w:t>.</w:t>
      </w:r>
    </w:p>
    <w:p w14:paraId="7CB04964" w14:textId="77777777" w:rsidR="00924772" w:rsidRPr="00601F10" w:rsidRDefault="00924772" w:rsidP="00D61B77">
      <w:pPr>
        <w:pStyle w:val="Heading3"/>
      </w:pPr>
      <w:bookmarkStart w:id="40" w:name="_Toc161431088"/>
      <w:r w:rsidRPr="00601F10">
        <w:t>2.</w:t>
      </w:r>
      <w:r>
        <w:t>2</w:t>
      </w:r>
      <w:r w:rsidRPr="00601F10">
        <w:t>.</w:t>
      </w:r>
      <w:r>
        <w:t>5</w:t>
      </w:r>
      <w:r w:rsidRPr="00601F10">
        <w:t xml:space="preserve"> </w:t>
      </w:r>
      <w:r>
        <w:t>Satellite Remote Sensing of AOD</w:t>
      </w:r>
      <w:bookmarkEnd w:id="40"/>
    </w:p>
    <w:p w14:paraId="57213C1F" w14:textId="2DA9D046" w:rsidR="00924772" w:rsidRPr="004B722A" w:rsidRDefault="00924772" w:rsidP="00924772">
      <w:pPr>
        <w:spacing w:after="240"/>
        <w:ind w:firstLine="720"/>
        <w:rPr>
          <w:rFonts w:eastAsia="Times New Roman" w:cs="Times New Roman"/>
          <w:color w:val="000000"/>
          <w:szCs w:val="24"/>
        </w:rPr>
      </w:pPr>
      <w:r w:rsidRPr="004B722A">
        <w:rPr>
          <w:rFonts w:cs="Times New Roman"/>
          <w:color w:val="000000"/>
          <w:szCs w:val="24"/>
        </w:rPr>
        <w:t>Collection 6.1 (C6.1) was used for Terra and Aqua. DB was chosen over D</w:t>
      </w:r>
      <w:r>
        <w:rPr>
          <w:rFonts w:cs="Times New Roman"/>
          <w:color w:val="000000"/>
          <w:szCs w:val="24"/>
        </w:rPr>
        <w:t>T</w:t>
      </w:r>
      <w:r w:rsidRPr="004B722A">
        <w:rPr>
          <w:rFonts w:cs="Times New Roman"/>
          <w:color w:val="000000"/>
          <w:szCs w:val="24"/>
        </w:rPr>
        <w:t xml:space="preserve"> due to its increased accuracy over bright, reflective surfaces, common in the western U.S</w:t>
      </w:r>
      <w:r>
        <w:rPr>
          <w:rFonts w:cs="Times New Roman"/>
          <w:color w:val="000000"/>
          <w:szCs w:val="24"/>
        </w:rPr>
        <w:t>.</w:t>
      </w:r>
      <w:r w:rsidR="00EE7FAC">
        <w:rPr>
          <w:rFonts w:cs="Times New Roman"/>
          <w:color w:val="000000"/>
          <w:szCs w:val="24"/>
        </w:rPr>
        <w:t>,</w:t>
      </w:r>
      <w:r>
        <w:rPr>
          <w:rFonts w:cs="Times New Roman"/>
          <w:color w:val="000000"/>
          <w:szCs w:val="24"/>
        </w:rPr>
        <w:t xml:space="preserve"> an</w:t>
      </w:r>
      <w:r w:rsidRPr="004B722A">
        <w:rPr>
          <w:rFonts w:cs="Times New Roman"/>
          <w:color w:val="000000"/>
          <w:szCs w:val="24"/>
        </w:rPr>
        <w:t>d better characterization of AOD during smoke</w:t>
      </w:r>
      <w:r>
        <w:rPr>
          <w:rFonts w:cs="Times New Roman"/>
          <w:color w:val="000000"/>
          <w:szCs w:val="24"/>
        </w:rPr>
        <w:t xml:space="preserve"> </w:t>
      </w:r>
      <w:r w:rsidRPr="004B722A">
        <w:rPr>
          <w:rFonts w:cs="Times New Roman"/>
          <w:color w:val="000000"/>
          <w:szCs w:val="24"/>
        </w:rPr>
        <w:fldChar w:fldCharType="begin"/>
      </w:r>
      <w:r w:rsidR="00BB6527">
        <w:rPr>
          <w:rFonts w:cs="Times New Roman"/>
          <w:color w:val="000000"/>
          <w:szCs w:val="24"/>
        </w:rPr>
        <w:instrText xml:space="preserve"> ADDIN ZOTERO_ITEM CSL_CITATION {"citationID":"jXYZTiNS","properties":{"formattedCitation":"(N. C. Hsu et al., 2004; S. Marcela Lor\\uc0\\u237{}a-Salazar et al., 2021)","plainCitation":"(N. C. Hsu et al., 2004; S. Marcela Loría-Salazar et al., 2021)","dontUpdate":true,"noteIndex":0},"citationItems":[{"id":495,"uris":["http://zotero.org/groups/4584967/items/G2JN2YLQ"],"itemData":{"id":495,"type":"article-journal","abstract":"Retrieving aerosol properties from satellite remote sensing over a bright surface is a challenging problem in the research of atmospheric and land applications. In this paper we propose a new approach to retrieve aerosol properties over surfaces such as arid, semiarid, and urban areas, where the surface reflectance is usually very bright in the red part of visible spectrum and in the near infrared, but is much darker in the blue spectral region (i.e., wavelength &lt;500 nm). In order to infer atmospheric properties from these data, a global surface reflectance database of 0.1/spl deg/ latitude by 0.1/spl deg/ longitude resolution was constructed over bright surfaces for visible wavelengths using the minimum reflectivity technique (e.g., finding the clearest scene during each season for a given location). The aerosol optical thickness and aerosol type are then determined simultaneously in the algorithm using lookup tables to match the satellite observed spectral radiances. Examples of aerosol optical thickness derived using this algorithm over the Sahara Desert and Arabian Peninsula reveal various dust sources, which are important contributors to airborne dust transported over long distances. Comparisons of the satellite inferred aerosol optical thickness and the values from ground-based Aerosol Robotic Network (AERONET) sun/sky radiometer measurements indicate good agreement (i.e., within 30%) over the sites in Nigeria and Saudi Arabia. This new algorithm, when applied to Moderate Resolution Imaging Spectroradiometer (MODIS), Sea-viewing Wide Field of view Sensor (SeaWiFS), and Global Imager (GLI) satellite data, will provide high spatial resolution (/spl sim/1 km) global information of aerosol optical thickness over bright surfaces on a daily basis.","container-title":"IEEE Transactions on Geoscience and Remote Sensing","DOI":"10.1109/TGRS.2004.824067","ISSN":"1558-0644","issue":"3","note":"event-title: IEEE Transactions on Geoscience and Remote Sensing","page":"557-569","source":"IEEE Xplore","title":"Aerosol properties over bright-reflecting source regions","volume":"42","author":[{"family":"Hsu","given":"N.C."},{"family":"Tsay","given":"Si-Chee"},{"family":"King","given":"M.D."},{"family":"Herman","given":"J.R."}],"issued":{"date-parts":[["2004",3]]},"citation-key":"hsuAerosolPropertiesBrightreflecting2004"}},{"id":255,"uris":["http://zotero.org/groups/4584967/items/A9XX6HIV"],"itemData":{"id":255,"type":"article-journal","abstract":"We analyze new aerosol products from NASA satellite retrievals over the western USA during August 2013, with special attention to locally generated wildfire smoke and downwind plume structures. Aerosol optical depth (AOD) at 550 nm from MODerate Resolution Imaging Spectroradiometer (MODIS) (Terra and Aqua Collections 6 and 6.1) and Visible Infrared Imaging Radiometer Suite (VIIRS) Deep Blue (DB) and MODIS (Terra and Aqua) Multi-Angle Implementation of Atmospheric Correction (MAIAC) retrievals are evaluated against ground-based AErosol RObotic NETwork (AERONET) observations. We find a significant improvement in correlation with AERONET and other metrics in the latest DB AOD (MODIS C6.1 r2 = 0.75, VIIRS r2 = 0.79) compared to MODIS C6 (r2 = 0.62). In general, MAIAC (r2 = 0.84) and DB (MODIS C6.1 and VIIRS) present similar statistical evaluation metrics for the western USA and are useful tools to characterize aerosol loading associated with wildfire smoke. We also evaluate three novel NASA MODIS plume injection height (PIH) products, one from MAIAC and two from the Aerosol Single scattering albedo and layer Height Estimation (ASHE) (MODIS and VIIRS) algorithm. Both Terra and Aqua MAIAC PIHs statistically agree with ground-based and satellite lidar observations near the fire source, as do ASHE, although the latter is sensitive to assumptions about aerosol absorption properties. We introduce a first-order approximation Smoke Height Boundary Layer Ratio (SHBLR) to qualitatively distinguish between aerosol pollution within the planetary boundary layer and the free troposphere. We summarize the scope, limitations, and suggestions for scientific applications of surface level aerosol concentrations specific to wildfire emissions and smoke plumes using these novel NASA MODIS and VIIRS aerosol products.","container-title":"Journal of Geophysical Research: Atmospheres","DOI":"10.1029/2020JD034180","ISSN":"2169-8996","issue":"11","language":"en","note":"_eprint: https://agupubs.onlinelibrary.wiley.com/doi/pdf/10.1029/2020JD034180","page":"e2020JD034180","source":"Wiley Online Library","title":"Evaluation of Novel NASA Moderate Resolution Imaging Spectroradiometer and Visible Infrared Imaging Radiometer Suite Aerosol Products and Assessment of Smoke Height Boundary Layer Ratio During Extreme Smoke Events in the Western USA","volume":"126","author":[{"family":"Loría-Salazar","given":"S. Marcela"},{"family":"Sayer","given":"A. M."},{"family":"Barnes","given":"John"},{"family":"Huang","given":"Jingting"},{"family":"Flynn","given":"Connor"},{"family":"Lareau","given":"Neil"},{"family":"Lee","given":"Jaehwa"},{"family":"Lyapustin","given":"Alexei"},{"family":"Redemann","given":"Jens"},{"family":"Welton","given":"Ellsworth J."},{"family":"Wilkins","given":"Joseph L."},{"family":"Holmes","given":"Heather A."}],"issued":{"date-parts":[["2021"]]},"citation-key":"loria-salazarEvaluationNovelNASA2021"}}],"schema":"https://github.com/citation-style-language/schema/raw/master/csl-citation.json"} </w:instrText>
      </w:r>
      <w:r w:rsidRPr="004B722A">
        <w:rPr>
          <w:rFonts w:cs="Times New Roman"/>
          <w:color w:val="000000"/>
          <w:szCs w:val="24"/>
        </w:rPr>
        <w:fldChar w:fldCharType="separate"/>
      </w:r>
      <w:r w:rsidRPr="00213574">
        <w:rPr>
          <w:rFonts w:cs="Times New Roman"/>
          <w:szCs w:val="24"/>
        </w:rPr>
        <w:t>(Hsu et al., 2004; Loría-Salazar et al., 2021)</w:t>
      </w:r>
      <w:r w:rsidRPr="004B722A">
        <w:rPr>
          <w:rFonts w:cs="Times New Roman"/>
          <w:color w:val="000000"/>
          <w:szCs w:val="24"/>
        </w:rPr>
        <w:fldChar w:fldCharType="end"/>
      </w:r>
      <w:r w:rsidRPr="004B722A">
        <w:rPr>
          <w:rFonts w:cs="Times New Roman"/>
          <w:color w:val="000000"/>
          <w:szCs w:val="24"/>
        </w:rPr>
        <w:t>. Co</w:t>
      </w:r>
      <w:r w:rsidR="003A48C7">
        <w:rPr>
          <w:rFonts w:cs="Times New Roman"/>
          <w:color w:val="000000"/>
          <w:szCs w:val="24"/>
        </w:rPr>
        <w:t>l</w:t>
      </w:r>
      <w:r w:rsidRPr="004B722A">
        <w:rPr>
          <w:rFonts w:cs="Times New Roman"/>
          <w:color w:val="000000"/>
          <w:szCs w:val="24"/>
        </w:rPr>
        <w:t>l</w:t>
      </w:r>
      <w:r w:rsidR="003A48C7">
        <w:rPr>
          <w:rFonts w:cs="Times New Roman"/>
          <w:color w:val="000000"/>
          <w:szCs w:val="24"/>
        </w:rPr>
        <w:t>ection</w:t>
      </w:r>
      <w:r w:rsidRPr="004B722A">
        <w:rPr>
          <w:rFonts w:cs="Times New Roman"/>
          <w:color w:val="000000"/>
          <w:szCs w:val="24"/>
        </w:rPr>
        <w:t xml:space="preserve"> 6.1 </w:t>
      </w:r>
      <w:r w:rsidR="009D17BA">
        <w:rPr>
          <w:rFonts w:cs="Times New Roman"/>
          <w:color w:val="000000"/>
          <w:szCs w:val="24"/>
        </w:rPr>
        <w:t xml:space="preserve">(C6.1) </w:t>
      </w:r>
      <w:r w:rsidRPr="004B722A">
        <w:rPr>
          <w:rFonts w:cs="Times New Roman"/>
          <w:color w:val="000000"/>
          <w:szCs w:val="24"/>
        </w:rPr>
        <w:t>offers many improvements over Collection 6</w:t>
      </w:r>
      <w:r w:rsidR="009D17BA">
        <w:rPr>
          <w:rFonts w:cs="Times New Roman"/>
          <w:color w:val="000000"/>
          <w:szCs w:val="24"/>
        </w:rPr>
        <w:t xml:space="preserve"> (C6)</w:t>
      </w:r>
      <w:r w:rsidRPr="004B722A">
        <w:rPr>
          <w:rFonts w:cs="Times New Roman"/>
          <w:color w:val="000000"/>
          <w:szCs w:val="24"/>
        </w:rPr>
        <w:t>, including better radiometric calibration, heavy smoke detection, artifact reduction over heterogeneous terrain, improved surface modeling for elevated terrain, bug fixes, and updated regional/seasonal aerosol optical models</w:t>
      </w:r>
      <w:r>
        <w:rPr>
          <w:rFonts w:cs="Times New Roman"/>
          <w:color w:val="000000"/>
          <w:szCs w:val="24"/>
        </w:rPr>
        <w:t xml:space="preserve"> </w:t>
      </w:r>
      <w:r w:rsidRPr="004B722A">
        <w:rPr>
          <w:rFonts w:cs="Times New Roman"/>
          <w:color w:val="000000"/>
          <w:szCs w:val="24"/>
        </w:rPr>
        <w:fldChar w:fldCharType="begin"/>
      </w:r>
      <w:r w:rsidR="00BB6527">
        <w:rPr>
          <w:rFonts w:cs="Times New Roman"/>
          <w:color w:val="000000"/>
          <w:szCs w:val="24"/>
        </w:rPr>
        <w:instrText xml:space="preserve"> ADDIN ZOTERO_ITEM CSL_CITATION {"citationID":"Vu71FQd1","properties":{"formattedCitation":"(J. Wei et al., 2019)","plainCitation":"(J. Wei et al., 2019)","dontUpdate":true,"noteIndex":0},"citationItems":[{"id":494,"uris":["http://zotero.org/groups/4584967/items/Q576MPHF"],"itemData":{"id":494,"type":"article-journal","abstract":"Fine particulate matter (PM2.5) is closely related to the atmospheric environment and human life. Satellite-based aerosol optical depth (AOD) products have been widely applied in estimating daily PM2.5 concentrations over large areas using statistical regression models. However, they are often given at coarse spatial resolutions which limit their applications in small or medium scales. This study aims to produce PM2.5 concentrations at a high spatial resolution (1 km) across China based on the newly released Moderate Resolution Imaging Spectroradiometer (MODIS) Collection 6 Multi-Angle Implementation of Atmospheric Correction (MAIAC) AOD product using a newly developed space-time random forest (STRF) model. Daily PM2.5 concentrations for 2016 were estimated from in-situ surface PM2.5 measurements, and meteorological and ancillary variables. The 10-fold cross-validation (CV) approach and three popular models, including the multiple linear regression model, the geographically weighted regression model, and the two-stage model, are employed for validation and cross-comparison. A sample-based CV of the STRF model shows a high and stable accuracy with a coefficient of determination equal to 0.85, a root-mean-square error of 15.57 μg m−3, and a mean prediction error of 9.77 μg m−3. This finding suggests that the STRF model can predict PM2.5 daily, monthly, and annual concentrations at an unprecedented spatial resolution and accuracy across China. It also appears to have outperformed the above popular models and the previous related studies. In general, the STRF model is robust and can accurately estimate PM2.5 concentrations by taking advantage of the ensemble regression approach, the synergy of space-time information, and the high-resolution, high-quality, and wide-spatial-coverage of the MAIAC AOD product. It may thus also be useful for applications in related air pollution studies, especially those focused on urban areas.","container-title":"Remote Sensing of Environment","DOI":"10.1016/j.rse.2019.111221","ISSN":"0034-4257","journalAbbreviation":"Remote Sensing of Environment","page":"111221","source":"ScienceDirect","title":"Estimating 1-km-resolution PM2.5 concentrations across China using the space-time random forest approach","volume":"231","author":[{"family":"Wei","given":"Jing"},{"family":"Huang","given":"Wei"},{"family":"Li","given":"Zhanqing"},{"family":"Xue","given":"Wenhao"},{"family":"Peng","given":"Yiran"},{"family":"Sun","given":"Lin"},{"family":"Cribb","given":"Maureen"}],"issued":{"date-parts":[["2019",9,15]]},"citation-key":"weiEstimating1kmresolutionPM22019"}}],"schema":"https://github.com/citation-style-language/schema/raw/master/csl-citation.json"} </w:instrText>
      </w:r>
      <w:r w:rsidRPr="004B722A">
        <w:rPr>
          <w:rFonts w:cs="Times New Roman"/>
          <w:color w:val="000000"/>
          <w:szCs w:val="24"/>
        </w:rPr>
        <w:fldChar w:fldCharType="separate"/>
      </w:r>
      <w:r w:rsidR="0035615F" w:rsidRPr="0035615F">
        <w:rPr>
          <w:rFonts w:cs="Times New Roman"/>
        </w:rPr>
        <w:t>(Wei et al., 2019)</w:t>
      </w:r>
      <w:r w:rsidRPr="004B722A">
        <w:rPr>
          <w:rFonts w:cs="Times New Roman"/>
          <w:color w:val="000000"/>
          <w:szCs w:val="24"/>
        </w:rPr>
        <w:fldChar w:fldCharType="end"/>
      </w:r>
      <w:r w:rsidRPr="004B722A">
        <w:rPr>
          <w:rFonts w:cs="Times New Roman"/>
          <w:color w:val="000000"/>
          <w:szCs w:val="24"/>
        </w:rPr>
        <w:t xml:space="preserve">. </w:t>
      </w:r>
      <w:r w:rsidR="00371EDD">
        <w:rPr>
          <w:rFonts w:cs="Times New Roman"/>
          <w:color w:val="000000"/>
          <w:szCs w:val="24"/>
        </w:rPr>
        <w:t>We used the</w:t>
      </w:r>
      <w:r w:rsidRPr="004B722A">
        <w:rPr>
          <w:rFonts w:cs="Times New Roman"/>
          <w:color w:val="000000"/>
          <w:szCs w:val="24"/>
        </w:rPr>
        <w:t xml:space="preserve"> DB AOD</w:t>
      </w:r>
      <w:r w:rsidR="00371EDD">
        <w:rPr>
          <w:rFonts w:cs="Times New Roman"/>
          <w:color w:val="000000"/>
          <w:szCs w:val="24"/>
        </w:rPr>
        <w:t xml:space="preserve"> at 550 nm</w:t>
      </w:r>
      <w:r w:rsidRPr="004B722A">
        <w:rPr>
          <w:rFonts w:cs="Times New Roman"/>
          <w:color w:val="000000"/>
          <w:szCs w:val="24"/>
        </w:rPr>
        <w:t xml:space="preserve"> from C6.1</w:t>
      </w:r>
      <w:r w:rsidR="00371EDD">
        <w:rPr>
          <w:rFonts w:cs="Times New Roman"/>
          <w:color w:val="000000"/>
          <w:szCs w:val="24"/>
        </w:rPr>
        <w:t>, which is</w:t>
      </w:r>
      <w:r w:rsidRPr="004B722A">
        <w:rPr>
          <w:rFonts w:cs="Times New Roman"/>
          <w:color w:val="000000"/>
          <w:szCs w:val="24"/>
        </w:rPr>
        <w:t xml:space="preserve"> given at a resolution of 10 km x 10 km</w:t>
      </w:r>
      <w:r w:rsidRPr="004B722A">
        <w:rPr>
          <w:rFonts w:cs="Times New Roman"/>
          <w:color w:val="000000"/>
          <w:szCs w:val="24"/>
          <w:vertAlign w:val="superscript"/>
        </w:rPr>
        <w:t>2</w:t>
      </w:r>
      <w:r w:rsidRPr="004B722A">
        <w:rPr>
          <w:rFonts w:cs="Times New Roman"/>
          <w:color w:val="000000"/>
          <w:szCs w:val="24"/>
        </w:rPr>
        <w:t>.</w:t>
      </w:r>
    </w:p>
    <w:p w14:paraId="3EDDDF4D" w14:textId="24AAAD8D" w:rsidR="00924772" w:rsidRDefault="00924772" w:rsidP="00C221C5">
      <w:pPr>
        <w:ind w:firstLine="720"/>
        <w:rPr>
          <w:rFonts w:cs="Times New Roman"/>
          <w:color w:val="000000"/>
          <w:szCs w:val="24"/>
        </w:rPr>
      </w:pPr>
      <w:r w:rsidRPr="004B722A">
        <w:rPr>
          <w:rFonts w:cs="Times New Roman"/>
          <w:color w:val="000000"/>
          <w:szCs w:val="24"/>
        </w:rPr>
        <w:t>For VIIRS, the Version 1 dataset was used. This collection was chosen over the more recently released Version 2 because Version 1 DB AOD is algorithmically identical to the Terra and Aqua C6.1 DB AOD</w:t>
      </w:r>
      <w:r>
        <w:rPr>
          <w:rFonts w:cs="Times New Roman"/>
          <w:color w:val="000000"/>
          <w:szCs w:val="24"/>
        </w:rPr>
        <w:t xml:space="preserve"> </w:t>
      </w:r>
      <w:r w:rsidRPr="004B722A">
        <w:rPr>
          <w:rFonts w:eastAsia="Times New Roman" w:cs="Times New Roman"/>
          <w:color w:val="000000"/>
          <w:szCs w:val="24"/>
        </w:rPr>
        <w:fldChar w:fldCharType="begin"/>
      </w:r>
      <w:r w:rsidR="00BB6527">
        <w:rPr>
          <w:rFonts w:cs="Times New Roman"/>
          <w:color w:val="000000"/>
          <w:szCs w:val="24"/>
        </w:rPr>
        <w:instrText xml:space="preserve"> ADDIN ZOTERO_ITEM CSL_CITATION {"citationID":"id1h1t3L","properties":{"formattedCitation":"(J. Lee et al., 2016)","plainCitation":"(J. Lee et al., 2016)","dontUpdate":true,"noteIndex":0},"citationItems":[{"id":253,"uris":["http://zotero.org/groups/4584967/items/X2IBFR6C"],"itemData":{"id":253,"type":"article-journal","abstract":"ABSTRACTThis study evaluates the height of biomass burning smoke aerosols retrieved from a combined use of Visible Infrared Imaging Radiometer Suite (VIIRS), Ozone Mapping and Profiler Suite (OMPS), and Cloud-Aerosol Lidar with Orthogonal Polarization (CALIOP) observations. The retrieved heights are compared against spaceborne and ground-based lidar measurements during the peak biomass burning season (March and April) over Southeast Asia from 2013 to 2015. Based on the comparison against CALIOP, a quality assurance (QA) procedure is developed. It is found that 74% (81–84%) of the retrieved heights fall within 1 km of CALIOP observations for unfiltered (QA-filtered) data, with root-mean-square error (RMSE) of 1.1 km (0.8–1.0 km). Eliminating the requirement for CALIOP observations from the retrieval process significantly increases the temporal coverage with only a slight decrease in the retrieval accuracy; for best QA data, 64% of data fall within 1 km of CALIOP observations with RMSE of 1.1 km. When compared with Micro-Pulse Lidar Network (MPLNET) measurements deployed at Doi Ang Khang, Thailand, the retrieved heights show RMSE of 1.7 km (1.1 km) for unfiltered (QA-filtered) data for the complete algorithm, and 0.9 km (0.8 km) for the simplified algorithm.","container-title":"Aerosol and Air Quality Research","DOI":"10.4209/aaqr.2015.08.0506","ISSN":"2071-1409","issue":"11","journalAbbreviation":"Aerosol Air Qual. Res.","language":"en","note":"publisher: Taiwan Association for Aerosol Research","page":"2831-2842","source":"aaqr.org","title":"Evaluating the Height of Biomass Burning Smoke Aerosols Retrieved from Synergistic Use of Multiple Satellite Sensors over Southeast Asia","volume":"16","author":[{"family":"Lee","given":"Jaehwa"},{"family":"Hsu","given":"N. Christina"},{"family":"Bettenhausen","given":"Corey"},{"family":"Sayer","given":"A. M."},{"family":"Seftor","given":"Colin J."},{"family":"Jeong","given":"Myeong-Jae"},{"family":"Tsay","given":"Si-Chee"},{"family":"Welton","given":"Ellsworth J."},{"family":"Wang","given":"Sheng-Hsiang"},{"family":"Chen","given":"Wei-Nai"}],"issued":{"date-parts":[["2016"]]},"citation-key":"leeEvaluatingHeightBiomass2016"}}],"schema":"https://github.com/citation-style-language/schema/raw/master/csl-citation.json"} </w:instrText>
      </w:r>
      <w:r w:rsidRPr="004B722A">
        <w:rPr>
          <w:rFonts w:eastAsia="Times New Roman" w:cs="Times New Roman"/>
          <w:color w:val="000000"/>
          <w:szCs w:val="24"/>
        </w:rPr>
        <w:fldChar w:fldCharType="separate"/>
      </w:r>
      <w:r w:rsidR="00103766">
        <w:rPr>
          <w:rFonts w:cs="Times New Roman"/>
        </w:rPr>
        <w:t>(</w:t>
      </w:r>
      <w:r w:rsidRPr="0054081F">
        <w:rPr>
          <w:rFonts w:cs="Times New Roman"/>
        </w:rPr>
        <w:t>Lee et al., 2016)</w:t>
      </w:r>
      <w:r w:rsidRPr="004B722A">
        <w:rPr>
          <w:rFonts w:eastAsia="Times New Roman" w:cs="Times New Roman"/>
          <w:color w:val="000000"/>
          <w:szCs w:val="24"/>
        </w:rPr>
        <w:fldChar w:fldCharType="end"/>
      </w:r>
      <w:r w:rsidRPr="004B722A">
        <w:rPr>
          <w:rFonts w:cs="Times New Roman"/>
          <w:color w:val="000000"/>
          <w:szCs w:val="24"/>
        </w:rPr>
        <w:t xml:space="preserve">. This allows for a simple average to be taken over the data collected from the three satellites, which will be used as a training target and discussed later. In addition to the AOD retrievals, the model was given three supplemental aerosol variables collected by VIIRS. </w:t>
      </w:r>
      <w:r w:rsidR="00024D59">
        <w:rPr>
          <w:rFonts w:cs="Times New Roman"/>
          <w:color w:val="000000"/>
          <w:szCs w:val="24"/>
        </w:rPr>
        <w:t>The DB AOD data from Version 1 is given at a 6 x 6 km</w:t>
      </w:r>
      <w:r w:rsidR="00024D59">
        <w:rPr>
          <w:rFonts w:cs="Times New Roman"/>
          <w:color w:val="000000"/>
          <w:szCs w:val="24"/>
          <w:vertAlign w:val="superscript"/>
        </w:rPr>
        <w:t>2</w:t>
      </w:r>
      <w:r w:rsidR="00024D59">
        <w:rPr>
          <w:rFonts w:cs="Times New Roman"/>
          <w:color w:val="000000"/>
          <w:szCs w:val="24"/>
          <w:vertAlign w:val="subscript"/>
        </w:rPr>
        <w:t xml:space="preserve"> </w:t>
      </w:r>
      <w:r w:rsidR="00024D59" w:rsidRPr="00024D59">
        <w:rPr>
          <w:rFonts w:cs="Times New Roman"/>
          <w:color w:val="000000"/>
          <w:szCs w:val="24"/>
        </w:rPr>
        <w:t>resolution</w:t>
      </w:r>
      <w:r w:rsidR="00024D59">
        <w:rPr>
          <w:rFonts w:cs="Times New Roman"/>
          <w:color w:val="000000"/>
          <w:szCs w:val="24"/>
          <w:vertAlign w:val="subscript"/>
        </w:rPr>
        <w:t>.</w:t>
      </w:r>
      <w:r w:rsidR="00024D59">
        <w:rPr>
          <w:rFonts w:cs="Times New Roman"/>
          <w:color w:val="000000"/>
          <w:szCs w:val="24"/>
        </w:rPr>
        <w:t xml:space="preserve"> </w:t>
      </w:r>
      <w:r w:rsidRPr="004B722A">
        <w:rPr>
          <w:rFonts w:cs="Times New Roman"/>
          <w:color w:val="000000"/>
          <w:szCs w:val="24"/>
        </w:rPr>
        <w:t xml:space="preserve">The first is aerosol type, a categorical variable with </w:t>
      </w:r>
      <w:r>
        <w:rPr>
          <w:rFonts w:cs="Times New Roman"/>
          <w:color w:val="000000"/>
          <w:szCs w:val="24"/>
        </w:rPr>
        <w:t>nine</w:t>
      </w:r>
      <w:r w:rsidRPr="004B722A">
        <w:rPr>
          <w:rFonts w:cs="Times New Roman"/>
          <w:color w:val="000000"/>
          <w:szCs w:val="24"/>
        </w:rPr>
        <w:t xml:space="preserve"> levels: no retrieval, dust, smoke, high altitude smoke, pyrocumulonimbus clouds, non-smoke fine mode, mixed (land and ocean), background (land and ocean maritime), and fine dominated.  The second is the algorithm flag over land, a categorical variable with </w:t>
      </w:r>
      <w:r>
        <w:rPr>
          <w:rFonts w:cs="Times New Roman"/>
          <w:color w:val="000000"/>
          <w:szCs w:val="24"/>
        </w:rPr>
        <w:t>four</w:t>
      </w:r>
      <w:r w:rsidRPr="004B722A">
        <w:rPr>
          <w:rFonts w:cs="Times New Roman"/>
          <w:color w:val="000000"/>
          <w:szCs w:val="24"/>
        </w:rPr>
        <w:t xml:space="preserve"> levels: no retrieval, arid DB, vegetated, and mixed. The last is the algorithm flag over </w:t>
      </w:r>
      <w:r>
        <w:rPr>
          <w:rFonts w:cs="Times New Roman"/>
          <w:color w:val="000000"/>
          <w:szCs w:val="24"/>
        </w:rPr>
        <w:t xml:space="preserve">the </w:t>
      </w:r>
      <w:r w:rsidRPr="004B722A">
        <w:rPr>
          <w:rFonts w:cs="Times New Roman"/>
          <w:color w:val="000000"/>
          <w:szCs w:val="24"/>
        </w:rPr>
        <w:t xml:space="preserve">ocean, a categorical variable with </w:t>
      </w:r>
      <w:r>
        <w:rPr>
          <w:rFonts w:cs="Times New Roman"/>
          <w:color w:val="000000"/>
          <w:szCs w:val="24"/>
        </w:rPr>
        <w:t>four</w:t>
      </w:r>
      <w:r w:rsidRPr="004B722A">
        <w:rPr>
          <w:rFonts w:cs="Times New Roman"/>
          <w:color w:val="000000"/>
          <w:szCs w:val="24"/>
        </w:rPr>
        <w:t xml:space="preserve"> levels: no retrieval, </w:t>
      </w:r>
      <w:r w:rsidRPr="004B722A">
        <w:rPr>
          <w:rFonts w:cs="Times New Roman"/>
          <w:color w:val="000000"/>
          <w:szCs w:val="24"/>
        </w:rPr>
        <w:lastRenderedPageBreak/>
        <w:t>full retrieval, turbid/shallow, and mixed</w:t>
      </w:r>
      <w:r w:rsidRPr="004B722A">
        <w:rPr>
          <w:rFonts w:eastAsia="Times New Roman" w:cs="Times New Roman"/>
          <w:color w:val="000000"/>
          <w:szCs w:val="24"/>
        </w:rPr>
        <w:fldChar w:fldCharType="begin"/>
      </w:r>
      <w:r w:rsidR="00BB6527">
        <w:rPr>
          <w:rFonts w:cs="Times New Roman"/>
          <w:color w:val="000000"/>
          <w:szCs w:val="24"/>
        </w:rPr>
        <w:instrText xml:space="preserve"> ADDIN ZOTERO_ITEM CSL_CITATION {"citationID":"cjrzYatt","properties":{"formattedCitation":"(N. C. Hsu et al., 2019; A. M. Sayer et al., 2018)","plainCitation":"(N. C. Hsu et al., 2019; A. M. Sayer et al., 2018)","dontUpdate":true,"noteIndex":0},"citationItems":[{"id":357,"uris":["http://zotero.org/groups/4584967/items/ZW5KD32D"],"itemData":{"id":357,"type":"article-journal","abstract":"A primary goal of the Deep Blue (DB) project is to create consistent long-term aerosol data records, suitable for climate studies, using multiple satellite instruments. In order to continue Earth Observing System (EOS)-era aerosol products into the Joint Polar Satellite System era, we have successfully ported the DB algorithm to process data from the Visible Infrared Imaging Radiometer Suite (VIIRS). Although the basic structure of the VIIRS algorithm is similar to that for the Moderate Resolution Imaging Spectroradiometer (MODIS), many enhancements have been made compared to the MODIS collection 6 (C6) version. Most have also been implemented in the latest MODIS Collection 6.1 (C6.1). For example, a new smoke mask was developed based on the spectral curvature of measured reflectance to distinguish biomass burning smoke from weakly absorbing urban/industrial aerosols. Consequently, a new aerosol-type flag was added into the VIIRS DB data set. In addition, new dust models have been developed to account for the nonsphericity of mineral dust. As a result, a discontinuity in the retrieved aerosol optical depth (AOD) of Saharan dust plumes seen in MODIS C6 products near the boundary between North Africa and the Atlantic has been much reduced. We have also evaluated the VIIRS and MODIS Terra/Aqua C6.1 AOD against Aerosol Robotic Network data. VIIRS and MODIS retrievals show similar performance; around 80% of matchups agree with Aerosol Robotic Network within the expected error of ±(0.05 + 20)%, indicating that DB can provide consistent AOD through the historical EOS and present Joint Polar Satellite System eras.","container-title":"Journal of Geophysical Research: Atmospheres","DOI":"10.1029/2018JD029688","ISSN":"2169-8996","issue":"7","language":"en","license":"Published 2019. This article is a US Government work and is in the public domain in the USA.","page":"4026-4053","source":"Wiley Online Library","title":"VIIRS Deep Blue Aerosol Products Over Land: Extending the EOS Long-Term Aerosol Data Records","title-short":"VIIRS Deep Blue Aerosol Products Over Land","volume":"124","author":[{"family":"Hsu","given":"N. C."},{"family":"Lee","given":"J."},{"family":"Sayer","given":"A. M."},{"family":"Kim","given":"W."},{"family":"Bettenhausen","given":"C."},{"family":"Tsay","given":"S.-C."}],"issued":{"date-parts":[["2019"]]},"citation-key":"hsuVIIRSDeepBlue2019"}},{"id":343,"uris":["http://zotero.org/groups/4584967/items/8DW4S2EJ"],"itemData":{"id":343,"type":"article-journal","abstract":"This study validates aerosol properties retrieved using a Satellite Ocean Aerosol Retrieval (SOAR) algorithm applied to Visible Infrared Imaging Radiometer Suite (VIIRS) measurements, from Version 1 of the VIIRS Deep Blue data set. SOAR is the over-water complement to the over-land Deep Blue algorithm and has two processing paths: globally, 95% of pixels are processed with the full retrieval algorithm, while the 5% of pixels in shallow or turbid (mostly coastal) waters are processed with a backup algorithm. Aerosol Robotic Network (AERONET) data are used to validate and compare the midvisible (550 nm) aerosol optical depth (AOD), Ångström exponent (AE), and fine mode fraction of AOD at 550 nm (FMF). AOD uncertainty is shown to be approximately ±(0.03 + 10%) for the full and ±(0.03 + 15%) for the backup algorithms, with a small positive median bias around 0.02. When AOD is below about 0.2, the AE and FMF have small negative offsets from AERONET around −0.15 and −0.04, respectively. For higher AOD, AE is less offset and the magnitudes of differences versus AERONET are about ±0.2 and ±0.14, respectively. Aerosol-type classifications provided by SOAR are found to be reasonable, matching optical-based classifications from AERONET over 80% of the time. Spatial and temporal patterns of AOD and AE are also compared with those of other contemporary over-water satellite aerosol data sets; dependent on region, the satellite data sets show varying levels of consistency, with SOAR broadly in-family, and the largest discrepancies in regions with persistent heavy cloud cover.","container-title":"Journal of Geophysical Research: Atmospheres","DOI":"10.1029/2018JD029465","ISSN":"2169-8996","issue":"23","language":"en","license":"©2018. American Geophysical Union. All Rights Reserved.","page":"13,496-13,526","source":"Wiley Online Library","title":"Validation of SOAR VIIRS Over-Water Aerosol Retrievals and Context Within the Global Satellite Aerosol Data Record","volume":"123","author":[{"family":"Sayer","given":"A. M."},{"family":"Hsu","given":"N. Christina"},{"family":"Lee","given":"Jaehwa"},{"family":"Kim","given":"Woogyung V."},{"family":"Dubovik","given":"Oleg"},{"family":"Dutcher","given":"Steven T."},{"family":"Huang","given":"Dong"},{"family":"Litvinov","given":"Pavel"},{"family":"Lyapustin","given":"Alexei"},{"family":"Tackett","given":"Jason L."},{"family":"Winker","given":"David M."}],"issued":{"date-parts":[["2018"]]},"citation-key":"sayerValidationSOARVIIRS2018"}}],"schema":"https://github.com/citation-style-language/schema/raw/master/csl-citation.json"} </w:instrText>
      </w:r>
      <w:r w:rsidRPr="004B722A">
        <w:rPr>
          <w:rFonts w:eastAsia="Times New Roman" w:cs="Times New Roman"/>
          <w:color w:val="000000"/>
          <w:szCs w:val="24"/>
        </w:rPr>
        <w:fldChar w:fldCharType="separate"/>
      </w:r>
      <w:r w:rsidR="00CF4500" w:rsidRPr="00CF4500">
        <w:rPr>
          <w:rFonts w:cs="Times New Roman"/>
        </w:rPr>
        <w:t>(Hsu et al., 2019; Sayer et al., 2018)</w:t>
      </w:r>
      <w:r w:rsidRPr="004B722A">
        <w:rPr>
          <w:rFonts w:eastAsia="Times New Roman" w:cs="Times New Roman"/>
          <w:color w:val="000000"/>
          <w:szCs w:val="24"/>
        </w:rPr>
        <w:fldChar w:fldCharType="end"/>
      </w:r>
      <w:r w:rsidRPr="004B722A">
        <w:rPr>
          <w:rFonts w:cs="Times New Roman"/>
          <w:color w:val="000000"/>
          <w:szCs w:val="24"/>
        </w:rPr>
        <w:t xml:space="preserve">. These additional variables were included </w:t>
      </w:r>
      <w:r>
        <w:rPr>
          <w:rFonts w:cs="Times New Roman"/>
          <w:color w:val="000000"/>
          <w:szCs w:val="24"/>
        </w:rPr>
        <w:t>to provide</w:t>
      </w:r>
      <w:r w:rsidRPr="004B722A">
        <w:rPr>
          <w:rFonts w:cs="Times New Roman"/>
          <w:color w:val="000000"/>
          <w:szCs w:val="24"/>
        </w:rPr>
        <w:t xml:space="preserve"> the model with further information to track </w:t>
      </w:r>
      <w:r w:rsidR="00AB7309">
        <w:rPr>
          <w:rFonts w:cs="Times New Roman"/>
          <w:color w:val="000000"/>
          <w:szCs w:val="24"/>
        </w:rPr>
        <w:t xml:space="preserve">aerosol </w:t>
      </w:r>
      <w:r w:rsidRPr="004B722A">
        <w:rPr>
          <w:rFonts w:cs="Times New Roman"/>
          <w:color w:val="000000"/>
          <w:szCs w:val="24"/>
        </w:rPr>
        <w:t>transport and</w:t>
      </w:r>
      <w:r w:rsidR="00AB7309">
        <w:rPr>
          <w:rFonts w:cs="Times New Roman"/>
          <w:color w:val="000000"/>
          <w:szCs w:val="24"/>
        </w:rPr>
        <w:t xml:space="preserve"> evolution</w:t>
      </w:r>
      <w:r w:rsidRPr="004B722A">
        <w:rPr>
          <w:rFonts w:cs="Times New Roman"/>
          <w:color w:val="000000"/>
          <w:szCs w:val="24"/>
        </w:rPr>
        <w:t>.</w:t>
      </w:r>
    </w:p>
    <w:p w14:paraId="60CC580D" w14:textId="77777777" w:rsidR="00924772" w:rsidRDefault="00924772" w:rsidP="00D7159E">
      <w:pPr>
        <w:pStyle w:val="Heading3"/>
      </w:pPr>
      <w:bookmarkStart w:id="41" w:name="_Toc161431089"/>
      <w:r>
        <w:t>2.2.6 Fire Radiative Power (FRP)</w:t>
      </w:r>
      <w:bookmarkEnd w:id="41"/>
    </w:p>
    <w:p w14:paraId="1A5AC4B7" w14:textId="2F72BA01" w:rsidR="00924772" w:rsidRPr="000A71B5" w:rsidRDefault="00924772" w:rsidP="00924772">
      <w:pPr>
        <w:pStyle w:val="NormalWeb"/>
        <w:spacing w:before="0" w:beforeAutospacing="0" w:after="0" w:afterAutospacing="0" w:line="480" w:lineRule="auto"/>
      </w:pPr>
      <w:r>
        <w:rPr>
          <w:color w:val="000000"/>
        </w:rPr>
        <w:tab/>
        <w:t xml:space="preserve">Fire radiative power (FRP) retrieved from MODIS Terra and Aqua </w:t>
      </w:r>
      <w:r>
        <w:rPr>
          <w:color w:val="000000"/>
        </w:rPr>
        <w:fldChar w:fldCharType="begin"/>
      </w:r>
      <w:r w:rsidR="00BB6527">
        <w:rPr>
          <w:color w:val="000000"/>
        </w:rPr>
        <w:instrText xml:space="preserve"> ADDIN ZOTERO_ITEM CSL_CITATION {"citationID":"LqA4FC2A","properties":{"formattedCitation":"(Giglio et al., 2016)","plainCitation":"(Giglio et al., 2016)","noteIndex":0},"citationItems":[{"id":492,"uris":["http://zotero.org/groups/4584967/items/LMXUJSV5"],"itemData":{"id":492,"type":"article-journal","abstract":"The two Moderate Resolution Imaging Spectroradiometer (MODIS) instruments, on-board NASA's Terra and Aqua satellites, have provided more than a decade of global fire data. Here we describe improvements made to the fire detection algorithm and swath-level product that were implemented as part of the Collection 6 land-product reprocessing, which commenced in May 2015. The updated algorithm is intended to address limitations observed with the previous Collection 5 fire product, notably the occurrence of false alarms caused by small forest clearings, and the omission of large fires obscured by thick smoke. Processing was also expanded to oceans and other large water bodies to facilitate monitoring of offshore gas flaring. Additionally, fire radiative power (FRP) is now retrieved using a radiance-based approach, generally decreasing FRP for all but the comparatively small fraction of high intensity fire pixels. We performed a Stage-3 validation of the Collection 5 and Collection 6 Terra MODIS fire products using reference fire maps derived from more than 2500 high-resolution Advanced Spaceborne Thermal Emission and Reflection Radiometer (ASTER) images. Our results indicated targeted improvements in the performance of the Collection 6 active fire detection algorithm compared to Collection 5, with reduced omission errors over large fires, and reduced false alarm rates in tropical ecosystems. Overall, the MOD14 Collection 6 daytime global commission error was 1.2%, compared to 2.4% in Collection 5. Regionally, the probability of detection for Collection 6 exhibited a ~3% absolute increase in Boreal North America and Boreal Asia compared to Collection 5, a ~1% absolute increase in Equatorial Asia and Central Asia, a ~1% absolute decrease in South America above the Equator, and little or no change in the remaining regions considered. Not unexpectedly, the observed variability in the probability of detection was strongly driven by regional differences in fire size. Overall, there was a net improvement in Collection 6 algorithm performance globally.","container-title":"Remote Sensing of Environment","DOI":"10.1016/j.rse.2016.02.054","ISSN":"0034-4257","journalAbbreviation":"Remote Sensing of Environment","page":"31-41","source":"ScienceDirect","title":"The collection 6 MODIS active fire detection algorithm and fire products","volume":"178","author":[{"family":"Giglio","given":"Louis"},{"family":"Schroeder","given":"Wilfrid"},{"family":"Justice","given":"Christopher O."}],"issued":{"date-parts":[["2016",6,1]]},"citation-key":"giglioCollectionMODISActive2016"}}],"schema":"https://github.com/citation-style-language/schema/raw/master/csl-citation.json"} </w:instrText>
      </w:r>
      <w:r>
        <w:rPr>
          <w:color w:val="000000"/>
        </w:rPr>
        <w:fldChar w:fldCharType="separate"/>
      </w:r>
      <w:r w:rsidRPr="00D021C7">
        <w:t>(Giglio et al., 2016)</w:t>
      </w:r>
      <w:r>
        <w:rPr>
          <w:color w:val="000000"/>
        </w:rPr>
        <w:fldChar w:fldCharType="end"/>
      </w:r>
      <w:r>
        <w:rPr>
          <w:color w:val="000000"/>
        </w:rPr>
        <w:t xml:space="preserve"> was used to train the model. FRP is the radiative power from wild and prescribed fires, it is given in megawatts (MW) and </w:t>
      </w:r>
      <w:r w:rsidR="00B865F6">
        <w:rPr>
          <w:color w:val="000000"/>
        </w:rPr>
        <w:t xml:space="preserve">can be used to characterize many fire properties </w:t>
      </w:r>
      <w:r w:rsidR="00313B9D">
        <w:rPr>
          <w:color w:val="000000"/>
        </w:rPr>
        <w:fldChar w:fldCharType="begin"/>
      </w:r>
      <w:r w:rsidR="00BB6527">
        <w:rPr>
          <w:color w:val="000000"/>
        </w:rPr>
        <w:instrText xml:space="preserve"> ADDIN ZOTERO_ITEM CSL_CITATION {"citationID":"YzlpOTrl","properties":{"formattedCitation":"(Archibald et al., 2013; Ichoku &amp; Kaufman, 2005; Kaufman et al., 1998; Roy &amp; Kumar, 2017; Wooster et al., 2003; Wooster &amp; Zhang, 2004)","plainCitation":"(Archibald et al., 2013; Ichoku &amp; Kaufman, 2005; Kaufman et al., 1998; Roy &amp; Kumar, 2017; Wooster et al., 2003; Wooster &amp; Zhang, 2004)","noteIndex":0},"citationItems":[{"id":661,"uris":["http://zotero.org/groups/4584967/items/XA49EVL2"],"itemData":{"id":661,"type":"article-journal","abstract":"Fire is a ubiquitous component of the Earth system that is poorly understood. To date, a global-scale understanding of fire is largely limited to the annual extent of burning as detected by satellites. This is problematic because fire is multidimensional, and focus on a single metric belies its complexity and importance within the Earth system. To address this, we identified five key characteristics of fire regimes—size, frequency, intensity, season, and extent—and combined new and existing global datasets to represent each. We assessed how these global fire regime characteristics are related to patterns of climate, vegetation (biomes), and human activity. Cross-correlations demonstrate that only certain combinations of fire characteristics are possible, reflecting fundamental constraints in the types of fire regimes that can exist. A Bayesian clustering algorithm identified five global syndromes of fire regimes, or pyromes. Four pyromes represent distinctions between crown, litter, and grass-fueled fires, and the relationship of these to biomes and climate are not deterministic. Pyromes were partially discriminated on the basis of available moisture and rainfall seasonality. Human impacts also affected pyromes and are globally apparent as the driver of a fifth and unique pyrome that represents human-engineered modifications to fire characteristics. Differing biomes and climates may be represented within the same pyrome, implying that pathways of change in future fire regimes in response to changes in climate and human activity may be difficult to predict.","container-title":"Proceedings of the National Academy of Sciences","DOI":"10.1073/pnas.1211466110","issue":"16","note":"publisher: Proceedings of the National Academy of Sciences","page":"6442-6447","source":"pnas.org (Atypon)","title":"Defining pyromes and global syndromes of fire regimes","volume":"110","author":[{"family":"Archibald","given":"Sally"},{"family":"Lehmann","given":"Caroline E. R."},{"family":"Gómez-Dans","given":"Jose L."},{"family":"Bradstock","given":"Ross A."}],"issued":{"date-parts":[["2013",4,16]]},"citation-key":"archibaldDefiningPyromesGlobal2013"}},{"id":658,"uris":["http://zotero.org/groups/4584967/items/8K26HZUX"],"itemData":{"id":658,"type":"article-journal","abstract":"Present methods of emissions estimation from satellite data often use fire pixel counts, even though fire strengths and smoke emission rates can differ by some orders of magnitude between pixels. Moderate Resolution Imaging Spectroradiometer (MODIS) measurements of fire radiative energy (FRE) release rates R/sub fre/ range from less than 10 to more than 1700 MW per pixel at 1-km resolution. To account for the effect of such a wide range of fire strengths/sizes on smoke emission rates, we have developed direct linear relationships between the MODIS-measured R/sub fre/ and smoke aerosol emission rates R/sub sa/ (in kilograms per second), derived by analyzing MODIS measurements of aerosol spatial distribution around the fires with National Center for Environmental Prediction/National Center for Atmospheric Research wind fields. We applied the technique to several regions around the world and derived a FRE-based smoke emission coefficient, C/sub e/ (in kilograms per megajoule), which can be simply multiplied by R/sub fre/ to calculate R/sub sa/. This new coefficient C/sub e/ is an excellent remote sensing parameter expressing the emission strength of different ecosystems and regions. Analysis of all 2002 MODIS data from Terra and Aqua satellites yielded C/sub e/ values of 0.02-0.06 kg/MJ for boreal regions, 0.04-0.08 kg/MJ for both tropical forests and savanna regions, and 0.08-0.1 kg/MJ for Western Russian regions. These results are probably overestimated by about 50% because of uncertainties in some of the data, parameters, and assumptions involved in the computations. This 50% overestimation is comparable to uncertainties in traditional emission factors. However, our satellite method shows great promise for accuracy improvement, as better knowledge is gained about the sources of the uncertainties.","container-title":"IEEE Transactions on Geoscience and Remote Sensing","DOI":"10.1109/TGRS.2005.857328","ISSN":"1558-0644","issue":"11","note":"event-title: IEEE Transactions on Geoscience and Remote Sensing","page":"2636-2649","source":"IEEE Xplore","title":"A method to derive smoke emission rates from MODIS fire radiative energy measurements","volume":"43","author":[{"family":"Ichoku","given":"C."},{"family":"Kaufman","given":"Y.J."}],"issued":{"date-parts":[["2005",11]]},"citation-key":"ichokuMethodDeriveSmoke2005"}},{"id":664,"uris":["http://zotero.org/groups/4584967/items/Y93QFW73"],"itemData":{"id":664,"type":"article-journal","abstract":"The National Aeronautic and Space Administration (NASA) plans to launch the moderate resolution imaging spectroradiometer (MODIS) on the polarorbiting Earth Observation System (EOS) providing morning and evening global observations in 1999 and afternoon and night observations in 2000. These four MODIS daily fire observations will advance global fire monitoring with special 1 km resolution fire channels at 4 and 11 μm, with high saturation of about 450 and 400 K, respectively. MODIS data will also be used to monitor burn scars, vegetation type and condition, smoke aerosols, water vapor, and clouds for overall monitoring of the fire process and its effects on ecosystems, the atmosphere, and the climate. The MODIS fire science team is preparing algorithms that use the thermal signature to separate the fire signal from the background signal. A database of active fire products will be generated and archived at a 1 km resolution and summarized on a grid of 10 km and 0.5°, daily, 8 days, and monthly. It includes the fire occurrence and location, the rate of emission of thermal energy from the fire, and a rough estimate of the smoldering/flaming ratio. This information will be used in monitoring the spatial and temporal distribution of fires in different ecosystems, detecting changes in fire distribution and identifying new fire frontiers, wildfires, and changes in the frequency of the fires or their relative strength. We plan to combine the MODIS fire measurements with a detailed diurnal cycle of the fires from geostationary satellites. Sensitivity studies and analyses of aircraft and satellite data from the Yellowstone wildfire of 1988 and prescribed fires in the Smoke, Clouds, and Radiation (SCAR) aircraft field experiments are used to evaluate and validate the fire algorithms and to establish the relationship between the fire thermal properties, the rate of biomass consumption, and the emissions of aerosol and trace gases from fires.","container-title":"Journal of Geophysical Research: Atmospheres","DOI":"10.1029/98JD01644","ISSN":"2156-2202","issue":"D24","language":"en","license":"Copyright 1998 by the American Geophysical Union.","note":"_eprint: https://onlinelibrary.wiley.com/doi/pdf/10.1029/98JD01644","page":"32215-32238","source":"Wiley Online Library","title":"Potential global fire monitoring from EOS-MODIS","volume":"103","author":[{"family":"Kaufman","given":"Y. J."},{"family":"Justice","given":"Christopher O."},{"family":"Flynn","given":"Luke P."},{"family":"Kendall","given":"Jackie D."},{"family":"Prins","given":"Elaine M."},{"family":"Giglio","given":"Louis"},{"family":"Ward","given":"Darold E."},{"family":"Menzel","given":"W. Paul"},{"family":"Setzer","given":"Alberto W."}],"issued":{"date-parts":[["1998"]]},"citation-key":"kaufmanPotentialGlobalFire1998"}},{"id":663,"uris":["http://zotero.org/groups/4584967/items/DZFUXJT2"],"itemData":{"id":663,"type":"article-journal","abstract":"The Brazilian Tropical Moist Forest Biome (BTMFB) spans almost 4 million km2 and is subject to extensive annual fires that have been categorized into deforestation, maintenance, and forest fire types. Information on fire types is important as they have different atmospheric emissions and ecological impacts. A supervised classification methodology is presented to classify the fire type of MODerate resolution Imaging Spectroradiometer (MODIS) active fire detections using training data defined by consideration of Brazilian government forest monitoring program annual land cover maps, and using predictor variables concerned with fuel flammability, fuel load, fire behavior, fire seasonality, fire annual frequency, proximity to surface transportation, and local temperature. The fire seasonality, local temperature, and fuel flammability were the most influential on the classification. Classified fire type results for all 1.6 million MODIS Terra and Aqua BTMFB active fire detections over eight years (2003–2010) are presented with an overall fire type classification accuracy of 90.9% (kappa 0.824). The fire type user’s and producer’s classification accuracies were respectively 92.4% and 94.4% (maintenance fires), 88.4% and 87.5% (forest fires), and, 88.7% and 75.0% (deforestation fires). The spatial and temporal distribution of the classified fire types are presented and are similar to patterns reported in the available recent literature.","container-title":"International Journal of Digital Earth","DOI":"10.1080/17538947.2016.1208686","ISSN":"1753-8947","issue":"1","note":"publisher: Taylor &amp; Francis\n_eprint: https://doi.org/10.1080/17538947.2016.1208686","page":"54-84","source":"Taylor and Francis+NEJM","title":"Multi-year MODIS active fire type classification over the Brazilian Tropical Moist Forest Biome","volume":"10","author":[{"family":"Roy","given":"D. P."},{"family":"Kumar","given":"S. S."}],"issued":{"date-parts":[["2017",1,2]]},"citation-key":"royMultiyearMODISActive2017"}},{"id":660,"uris":["http://zotero.org/groups/4584967/items/IGPWFUR9"],"itemData":{"id":660,"type":"article-journal","abstract":"A major focus in global change research is to quantify the amount of gaseous and particulate pollutants emitted from terrestrial vegetation fires. Determination of the emitted radiant energy released during biomass combustion episodes (the so-called fire radiative energy or FRE) has been suggested as a new tool for determining variations in biomass combustion rates and the rate of production of atmospheric pollutants. We review the physical principals behind the remote determination of FRE and present an alternative method for its derivation via analysis of ‘fire pixel’ radiances in the middle infrared spectral region. We compare our method to the existing FRE retrieval approach used in the EOS Moderate Resolution Imaging Spectro-radiometer (MODIS) fire products, and to retrievals of FRE based on derived fire temperature and area made via the so-called Bi-spectral method. We test each FRE retrieval method using both simulated data and imagery from a new experimental space mission, the Bi-spectral InfraRed Detection (BIRD) small satellite, which has sensors specifically designed for the study of active fires. We analyse near simultaneous MODIS and BIRD data of the fires that burned around Sydney, Australia in January 2002. Despite the markedly different pixel size and spectral coverage of these sensors, where the spatial extent of the fire pixel groups detected by MODIS and BIRD are similar, the derived values of FRE for these fires agree to within ±15 %. However, in certain fires, the lower spatial resolution of MODIS appears to prevent many of the less intensely radiating fire pixels being detected as such, meaning MODIS underestimates FRE for these fires by up to 46% in comparison to BIRD. Though the FRE release of each of these low intensity fire pixels is relatively low, their comparatively large number makes their overall FRE significant. Thus, total FRE release of the Sydney fires on 5 January 2002 is estimated to be 6.5×109 J s−1 via BIRD but 4.0×109 J s−1 via MODIS. The ability of BIRD to resolve individual fire fronts further allows the first accurate calculation of ‘radiative’ fireline intensity from spaceborne measurements, providing values of 15–75 kJ s−1 m−1 for fire fronts that are up to 9 km in length. Finally, we analyse the effectiveness of the satellite-based FRE retrieval methods in estimating the FRE from the active flaming and smouldering components only (FREActive, believed to be proportional to the rate of biomass combustion), despite the sensor receiving additional radiance from the ‘cooling ground’. The MIR radiance method appears particularly strong in this regard, allowing FREActive to be estimated to within ±30% in the range 100–100,000 J s−1 m−2. These results provide further confidence in the ability of spaceborne missions to derive physically meaningful values of FRE that could be used to support biomass burning emissions inventories. Future comparisons between FRE derived via MODIS and those from higher spatial resolution BIRD or airborne imagery may allow the MODIS-derived FRE values to be ‘calibrated’ for any systematic underestimation. We therefore expect FRE to become an important tool for enhancing global studies of terrestrial vegetation fires with infrared remote sensing, particularly as the majority of large fires are now imaged four times per day via the MODIS instruments on the Terra and Aqua spacecraft.","container-title":"Remote Sensing of Environment","DOI":"10.1016/S0034-4257(03)00070-1","ISSN":"0034-4257","issue":"1","journalAbbreviation":"Remote Sensing of Environment","page":"83-107","source":"ScienceDirect","title":"Fire radiative energy for quantitative study of biomass burning: derivation from the BIRD experimental satellite and comparison to MODIS fire products","title-short":"Fire radiative energy for quantitative study of biomass burning","volume":"86","author":[{"family":"Wooster","given":"M. J."},{"family":"Zhukov","given":"B."},{"family":"Oertel","given":"D."}],"issued":{"date-parts":[["2003",6,30]]},"citation-key":"woosterFireRadiativeEnergy2003"}},{"id":662,"uris":["http://zotero.org/groups/4584967/items/TEFY9YIE"],"itemData":{"id":662,"type":"article-journal","abstract":"Around 5–20 million hectares of boreal forest burns annually, mainly in Russia and North America. However, there are reports of significant differences in predominant fire type between these regions, which may have major implications for overall emissions of carbon, gases and aerosols. We examine boreal forest fire intensities via MODIS observations of fire radiative energy release rate. Results support the contention of a consistent difference in fire intensity and mean fuel consumption in Russia and North America, due to differences in dominant fire type. North American fires have higher mean intensities, increasing in proportion to percentage tree cover, characteristics indicating likely crown fire dominance. Russian fires have lower mean intensities, independent of percentage tree cover, characteristics more indicative of surface fire activity. Per unit area burnt, the results suggest Russian fires may burn less fuel and emit fewer products to the atmosphere than do those in North America.","container-title":"Geophysical Research Letters","DOI":"10.1029/2004GL020805","ISSN":"1944-8007","issue":"20","language":"en","license":"Copyright 2004 by the American Geophysical Union.","note":"_eprint: https://onlinelibrary.wiley.com/doi/pdf/10.1029/2004GL020805","source":"Wiley Online Library","title":"Boreal forest fires burn less intensely in Russia than in North America","URL":"https://onlinelibrary.wiley.com/doi/abs/10.1029/2004GL020805","volume":"31","author":[{"family":"Wooster","given":"M. J."},{"family":"Zhang","given":"Y. H."}],"accessed":{"date-parts":[["2024",2,15]]},"issued":{"date-parts":[["2004"]]},"citation-key":"woosterBorealForestFires2004"}}],"schema":"https://github.com/citation-style-language/schema/raw/master/csl-citation.json"} </w:instrText>
      </w:r>
      <w:r w:rsidR="00313B9D">
        <w:rPr>
          <w:color w:val="000000"/>
        </w:rPr>
        <w:fldChar w:fldCharType="separate"/>
      </w:r>
      <w:r w:rsidR="0035615F" w:rsidRPr="0035615F">
        <w:t>(Archibald et al., 2013; Ichoku &amp; Kaufman, 2005; Kaufman et al., 1998; Roy &amp; Kumar, 2017; Wooster et al., 2003; Wooster &amp; Zhang, 2004)</w:t>
      </w:r>
      <w:r w:rsidR="00313B9D">
        <w:rPr>
          <w:color w:val="000000"/>
        </w:rPr>
        <w:fldChar w:fldCharType="end"/>
      </w:r>
      <w:r>
        <w:rPr>
          <w:color w:val="000000"/>
        </w:rPr>
        <w:t>.</w:t>
      </w:r>
      <w:r w:rsidR="00A31472">
        <w:rPr>
          <w:color w:val="000000"/>
        </w:rPr>
        <w:t xml:space="preserve"> </w:t>
      </w:r>
      <w:r w:rsidR="00BE4A04">
        <w:rPr>
          <w:color w:val="000000"/>
        </w:rPr>
        <w:t xml:space="preserve">It is retrieved </w:t>
      </w:r>
      <w:r w:rsidR="00CB7EE1">
        <w:rPr>
          <w:color w:val="000000"/>
        </w:rPr>
        <w:t>using the brightness temperatures derived from the MODIS 4</w:t>
      </w:r>
      <w:r w:rsidR="004C1516">
        <w:rPr>
          <w:color w:val="000000"/>
        </w:rPr>
        <w:t xml:space="preserve"> µm and 11 µm channels </w:t>
      </w:r>
      <w:r w:rsidR="004C1516">
        <w:rPr>
          <w:color w:val="000000"/>
        </w:rPr>
        <w:fldChar w:fldCharType="begin"/>
      </w:r>
      <w:r w:rsidR="00BB6527">
        <w:rPr>
          <w:color w:val="000000"/>
        </w:rPr>
        <w:instrText xml:space="preserve"> ADDIN ZOTERO_ITEM CSL_CITATION {"citationID":"JZoC1HJf","properties":{"formattedCitation":"(Giglio et al., 2003, 2016; Kaufman et al., 1998)","plainCitation":"(Giglio et al., 2003, 2016; Kaufman et al., 1998)","noteIndex":0},"citationItems":[{"id":665,"uris":["http://zotero.org/groups/4584967/items/5S58UF9M"],"itemData":{"id":665,"type":"article-journal","abstract":"Experience with the first 2 years of high quality data from the Moderate Resolution Imaging Spectroradiometer (MODIS) through quality control and validation has suggested several improvements to the original MODIS active fire detection algorithm described by Kaufman, Justice et al. [Journal of Geophysical Research 103 (1998) 32215]. In this paper, we present an improved replacement detection algorithm that offers increased sensitivity to smaller, cooler fires as well as a significantly lower false alarm rate. Performance of both the original and improved algorithm is established using a theoretical simulation and high-resolution Advanced Spaceborne Thermal Emission and Reflection Radiometer (ASTER) scenes. In general, the new algorithm can detect fires roughly half the minimum size that could be detected with the original algorithm while having an overall false alarm rate 10–100 times smaller.","container-title":"Remote Sensing of Environment","DOI":"10.1016/S0034-4257(03)00184-6","ISSN":"0034-4257","issue":"2","journalAbbreviation":"Remote Sensing of Environment","page":"273-282","source":"ScienceDirect","title":"An Enhanced Contextual Fire Detection Algorithm for MODIS","volume":"87","author":[{"family":"Giglio","given":"Louis"},{"family":"Descloitres","given":"Jacques"},{"family":"Justice","given":"Christopher O."},{"family":"Kaufman","given":"Yoram J."}],"issued":{"date-parts":[["2003",10,15]]},"citation-key":"giglioEnhancedContextualFire2003"}},{"id":492,"uris":["http://zotero.org/groups/4584967/items/LMXUJSV5"],"itemData":{"id":492,"type":"article-journal","abstract":"The two Moderate Resolution Imaging Spectroradiometer (MODIS) instruments, on-board NASA's Terra and Aqua satellites, have provided more than a decade of global fire data. Here we describe improvements made to the fire detection algorithm and swath-level product that were implemented as part of the Collection 6 land-product reprocessing, which commenced in May 2015. The updated algorithm is intended to address limitations observed with the previous Collection 5 fire product, notably the occurrence of false alarms caused by small forest clearings, and the omission of large fires obscured by thick smoke. Processing was also expanded to oceans and other large water bodies to facilitate monitoring of offshore gas flaring. Additionally, fire radiative power (FRP) is now retrieved using a radiance-based approach, generally decreasing FRP for all but the comparatively small fraction of high intensity fire pixels. We performed a Stage-3 validation of the Collection 5 and Collection 6 Terra MODIS fire products using reference fire maps derived from more than 2500 high-resolution Advanced Spaceborne Thermal Emission and Reflection Radiometer (ASTER) images. Our results indicated targeted improvements in the performance of the Collection 6 active fire detection algorithm compared to Collection 5, with reduced omission errors over large fires, and reduced false alarm rates in tropical ecosystems. Overall, the MOD14 Collection 6 daytime global commission error was 1.2%, compared to 2.4% in Collection 5. Regionally, the probability of detection for Collection 6 exhibited a ~3% absolute increase in Boreal North America and Boreal Asia compared to Collection 5, a ~1% absolute increase in Equatorial Asia and Central Asia, a ~1% absolute decrease in South America above the Equator, and little or no change in the remaining regions considered. Not unexpectedly, the observed variability in the probability of detection was strongly driven by regional differences in fire size. Overall, there was a net improvement in Collection 6 algorithm performance globally.","container-title":"Remote Sensing of Environment","DOI":"10.1016/j.rse.2016.02.054","ISSN":"0034-4257","journalAbbreviation":"Remote Sensing of Environment","page":"31-41","source":"ScienceDirect","title":"The collection 6 MODIS active fire detection algorithm and fire products","volume":"178","author":[{"family":"Giglio","given":"Louis"},{"family":"Schroeder","given":"Wilfrid"},{"family":"Justice","given":"Christopher O."}],"issued":{"date-parts":[["2016",6,1]]},"citation-key":"giglioCollectionMODISActive2016"}},{"id":664,"uris":["http://zotero.org/groups/4584967/items/Y93QFW73"],"itemData":{"id":664,"type":"article-journal","abstract":"The National Aeronautic and Space Administration (NASA) plans to launch the moderate resolution imaging spectroradiometer (MODIS) on the polarorbiting Earth Observation System (EOS) providing morning and evening global observations in 1999 and afternoon and night observations in 2000. These four MODIS daily fire observations will advance global fire monitoring with special 1 km resolution fire channels at 4 and 11 μm, with high saturation of about 450 and 400 K, respectively. MODIS data will also be used to monitor burn scars, vegetation type and condition, smoke aerosols, water vapor, and clouds for overall monitoring of the fire process and its effects on ecosystems, the atmosphere, and the climate. The MODIS fire science team is preparing algorithms that use the thermal signature to separate the fire signal from the background signal. A database of active fire products will be generated and archived at a 1 km resolution and summarized on a grid of 10 km and 0.5°, daily, 8 days, and monthly. It includes the fire occurrence and location, the rate of emission of thermal energy from the fire, and a rough estimate of the smoldering/flaming ratio. This information will be used in monitoring the spatial and temporal distribution of fires in different ecosystems, detecting changes in fire distribution and identifying new fire frontiers, wildfires, and changes in the frequency of the fires or their relative strength. We plan to combine the MODIS fire measurements with a detailed diurnal cycle of the fires from geostationary satellites. Sensitivity studies and analyses of aircraft and satellite data from the Yellowstone wildfire of 1988 and prescribed fires in the Smoke, Clouds, and Radiation (SCAR) aircraft field experiments are used to evaluate and validate the fire algorithms and to establish the relationship between the fire thermal properties, the rate of biomass consumption, and the emissions of aerosol and trace gases from fires.","container-title":"Journal of Geophysical Research: Atmospheres","DOI":"10.1029/98JD01644","ISSN":"2156-2202","issue":"D24","language":"en","license":"Copyright 1998 by the American Geophysical Union.","note":"_eprint: https://onlinelibrary.wiley.com/doi/pdf/10.1029/98JD01644","page":"32215-32238","source":"Wiley Online Library","title":"Potential global fire monitoring from EOS-MODIS","volume":"103","author":[{"family":"Kaufman","given":"Y. J."},{"family":"Justice","given":"Christopher O."},{"family":"Flynn","given":"Luke P."},{"family":"Kendall","given":"Jackie D."},{"family":"Prins","given":"Elaine M."},{"family":"Giglio","given":"Louis"},{"family":"Ward","given":"Darold E."},{"family":"Menzel","given":"W. Paul"},{"family":"Setzer","given":"Alberto W."}],"issued":{"date-parts":[["1998"]]},"citation-key":"kaufmanPotentialGlobalFire1998"}}],"schema":"https://github.com/citation-style-language/schema/raw/master/csl-citation.json"} </w:instrText>
      </w:r>
      <w:r w:rsidR="004C1516">
        <w:rPr>
          <w:color w:val="000000"/>
        </w:rPr>
        <w:fldChar w:fldCharType="separate"/>
      </w:r>
      <w:r w:rsidR="0035615F" w:rsidRPr="0035615F">
        <w:t>(Giglio et al., 2003, 2016; Kaufman et al., 1998)</w:t>
      </w:r>
      <w:r w:rsidR="004C1516">
        <w:rPr>
          <w:color w:val="000000"/>
        </w:rPr>
        <w:fldChar w:fldCharType="end"/>
      </w:r>
      <w:r w:rsidR="004C1516">
        <w:rPr>
          <w:color w:val="000000"/>
        </w:rPr>
        <w:t>.</w:t>
      </w:r>
      <w:r>
        <w:rPr>
          <w:color w:val="000000"/>
        </w:rPr>
        <w:t xml:space="preserve"> By including FRP, the model can be trained with a notion of fire source regions, which </w:t>
      </w:r>
      <w:r w:rsidR="00E430D1">
        <w:rPr>
          <w:color w:val="000000"/>
        </w:rPr>
        <w:t>are</w:t>
      </w:r>
      <w:r>
        <w:rPr>
          <w:color w:val="000000"/>
        </w:rPr>
        <w:t xml:space="preserve"> typically just a small subset of the total area occluded by wildfire smoke. This information can help to inform the model on the spread of the fire/smoke and the resulting AOD in the surrounding regions.</w:t>
      </w:r>
    </w:p>
    <w:p w14:paraId="134A7F3B" w14:textId="3C2B9EAC" w:rsidR="00D85052" w:rsidRPr="00D7159E" w:rsidRDefault="00924772" w:rsidP="00D7159E">
      <w:pPr>
        <w:rPr>
          <w:rFonts w:cs="Times New Roman"/>
          <w:szCs w:val="24"/>
        </w:rPr>
      </w:pPr>
      <w:r>
        <w:rPr>
          <w:rFonts w:cs="Times New Roman"/>
          <w:szCs w:val="24"/>
        </w:rPr>
        <w:br w:type="page"/>
      </w:r>
    </w:p>
    <w:p w14:paraId="10726389" w14:textId="0E274338" w:rsidR="00F12779" w:rsidRDefault="000E00EF" w:rsidP="00950E6A">
      <w:pPr>
        <w:pStyle w:val="Heading1"/>
      </w:pPr>
      <w:bookmarkStart w:id="42" w:name="_Toc161431090"/>
      <w:r w:rsidRPr="00601F10">
        <w:lastRenderedPageBreak/>
        <w:t>3. Methods</w:t>
      </w:r>
      <w:bookmarkEnd w:id="42"/>
    </w:p>
    <w:p w14:paraId="685E055A" w14:textId="7BC19EE2" w:rsidR="00756598" w:rsidRDefault="00756598" w:rsidP="00756598">
      <w:pPr>
        <w:pStyle w:val="Heading2"/>
      </w:pPr>
      <w:bookmarkStart w:id="43" w:name="_Toc161431091"/>
      <w:r w:rsidRPr="00F12779">
        <w:t>3.</w:t>
      </w:r>
      <w:r w:rsidR="00335CAA">
        <w:t>1</w:t>
      </w:r>
      <w:r w:rsidRPr="00F12779">
        <w:t xml:space="preserve"> Model </w:t>
      </w:r>
      <w:r w:rsidR="001D6D1B">
        <w:t>Selection</w:t>
      </w:r>
      <w:bookmarkEnd w:id="43"/>
    </w:p>
    <w:p w14:paraId="6B90F6DA" w14:textId="45ABED19" w:rsidR="002B03AE" w:rsidRDefault="00756598" w:rsidP="00237BF5">
      <w:pPr>
        <w:pStyle w:val="NormalWeb"/>
        <w:spacing w:before="0" w:beforeAutospacing="0" w:after="0" w:afterAutospacing="0" w:line="480" w:lineRule="auto"/>
        <w:ind w:firstLine="720"/>
        <w:rPr>
          <w:color w:val="000000"/>
        </w:rPr>
      </w:pPr>
      <w:r>
        <w:rPr>
          <w:color w:val="000000"/>
        </w:rPr>
        <w:t xml:space="preserve">To estimate AOD, a model </w:t>
      </w:r>
      <w:r w:rsidR="00276DE9">
        <w:rPr>
          <w:color w:val="000000"/>
        </w:rPr>
        <w:t xml:space="preserve">must </w:t>
      </w:r>
      <w:r>
        <w:rPr>
          <w:color w:val="000000"/>
        </w:rPr>
        <w:t>be aware of</w:t>
      </w:r>
      <w:r w:rsidR="00406204">
        <w:rPr>
          <w:color w:val="000000"/>
        </w:rPr>
        <w:t xml:space="preserve"> complex,</w:t>
      </w:r>
      <w:r>
        <w:rPr>
          <w:color w:val="000000"/>
        </w:rPr>
        <w:t xml:space="preserve"> nonlinear interactions between weather, emissions, and aerosol types. </w:t>
      </w:r>
      <w:r w:rsidR="00C83CDC">
        <w:rPr>
          <w:color w:val="000000"/>
        </w:rPr>
        <w:t>DL is p</w:t>
      </w:r>
      <w:r w:rsidR="00F0263F">
        <w:rPr>
          <w:color w:val="000000"/>
        </w:rPr>
        <w:t xml:space="preserve">articularly well-equipped for dealing with these types of problems </w:t>
      </w:r>
      <w:r w:rsidR="00181F5E">
        <w:rPr>
          <w:color w:val="000000"/>
        </w:rPr>
        <w:t xml:space="preserve">because </w:t>
      </w:r>
      <w:r w:rsidR="00C07B67">
        <w:rPr>
          <w:color w:val="000000"/>
        </w:rPr>
        <w:t xml:space="preserve">DL models </w:t>
      </w:r>
      <w:r w:rsidR="0034637C">
        <w:rPr>
          <w:color w:val="000000"/>
        </w:rPr>
        <w:t>contain a</w:t>
      </w:r>
      <w:r w:rsidR="00182FED">
        <w:rPr>
          <w:color w:val="000000"/>
        </w:rPr>
        <w:t xml:space="preserve">n extremely large number of parameters and non-linearities. </w:t>
      </w:r>
      <w:r w:rsidR="003B7ABD">
        <w:rPr>
          <w:color w:val="000000"/>
        </w:rPr>
        <w:t xml:space="preserve">Furthermore, while </w:t>
      </w:r>
      <w:r w:rsidR="00915400">
        <w:rPr>
          <w:color w:val="000000"/>
        </w:rPr>
        <w:t xml:space="preserve">it has been shown that </w:t>
      </w:r>
      <w:r w:rsidR="00860C15">
        <w:rPr>
          <w:color w:val="000000"/>
        </w:rPr>
        <w:t xml:space="preserve">neural networks </w:t>
      </w:r>
      <w:r w:rsidR="00CE64C2">
        <w:rPr>
          <w:color w:val="000000"/>
        </w:rPr>
        <w:t xml:space="preserve">with two layers, suitable activation functions, and </w:t>
      </w:r>
      <w:r w:rsidR="00E077C9">
        <w:rPr>
          <w:color w:val="000000"/>
        </w:rPr>
        <w:t>sufficient width are universal function approximators</w:t>
      </w:r>
      <w:r w:rsidR="0082040F">
        <w:rPr>
          <w:color w:val="000000"/>
        </w:rPr>
        <w:t xml:space="preserve"> </w:t>
      </w:r>
      <w:r w:rsidR="00EF4EDC">
        <w:rPr>
          <w:color w:val="000000"/>
        </w:rPr>
        <w:fldChar w:fldCharType="begin"/>
      </w:r>
      <w:r w:rsidR="00BB6527">
        <w:rPr>
          <w:color w:val="000000"/>
        </w:rPr>
        <w:instrText xml:space="preserve"> ADDIN ZOTERO_ITEM CSL_CITATION {"citationID":"jtznx8VT","properties":{"formattedCitation":"(Barron, 1994; Cybenko, 1989; Funahashi, 1989; Hornik et al., 1989)","plainCitation":"(Barron, 1994; Cybenko, 1989; Funahashi, 1989; Hornik et al., 1989)","noteIndex":0},"citationItems":[{"id":706,"uris":["http://zotero.org/groups/4584967/items/IA6VEBQH"],"itemData":{"id":706,"type":"article-journal","abstract":"For a common class of artificial neural networks, the mean integrated squared error between the estimated network and a target functionf is shown to be bounded by$$O\\left( {\\frac{{\\mathop c\\nolimits_f^2 }}{n}} \\right) + O\\left( {\\frac{{nd}}{N}\\log  N} \\right)$$wheren is the number of nodes,d is the input dimension of the function,N is the number of training observations, andCfis the first absolute moment of the Fourier magnitude distribution off. The two contributions to this total risk are the approximation error and the estimation error. Approximation error refers to the distance between the target function and the closest neural network function of a given architecture and estimation error refers to the distance between this ideal network function and an estimated network function. Withn </w:instrText>
      </w:r>
      <w:r w:rsidR="00BB6527">
        <w:rPr>
          <w:rFonts w:ascii="Cambria Math" w:hAnsi="Cambria Math" w:cs="Cambria Math"/>
          <w:color w:val="000000"/>
        </w:rPr>
        <w:instrText>∼</w:instrText>
      </w:r>
      <w:r w:rsidR="00BB6527">
        <w:rPr>
          <w:color w:val="000000"/>
        </w:rPr>
        <w:instrText xml:space="preserve"> Cf(N/(d logN))1/2 nodes, the order of the bound on the mean integrated squared error is optimized to beO(Cf((d/N) logN)1/2). The bound demonstrates surprisingly favorable properties of network estimation compared to traditional series and nonparametric curve estimation techniques in the case thatd is moderately large. Similar bounds are obtained when the number of nodesn is not preselected as a function ofCf(which is generally not knowna priori), but rather the number of nodes is optimized from the observed data by the use of a complexity regularization or minimum description length criterion. The analysis involves Fourier techniques for the approximation error, metric entropy considerations for the estimation error, and a calculation of the index of resolvability of minimum complexity estimation of the family of networks.","container-title":"Machine Learning","DOI":"10.1007/BF00993164","ISSN":"1573-0565","issue":"1","journalAbbreviation":"Mach Learn","language":"en","page":"115-133","source":"Springer Link","title":"Approximation and estimation bounds for artificial neural networks","volume":"14","author":[{"family":"Barron","given":"Andrew R."}],"issued":{"date-parts":[["1994",1,1]]},"citation-key":"barronApproximationEstimationBounds1994"}},{"id":707,"uris":["http://zotero.org/groups/4584967/items/LARVVBCQ"],"itemData":{"id":707,"type":"article-journal","abstract":"In this paper we demonstrate that finite linear combinations of compositions of a fixed, univariate function and a set of affine functionals can uniformly approximate any continuous function ofn real variables with support in the unit hypercube; only mild conditions are imposed on the univariate function. Our results settle an open question about representability in the class of single hidden layer neural networks. In particular, we show that arbitrary decision regions can be arbitrarily well approximated by continuous feedforward neural networks with only a single internal, hidden layer and any continuous sigmoidal nonlinearity. The paper discusses approximation properties of other possible types of nonlinearities that might be implemented by artificial neural networks.","container-title":"Mathematics of Control, Signals and Systems","DOI":"10.1007/BF02551274","ISSN":"1435-568X","issue":"4","journalAbbreviation":"Math. Control Signal Systems","language":"en","page":"303-314","source":"Springer Link","title":"Approximation by superpositions of a sigmoidal function","volume":"2","author":[{"family":"Cybenko","given":"G."}],"issued":{"date-parts":[["1989",12,1]]},"citation-key":"cybenkoApproximationSuperpositionsSigmoidal1989"}},{"id":708,"uris":["http://zotero.org/groups/4584967/items/CI2QB6U4"],"itemData":{"id":708,"type":"article-journal","abstract":"In this paper, we prove that any continuous mapping can be approximately realized by Rumelhart-Hinton-Williams' multilayer neural networks with at least one hidden layer whose output functions are sigmoid functions. The starting point of the proof for the one hidden layer case is an integral formula recently proposed by Irie-Miyake and from this, the general case (for any number of hidden layers) can be proved by induction. The two hidden layers case is proved also by using the Kolmogorov-Arnold-Sprecher theorem and this proof also gives non-trivial realizations.","container-title":"Neural Networks","DOI":"10.1016/0893-6080(89)90003-8","ISSN":"0893-6080","issue":"3","journalAbbreviation":"Neural Networks","page":"183-192","source":"ScienceDirect","title":"On the approximate realization of continuous mappings by neural networks","volume":"2","author":[{"family":"Funahashi","given":"Ken-Ichi"}],"issued":{"date-parts":[["1989",1,1]]},"citation-key":"funahashiApproximateRealizationContinuous1989"}},{"id":709,"uris":["http://zotero.org/groups/4584967/items/LKJNWH9X"],"itemData":{"id":709,"type":"article-journal","abstract":"This paper rigorously establishes that standard multilayer feedforward networks with as few as one hidden layer using arbitrary squashing functions are capable of approximating any Borel measurable function from one finite dimensional space to another to any desired degree of accuracy, provided sufficiently many hidden units are available. In this sense, multilayer feedforward networks are a class of universal approximators.","container-title":"Neural Networks","DOI":"10.1016/0893-6080(89)90020-8","ISSN":"0893-6080","issue":"5","journalAbbreviation":"Neural Networks","page":"359-366","source":"ScienceDirect","title":"Multilayer feedforward networks are universal approximators","volume":"2","author":[{"family":"Hornik","given":"Kurt"},{"family":"Stinchcombe","given":"Maxwell"},{"family":"White","given":"Halbert"}],"issued":{"date-parts":[["1989",1,1]]},"citation-key":"hornikMultilayerFeedforwardNetworks1989"}}],"schema":"https://github.com/citation-style-language/schema/raw/master/csl-citation.json"} </w:instrText>
      </w:r>
      <w:r w:rsidR="00EF4EDC">
        <w:rPr>
          <w:color w:val="000000"/>
        </w:rPr>
        <w:fldChar w:fldCharType="separate"/>
      </w:r>
      <w:r w:rsidR="00EF4EDC" w:rsidRPr="00EF4EDC">
        <w:t>(Barron, 1994; Cybenko, 1989; Funahashi, 1989; Hornik et al., 1989)</w:t>
      </w:r>
      <w:r w:rsidR="00EF4EDC">
        <w:rPr>
          <w:color w:val="000000"/>
        </w:rPr>
        <w:fldChar w:fldCharType="end"/>
      </w:r>
      <w:r w:rsidR="00E077C9">
        <w:rPr>
          <w:color w:val="000000"/>
        </w:rPr>
        <w:t xml:space="preserve">, </w:t>
      </w:r>
      <w:r w:rsidR="007E7821">
        <w:rPr>
          <w:color w:val="000000"/>
        </w:rPr>
        <w:t>scaling models to be deeper r</w:t>
      </w:r>
      <w:r w:rsidR="0081658B">
        <w:rPr>
          <w:color w:val="000000"/>
        </w:rPr>
        <w:t xml:space="preserve">ather than wider is more efficient </w:t>
      </w:r>
      <w:r w:rsidR="00FB053D">
        <w:rPr>
          <w:color w:val="000000"/>
        </w:rPr>
        <w:t xml:space="preserve">in terms of total parameter count </w:t>
      </w:r>
      <w:r w:rsidR="00FB053D">
        <w:rPr>
          <w:color w:val="000000"/>
        </w:rPr>
        <w:fldChar w:fldCharType="begin"/>
      </w:r>
      <w:r w:rsidR="00BB6527">
        <w:rPr>
          <w:color w:val="000000"/>
        </w:rPr>
        <w:instrText xml:space="preserve"> ADDIN ZOTERO_ITEM CSL_CITATION {"citationID":"Mb4ktQPc","properties":{"formattedCitation":"(Lu et al., 2017)","plainCitation":"(Lu et al., 2017)","noteIndex":0},"citationItems":[{"id":705,"uris":["http://zotero.org/groups/4584967/items/XPRWYQJY"],"itemData":{"id":705,"type":"paper-conference","abstract":"The expressive power of neural networks is important for understanding deep learning. Most existing works consider this problem from the view of the depth of a network. In this paper, we study how width affects the expressiveness of neural networks. Classical results state that depth-bounded (e.g. depth-2) networks with suitable activation functions are universal approximators. We show a universal approximation theorem for width-bounded ReLU networks: width-(n + 4) ReLU networks, where n is the input dimension, are universal approximators. Moreover, except for a measure zero set, all functions cannot be approximated by width-n ReLU networks, which exhibits a phase transition. Several recent works demonstrate the benefits of depth by proving the depth-efficiency of neural networks. That is, there are classes of deep networks which cannot be realized by any shallow network whose size is no more than an exponential bound. Here we pose the dual question on the width-efficiency of ReLU networks: Are there wide networks that cannot be realized by narrow networks whose size is not substantially larger? We show that there exist classes of wide networks which cannot be realized by any narrow network whose depth is no more than a polynomial bound. On the other hand, we demonstrate by extensive experiments that narrow networks whose size exceed the polynomial bound by a constant factor can approximate wide and shallow network with high accuracy. Our results provide more comprehensive evidence that depth may be more effective than width for the expressiveness of ReLU networks.","container-title":"Advances in Neural Information Processing Systems","publisher":"Curran Associates, Inc.","source":"Neural Information Processing Systems","title":"The Expressive Power of Neural Networks: A View from the Width","title-short":"The Expressive Power of Neural Networks","URL":"https://proceedings.neurips.cc/paper_files/paper/2017/hash/32cbf687880eb1674a07bf717761dd3a-Abstract.html","volume":"30","author":[{"family":"Lu","given":"Zhou"},{"family":"Pu","given":"Hongming"},{"family":"Wang","given":"Feicheng"},{"family":"Hu","given":"Zhiqiang"},{"family":"Wang","given":"Liwei"}],"accessed":{"date-parts":[["2024",3,14]]},"issued":{"date-parts":[["2017"]]},"citation-key":"luExpressivePowerNeural2017"}}],"schema":"https://github.com/citation-style-language/schema/raw/master/csl-citation.json"} </w:instrText>
      </w:r>
      <w:r w:rsidR="00FB053D">
        <w:rPr>
          <w:color w:val="000000"/>
        </w:rPr>
        <w:fldChar w:fldCharType="separate"/>
      </w:r>
      <w:r w:rsidR="00FB053D" w:rsidRPr="00FB053D">
        <w:t>(Lu et al., 2017)</w:t>
      </w:r>
      <w:r w:rsidR="00FB053D">
        <w:rPr>
          <w:color w:val="000000"/>
        </w:rPr>
        <w:fldChar w:fldCharType="end"/>
      </w:r>
      <w:r w:rsidR="00FB053D">
        <w:rPr>
          <w:color w:val="000000"/>
        </w:rPr>
        <w:t>.</w:t>
      </w:r>
      <w:r w:rsidR="00237BF5">
        <w:rPr>
          <w:color w:val="000000"/>
        </w:rPr>
        <w:t xml:space="preserve"> These insights </w:t>
      </w:r>
      <w:r w:rsidR="008C29D7">
        <w:rPr>
          <w:color w:val="000000"/>
        </w:rPr>
        <w:t xml:space="preserve">have led to the development of </w:t>
      </w:r>
      <w:r w:rsidR="00BF0930">
        <w:rPr>
          <w:color w:val="000000"/>
        </w:rPr>
        <w:t xml:space="preserve">numerous different deep </w:t>
      </w:r>
      <w:r w:rsidR="00D01405">
        <w:rPr>
          <w:color w:val="000000"/>
        </w:rPr>
        <w:t xml:space="preserve">networks </w:t>
      </w:r>
      <w:r w:rsidR="00085550">
        <w:rPr>
          <w:color w:val="000000"/>
        </w:rPr>
        <w:t>designed</w:t>
      </w:r>
      <w:r w:rsidR="005A33D7">
        <w:rPr>
          <w:color w:val="000000"/>
        </w:rPr>
        <w:t xml:space="preserve"> for a variety of difficult tasks </w:t>
      </w:r>
      <w:r w:rsidR="00D01405">
        <w:rPr>
          <w:color w:val="000000"/>
        </w:rPr>
        <w:t xml:space="preserve">throughout the </w:t>
      </w:r>
      <w:r w:rsidR="008C3CD6">
        <w:rPr>
          <w:color w:val="000000"/>
        </w:rPr>
        <w:t>past decade or so.</w:t>
      </w:r>
    </w:p>
    <w:p w14:paraId="12422994" w14:textId="1298990D" w:rsidR="00516D00" w:rsidRDefault="00264004" w:rsidP="00237BF5">
      <w:pPr>
        <w:pStyle w:val="NormalWeb"/>
        <w:spacing w:before="0" w:beforeAutospacing="0" w:after="0" w:afterAutospacing="0" w:line="480" w:lineRule="auto"/>
        <w:ind w:firstLine="720"/>
        <w:rPr>
          <w:color w:val="000000"/>
        </w:rPr>
      </w:pPr>
      <w:r>
        <w:rPr>
          <w:color w:val="000000"/>
        </w:rPr>
        <w:t>T</w:t>
      </w:r>
      <w:r w:rsidR="00150387">
        <w:rPr>
          <w:color w:val="000000"/>
        </w:rPr>
        <w:t>he</w:t>
      </w:r>
      <w:r w:rsidR="006C36C9">
        <w:rPr>
          <w:color w:val="000000"/>
        </w:rPr>
        <w:t xml:space="preserve"> subfield</w:t>
      </w:r>
      <w:r w:rsidR="00150387">
        <w:rPr>
          <w:color w:val="000000"/>
        </w:rPr>
        <w:t xml:space="preserve"> </w:t>
      </w:r>
      <w:r w:rsidR="006C36C9">
        <w:rPr>
          <w:color w:val="000000"/>
        </w:rPr>
        <w:t xml:space="preserve">of DL </w:t>
      </w:r>
      <w:r w:rsidR="00150387">
        <w:rPr>
          <w:color w:val="000000"/>
        </w:rPr>
        <w:t>most</w:t>
      </w:r>
      <w:r>
        <w:rPr>
          <w:color w:val="000000"/>
        </w:rPr>
        <w:t xml:space="preserve"> likely</w:t>
      </w:r>
      <w:r w:rsidR="00150387">
        <w:rPr>
          <w:color w:val="000000"/>
        </w:rPr>
        <w:t xml:space="preserve"> relevant </w:t>
      </w:r>
      <w:r w:rsidR="006C36C9">
        <w:rPr>
          <w:color w:val="000000"/>
        </w:rPr>
        <w:t xml:space="preserve">to AOD gap-filling is </w:t>
      </w:r>
      <w:r w:rsidR="006739B2">
        <w:rPr>
          <w:color w:val="000000"/>
        </w:rPr>
        <w:t xml:space="preserve">computer vision. </w:t>
      </w:r>
      <w:r w:rsidR="002B03AE">
        <w:rPr>
          <w:color w:val="000000"/>
        </w:rPr>
        <w:t>Computer vision conc</w:t>
      </w:r>
      <w:r w:rsidR="00FF57B1">
        <w:rPr>
          <w:color w:val="000000"/>
        </w:rPr>
        <w:t xml:space="preserve">erns the development of </w:t>
      </w:r>
      <w:r w:rsidR="0037348F">
        <w:rPr>
          <w:color w:val="000000"/>
        </w:rPr>
        <w:t xml:space="preserve">algorithms that can </w:t>
      </w:r>
      <w:r w:rsidR="00A74306">
        <w:rPr>
          <w:color w:val="000000"/>
        </w:rPr>
        <w:t xml:space="preserve">perform image-related tasks. </w:t>
      </w:r>
      <w:r w:rsidR="002F0DDB">
        <w:rPr>
          <w:color w:val="000000"/>
        </w:rPr>
        <w:t xml:space="preserve">These tasks </w:t>
      </w:r>
      <w:r w:rsidR="009203D9">
        <w:rPr>
          <w:color w:val="000000"/>
        </w:rPr>
        <w:t xml:space="preserve">range from </w:t>
      </w:r>
      <w:r w:rsidR="00E36152">
        <w:rPr>
          <w:color w:val="000000"/>
        </w:rPr>
        <w:t xml:space="preserve">simpler </w:t>
      </w:r>
      <w:r w:rsidR="00285B6F">
        <w:rPr>
          <w:color w:val="000000"/>
        </w:rPr>
        <w:t>ones like</w:t>
      </w:r>
      <w:r w:rsidR="000F4E52">
        <w:rPr>
          <w:color w:val="000000"/>
        </w:rPr>
        <w:t xml:space="preserve"> colorization and</w:t>
      </w:r>
      <w:r w:rsidR="00285B6F">
        <w:rPr>
          <w:color w:val="000000"/>
        </w:rPr>
        <w:t xml:space="preserve"> classification (</w:t>
      </w:r>
      <w:r w:rsidR="00E7531B">
        <w:rPr>
          <w:color w:val="000000"/>
        </w:rPr>
        <w:t xml:space="preserve">identifying the subject of an image), to </w:t>
      </w:r>
      <w:r w:rsidR="003757D1">
        <w:rPr>
          <w:color w:val="000000"/>
        </w:rPr>
        <w:t xml:space="preserve">more difficult ones like </w:t>
      </w:r>
      <w:r w:rsidR="009D76FB">
        <w:rPr>
          <w:color w:val="000000"/>
        </w:rPr>
        <w:t>generation</w:t>
      </w:r>
      <w:r w:rsidR="00F243D9">
        <w:rPr>
          <w:color w:val="000000"/>
        </w:rPr>
        <w:t xml:space="preserve"> (</w:t>
      </w:r>
      <w:r w:rsidR="004F529A">
        <w:rPr>
          <w:color w:val="000000"/>
        </w:rPr>
        <w:t>hallucinating new images from the data distribution</w:t>
      </w:r>
      <w:r w:rsidR="00F243D9">
        <w:rPr>
          <w:color w:val="000000"/>
        </w:rPr>
        <w:t>)</w:t>
      </w:r>
      <w:r w:rsidR="00A575E7">
        <w:rPr>
          <w:color w:val="000000"/>
        </w:rPr>
        <w:t>,</w:t>
      </w:r>
      <w:r w:rsidR="000F4E52">
        <w:rPr>
          <w:color w:val="000000"/>
        </w:rPr>
        <w:t xml:space="preserve"> inpainting (</w:t>
      </w:r>
      <w:r w:rsidR="00E42F5D">
        <w:rPr>
          <w:color w:val="000000"/>
        </w:rPr>
        <w:t>proposing contents for a missing interior portion of an image)</w:t>
      </w:r>
      <w:r w:rsidR="00A575E7">
        <w:rPr>
          <w:color w:val="000000"/>
        </w:rPr>
        <w:t>, and object detection (</w:t>
      </w:r>
      <w:r w:rsidR="00672AE8">
        <w:rPr>
          <w:color w:val="000000"/>
        </w:rPr>
        <w:t xml:space="preserve">localizing and identifying objects within an image) </w:t>
      </w:r>
      <w:r w:rsidR="00BB6527">
        <w:rPr>
          <w:color w:val="000000"/>
        </w:rPr>
        <w:fldChar w:fldCharType="begin"/>
      </w:r>
      <w:r w:rsidR="00D202C0">
        <w:rPr>
          <w:color w:val="000000"/>
        </w:rPr>
        <w:instrText xml:space="preserve"> ADDIN ZOTERO_ITEM CSL_CITATION {"citationID":"4cLCQJB8","properties":{"formattedCitation":"(Goodfellow et al., 2014; Lecun et al., 1998; Redmon et al., 2016; Saharia et al., 2022)","plainCitation":"(Goodfellow et al., 2014; Lecun et al., 1998; Redmon et al., 2016; Saharia et al., 2022)","noteIndex":0},"citationItems":[{"id":727,"uris":["http://zotero.org/groups/4584967/items/WIWQ2VWS"],"itemData":{"id":727,"type":"article","abstract":"We propose a new framework for estimating generative models via an adversarial process, in which we simultaneously train two models: a generative model G that captures the data distribution, and a discriminative model D that estimates the probability that a sample came from the training data rather than G. The training procedure for G is to maximize the probability of D making a mistake. This framework corresponds to a minimax two-player game. In the space of arbitrary functions G and D, a unique solution exists, with G recovering the training data distribution and D equal to 1/2 everywhere. In the case where G and D are defined by multilayer perceptrons, the entire system can be trained with backpropagation. There is no need for any Markov chains or unrolled approximate inference networks during either training or generation of samples. Experiments demonstrate the potential of the framework through qualitative and quantitative evaluation of the generated samples.","DOI":"10.48550/arXiv.1406.2661","note":"arXiv:1406.2661 [cs, stat]","number":"arXiv:1406.2661","publisher":"arXiv","source":"arXiv.org","title":"Generative Adversarial Networks","URL":"http://arxiv.org/abs/1406.2661","author":[{"family":"Goodfellow","given":"Ian J."},{"family":"Pouget-Abadie","given":"Jean"},{"family":"Mirza","given":"Mehdi"},{"family":"Xu","given":"Bing"},{"family":"Warde-Farley","given":"David"},{"family":"Ozair","given":"Sherjil"},{"family":"Courville","given":"Aaron"},{"family":"Bengio","given":"Yoshua"}],"accessed":{"date-parts":[["2024",3,15]]},"issued":{"date-parts":[["2014",6,10]]},"citation-key":"goodfellowGenerativeAdversarialNetworks2014"}},{"id":722,"uris":["http://zotero.org/groups/4584967/items/V52R8JQS"],"itemData":{"id":722,"type":"article-journal","abstract":"Multilayer neural networks trained with the back-propagation algorithm constitute the best example of a successful gradient based learning technique. Given an appropriate network architecture, gradient-based learning algorithms can be used to synthesize a complex decision surface that can classify high-dimensional patterns, such as handwritten characters, with minimal preprocessing. This paper reviews various methods applied to handwritten character recognition and compares them on a standard handwritten digit recognition task. Convolutional neural networks, which are specifically designed to deal with the variability of 2D shapes, are shown to outperform all other techniques. Real-life document recognition systems are composed of multiple modules including field extraction, segmentation recognition, and language modeling. A new learning paradigm, called graph transformer networks (GTN), allows such multimodule systems to be trained globally using gradient-based methods so as to minimize an overall performance measure. Two systems for online handwriting recognition are described. Experiments demonstrate the advantage of global training, and the flexibility of graph transformer networks. A graph transformer network for reading a bank cheque is also described. It uses convolutional neural network character recognizers combined with global training techniques to provide record accuracy on business and personal cheques. It is deployed commercially and reads several million cheques per day.","container-title":"Proceedings of the IEEE","DOI":"10.1109/5.726791","ISSN":"1558-2256","issue":"11","note":"event-title: Proceedings of the IEEE","page":"2278-2324","source":"IEEE Xplore","title":"Gradient-based learning applied to document recognition","volume":"86","author":[{"family":"Lecun","given":"Y."},{"family":"Bottou","given":"L."},{"family":"Bengio","given":"Y."},{"family":"Haffner","given":"P."}],"issued":{"date-parts":[["1998",11]]},"citation-key":"lecunGradientbasedLearningApplied1998"}},{"id":721,"uris":["http://zotero.org/groups/4584967/items/EXR3RQFI"],"itemData":{"id":721,"type":"paper-conference","event-title":"Proceedings of the IEEE Conference on Computer Vision and Pattern Recognition","page":"779-788","source":"www.cv-foundation.org","title":"You Only Look Once: Unified, Real-Time Object Detection","title-short":"You Only Look Once","URL":"https://www.cv-foundation.org/openaccess/content_cvpr_2016/html/Redmon_You_Only_Look_CVPR_2016_paper.html","author":[{"family":"Redmon","given":"Joseph"},{"family":"Divvala","given":"Santosh"},{"family":"Girshick","given":"Ross"},{"family":"Farhadi","given":"Ali"}],"accessed":{"date-parts":[["2024",3,15]]},"issued":{"date-parts":[["2016"]]},"citation-key":"redmonYouOnlyLook2016"}},{"id":715,"uris":["http://zotero.org/groups/4584967/items/XTHSZYPD"],"itemData":{"id":715,"type":"article","abstract":"This paper develops a unified framework for image-to-image translation based on conditional diffusion models and evaluates this framework on four challenging image-to-image translation tasks, namely colorization, inpainting, uncropping, and JPEG restoration. Our simple implementation of image-to-image diffusion models outperforms strong GAN and regression baselines on all tasks, without task-specific hyper-parameter tuning, architecture customization, or any auxiliary loss or sophisticated new techniques needed. We uncover the impact of an L2 vs. L1 loss in the denoising diffusion objective on sample diversity, and demonstrate the importance of self-attention in the neural architecture through empirical studies. Importantly, we advocate a unified evaluation protocol based on ImageNet, with human evaluation and sample quality scores (FID, Inception Score, Classification Accuracy of a pre-trained ResNet-50, and Perceptual Distance against original images). We expect this standardized evaluation protocol to play a role in advancing image-to-image translation research. Finally, we show that a generalist, multi-task diffusion model performs as well or better than task-specific specialist counterparts. Check out https://diffusion-palette.github.io for an overview of the results.","DOI":"10.48550/arXiv.2111.05826","note":"arXiv:2111.05826 [cs]","number":"arXiv:2111.05826","publisher":"arXiv","source":"arXiv.org","title":"Palette: Image-to-Image Diffusion Models","title-short":"Palette","URL":"http://arxiv.org/abs/2111.05826","author":[{"family":"Saharia","given":"Chitwan"},{"family":"Chan","given":"William"},{"family":"Chang","given":"Huiwen"},{"family":"Lee","given":"Chris A."},{"family":"Ho","given":"Jonathan"},{"family":"Salimans","given":"Tim"},{"family":"Fleet","given":"David J."},{"family":"Norouzi","given":"Mohammad"}],"accessed":{"date-parts":[["2024",3,14]]},"issued":{"date-parts":[["2022",5,3]]},"citation-key":"sahariaPaletteImagetoImageDiffusion2022"}}],"schema":"https://github.com/citation-style-language/schema/raw/master/csl-citation.json"} </w:instrText>
      </w:r>
      <w:r w:rsidR="00BB6527">
        <w:rPr>
          <w:color w:val="000000"/>
        </w:rPr>
        <w:fldChar w:fldCharType="separate"/>
      </w:r>
      <w:r w:rsidR="00D202C0" w:rsidRPr="00D202C0">
        <w:t>(Goodfellow et al., 2014; Lecun et al., 1998; Redmon et al., 2016; Saharia et al., 2022)</w:t>
      </w:r>
      <w:r w:rsidR="00BB6527">
        <w:rPr>
          <w:color w:val="000000"/>
        </w:rPr>
        <w:fldChar w:fldCharType="end"/>
      </w:r>
      <w:r w:rsidR="00E42F5D">
        <w:rPr>
          <w:color w:val="000000"/>
        </w:rPr>
        <w:t xml:space="preserve">. </w:t>
      </w:r>
      <w:r w:rsidR="003B167E">
        <w:rPr>
          <w:color w:val="000000"/>
        </w:rPr>
        <w:t xml:space="preserve">For most deep learning models within computer vision, a key component is </w:t>
      </w:r>
      <w:r w:rsidR="00CE6CDD">
        <w:rPr>
          <w:color w:val="000000"/>
        </w:rPr>
        <w:t xml:space="preserve">the convolution. </w:t>
      </w:r>
      <w:r w:rsidR="002139B1">
        <w:rPr>
          <w:color w:val="000000"/>
        </w:rPr>
        <w:t xml:space="preserve">Convolutions are spatially local operators </w:t>
      </w:r>
      <w:r w:rsidR="00D57D4C">
        <w:rPr>
          <w:color w:val="000000"/>
        </w:rPr>
        <w:t xml:space="preserve">that output a linear combination of </w:t>
      </w:r>
      <w:r w:rsidR="00C74C55">
        <w:rPr>
          <w:color w:val="000000"/>
        </w:rPr>
        <w:t xml:space="preserve">pixels within a patch. </w:t>
      </w:r>
      <w:r w:rsidR="00D6731F">
        <w:rPr>
          <w:color w:val="000000"/>
        </w:rPr>
        <w:t>Neural networks built using convolutions are called convolutional neural networks (</w:t>
      </w:r>
      <w:r w:rsidR="00E77574">
        <w:rPr>
          <w:color w:val="000000"/>
        </w:rPr>
        <w:t>CNN’s)</w:t>
      </w:r>
      <w:r w:rsidR="00A42476">
        <w:rPr>
          <w:color w:val="000000"/>
        </w:rPr>
        <w:t xml:space="preserve"> </w:t>
      </w:r>
      <w:r w:rsidR="00A42476">
        <w:rPr>
          <w:color w:val="000000"/>
        </w:rPr>
        <w:fldChar w:fldCharType="begin"/>
      </w:r>
      <w:r w:rsidR="00A42476">
        <w:rPr>
          <w:color w:val="000000"/>
        </w:rPr>
        <w:instrText xml:space="preserve"> ADDIN ZOTERO_ITEM CSL_CITATION {"citationID":"BD25ICwf","properties":{"formattedCitation":"(O\\uc0\\u8217{}Shea &amp; Nash, 2015)","plainCitation":"(O’Shea &amp; Nash, 2015)","noteIndex":0},"citationItems":[{"id":723,"uris":["http://zotero.org/groups/4584967/items/F3RVC6ZU"],"itemData":{"id":723,"type":"article","abstract":"The field of machine learning has taken a dramatic twist in recent times, with the rise of the Artificial Neural Network (ANN). These biologically inspired computational models are able to far exceed the performance of previous forms of artificial intelligence in common machine learning tasks. One of the most impressive forms of ANN architecture is that of the Convolutional Neural Network (CNN). CNNs are primarily used to solve difficult image-driven pattern recognition tasks and with their precise yet simple architecture, offers a simplified method of getting started with ANNs. This document provides a brief introduction to CNNs, discussing recently published papers and newly formed techniques in developing these brilliantly fantastic image recognition models. This introduction assumes you are familiar with the fundamentals of ANNs and machine learning.","DOI":"10.48550/arXiv.1511.08458","note":"arXiv:1511.08458 [cs]","number":"arXiv:1511.08458","publisher":"arXiv","source":"arXiv.org","title":"An Introduction to Convolutional Neural Networks","URL":"http://arxiv.org/abs/1511.08458","author":[{"family":"O'Shea","given":"Keiron"},{"family":"Nash","given":"Ryan"}],"accessed":{"date-parts":[["2024",3,15]]},"issued":{"date-parts":[["2015",12,2]]},"citation-key":"osheaIntroductionConvolutionalNeural2015"}}],"schema":"https://github.com/citation-style-language/schema/raw/master/csl-citation.json"} </w:instrText>
      </w:r>
      <w:r w:rsidR="00A42476">
        <w:rPr>
          <w:color w:val="000000"/>
        </w:rPr>
        <w:fldChar w:fldCharType="separate"/>
      </w:r>
      <w:r w:rsidR="00A42476" w:rsidRPr="00A42476">
        <w:t>(O’Shea &amp; Nash, 2015)</w:t>
      </w:r>
      <w:r w:rsidR="00A42476">
        <w:rPr>
          <w:color w:val="000000"/>
        </w:rPr>
        <w:fldChar w:fldCharType="end"/>
      </w:r>
      <w:r w:rsidR="0086023A">
        <w:rPr>
          <w:color w:val="000000"/>
        </w:rPr>
        <w:t xml:space="preserve">. </w:t>
      </w:r>
      <w:r w:rsidR="00E7611C">
        <w:rPr>
          <w:color w:val="000000"/>
        </w:rPr>
        <w:t xml:space="preserve">CNN’s are a natural fit for computer vision tasks because </w:t>
      </w:r>
      <w:r w:rsidR="00A95C18">
        <w:rPr>
          <w:color w:val="000000"/>
        </w:rPr>
        <w:t xml:space="preserve">convolutions are most appropriate for settings </w:t>
      </w:r>
      <w:r w:rsidR="00B60814">
        <w:rPr>
          <w:color w:val="000000"/>
        </w:rPr>
        <w:t xml:space="preserve">that satisfy </w:t>
      </w:r>
      <w:r w:rsidR="0081231D">
        <w:rPr>
          <w:color w:val="000000"/>
        </w:rPr>
        <w:t xml:space="preserve">the </w:t>
      </w:r>
      <w:r w:rsidR="0081231D">
        <w:rPr>
          <w:color w:val="000000"/>
        </w:rPr>
        <w:lastRenderedPageBreak/>
        <w:t>locality assumption, i.e</w:t>
      </w:r>
      <w:r w:rsidR="002209BF">
        <w:rPr>
          <w:color w:val="000000"/>
        </w:rPr>
        <w:t>., objects (pixels in this case)</w:t>
      </w:r>
      <w:r w:rsidR="00A76090">
        <w:rPr>
          <w:color w:val="000000"/>
        </w:rPr>
        <w:t xml:space="preserve"> are only directly influenced by its immediate surroundings</w:t>
      </w:r>
      <w:r w:rsidR="008D4DB2">
        <w:rPr>
          <w:color w:val="000000"/>
        </w:rPr>
        <w:t xml:space="preserve"> (neighboring pixels)</w:t>
      </w:r>
      <w:r w:rsidR="00067BA6">
        <w:rPr>
          <w:color w:val="000000"/>
        </w:rPr>
        <w:t xml:space="preserve"> </w:t>
      </w:r>
      <w:r w:rsidR="00317096">
        <w:rPr>
          <w:color w:val="000000"/>
        </w:rPr>
        <w:fldChar w:fldCharType="begin"/>
      </w:r>
      <w:r w:rsidR="00317096">
        <w:rPr>
          <w:color w:val="000000"/>
        </w:rPr>
        <w:instrText xml:space="preserve"> ADDIN ZOTERO_ITEM CSL_CITATION {"citationID":"3kG7pQUb","properties":{"formattedCitation":"(Albawi et al., 2017)","plainCitation":"(Albawi et al., 2017)","noteIndex":0},"citationItems":[{"id":725,"uris":["http://zotero.org/groups/4584967/items/VHMK9KYB"],"itemData":{"id":725,"type":"paper-conference","abstract":"The term Deep Learning or Deep Neural Network refers to Artificial Neural Networks (ANN) with multi layers. Over the last few decades, it has been considered to be one of the most powerful tools, and has become very popular in the literature as it is able to handle a huge amount of data. The interest in having deeper hidden layers has recently begun to surpass classical methods performance in different fields; especially in pattern recognition. One of the most popular deep neural networks is the Convolutional Neural Network (CNN). It take this name from mathematical linear operation between matrixes called convolution. CNN have multiple layers; including convolutional layer, non-linearity layer, pooling layer and fully-connected layer. The convolutional and fully-connected layers have parameters but pooling and non-linearity layers don't have parameters. The CNN has an excellent performance in machine learning problems. Specially the applications that deal with image data, such as largest image classification data set (Image Net), computer vision, and in natural language processing (NLP) and the results achieved were very amazing. In this paper we will explain and define all the elements and important issues related to CNN, and how these elements work. In addition, we will also state the parameters that effect CNN efficiency. This paper assumes that the readers have adequate knowledge about both machine learning and artificial neural network.","container-title":"2017 International Conference on Engineering and Technology (ICET)","DOI":"10.1109/ICEngTechnol.2017.8308186","event-title":"2017 International Conference on Engineering and Technology (ICET)","page":"1-6","source":"IEEE Xplore","title":"Understanding of a convolutional neural network","URL":"https://ieeexplore.ieee.org/abstract/document/8308186","author":[{"family":"Albawi","given":"Saad"},{"family":"Mohammed","given":"Tareq Abed"},{"family":"Al-Zawi","given":"Saad"}],"accessed":{"date-parts":[["2024",3,15]]},"issued":{"date-parts":[["2017",8]]},"citation-key":"albawiUnderstandingConvolutionalNeural2017"}}],"schema":"https://github.com/citation-style-language/schema/raw/master/csl-citation.json"} </w:instrText>
      </w:r>
      <w:r w:rsidR="00317096">
        <w:rPr>
          <w:color w:val="000000"/>
        </w:rPr>
        <w:fldChar w:fldCharType="separate"/>
      </w:r>
      <w:r w:rsidR="00317096" w:rsidRPr="00317096">
        <w:t>(Albawi et al., 2017)</w:t>
      </w:r>
      <w:r w:rsidR="00317096">
        <w:rPr>
          <w:color w:val="000000"/>
        </w:rPr>
        <w:fldChar w:fldCharType="end"/>
      </w:r>
      <w:r w:rsidR="00A76090">
        <w:rPr>
          <w:color w:val="000000"/>
        </w:rPr>
        <w:t>.</w:t>
      </w:r>
      <w:r w:rsidR="00212268">
        <w:rPr>
          <w:color w:val="000000"/>
        </w:rPr>
        <w:t xml:space="preserve"> Problems within atmospheric science </w:t>
      </w:r>
      <w:r w:rsidR="00CF29BC">
        <w:rPr>
          <w:color w:val="000000"/>
        </w:rPr>
        <w:t xml:space="preserve">that work with </w:t>
      </w:r>
      <w:r w:rsidR="00525A94">
        <w:rPr>
          <w:color w:val="000000"/>
        </w:rPr>
        <w:t>regularly gridded data can be easily casted as computer vision problems,</w:t>
      </w:r>
      <w:r w:rsidR="00586B10">
        <w:rPr>
          <w:color w:val="000000"/>
        </w:rPr>
        <w:t xml:space="preserve"> because data points can be interpreted as pixels of an image</w:t>
      </w:r>
      <w:r w:rsidR="00EA546D">
        <w:rPr>
          <w:color w:val="000000"/>
        </w:rPr>
        <w:t xml:space="preserve"> and different input datasets can be </w:t>
      </w:r>
      <w:r w:rsidR="00483083">
        <w:rPr>
          <w:color w:val="000000"/>
        </w:rPr>
        <w:t xml:space="preserve">viewed as channels of the image (in the same </w:t>
      </w:r>
      <w:r w:rsidR="00892FF1">
        <w:rPr>
          <w:color w:val="000000"/>
        </w:rPr>
        <w:t>way red, green, and blue channels compose an RGB image, for instance).</w:t>
      </w:r>
    </w:p>
    <w:p w14:paraId="37F7A149" w14:textId="78BCE75B" w:rsidR="006C5260" w:rsidRDefault="007F71C9" w:rsidP="00DC05E7">
      <w:pPr>
        <w:pStyle w:val="NormalWeb"/>
        <w:spacing w:before="0" w:beforeAutospacing="0" w:after="0" w:afterAutospacing="0" w:line="480" w:lineRule="auto"/>
        <w:ind w:firstLine="720"/>
        <w:rPr>
          <w:color w:val="000000"/>
        </w:rPr>
      </w:pPr>
      <w:r>
        <w:rPr>
          <w:color w:val="000000"/>
        </w:rPr>
        <w:t xml:space="preserve">One of the </w:t>
      </w:r>
      <w:r w:rsidR="00851273">
        <w:rPr>
          <w:color w:val="000000"/>
        </w:rPr>
        <w:t xml:space="preserve">earliest </w:t>
      </w:r>
      <w:r w:rsidR="001311C1">
        <w:rPr>
          <w:color w:val="000000"/>
        </w:rPr>
        <w:t xml:space="preserve">DL computer vision models is </w:t>
      </w:r>
      <w:r w:rsidR="00C95FD2">
        <w:rPr>
          <w:color w:val="000000"/>
        </w:rPr>
        <w:t xml:space="preserve">the Visual Geometry Group (VGG), </w:t>
      </w:r>
      <w:r w:rsidR="00E636CA">
        <w:rPr>
          <w:color w:val="000000"/>
        </w:rPr>
        <w:t xml:space="preserve">originally developed for image classification </w:t>
      </w:r>
      <w:r w:rsidR="00843C05">
        <w:rPr>
          <w:color w:val="000000"/>
        </w:rPr>
        <w:fldChar w:fldCharType="begin"/>
      </w:r>
      <w:r w:rsidR="00BB6527">
        <w:rPr>
          <w:color w:val="000000"/>
        </w:rPr>
        <w:instrText xml:space="preserve"> ADDIN ZOTERO_ITEM CSL_CITATION {"citationID":"8oQU1Y1t","properties":{"formattedCitation":"(Simonyan &amp; Zisserman, 2015)","plainCitation":"(Simonyan &amp; Zisserman, 2015)","noteIndex":0},"citationItems":[{"id":710,"uris":["http://zotero.org/groups/4584967/items/KD4IPY75"],"itemData":{"id":710,"type":"article","abstract":"In this work we investigate the effect of the convolutional network depth on its accuracy in the large-scale image recognition setting. Our main contribution is a thorough evaluation of networks of increasing depth using an architecture with very small (3x3) convolution filters, which shows that a significant improvement on the prior-art configurations can be achieved by pushing the depth to 16-19 weight layers. These findings were the basis of our ImageNet Challenge 2014 submission, where our team secured the first and the second places in the localisation and classification tracks respectively. We also show that our representations generalise well to other datasets, where they achieve state-of-the-art results. We have made our two best-performing ConvNet models publicly available to facilitate further research on the use of deep visual representations in computer vision.","DOI":"10.48550/arXiv.1409.1556","note":"arXiv:1409.1556 [cs]","number":"arXiv:1409.1556","publisher":"arXiv","source":"arXiv.org","title":"Very Deep Convolutional Networks for Large-Scale Image Recognition","URL":"http://arxiv.org/abs/1409.1556","author":[{"family":"Simonyan","given":"Karen"},{"family":"Zisserman","given":"Andrew"}],"accessed":{"date-parts":[["2024",3,14]]},"issued":{"date-parts":[["2015",4,10]]},"citation-key":"simonyanVeryDeepConvolutional2015"}}],"schema":"https://github.com/citation-style-language/schema/raw/master/csl-citation.json"} </w:instrText>
      </w:r>
      <w:r w:rsidR="00843C05">
        <w:rPr>
          <w:color w:val="000000"/>
        </w:rPr>
        <w:fldChar w:fldCharType="separate"/>
      </w:r>
      <w:r w:rsidR="00843C05" w:rsidRPr="00843C05">
        <w:t>(Simonyan &amp; Zisserman, 2015)</w:t>
      </w:r>
      <w:r w:rsidR="00843C05">
        <w:rPr>
          <w:color w:val="000000"/>
        </w:rPr>
        <w:fldChar w:fldCharType="end"/>
      </w:r>
      <w:r w:rsidR="00843C05">
        <w:rPr>
          <w:color w:val="000000"/>
        </w:rPr>
        <w:t>.</w:t>
      </w:r>
      <w:r w:rsidR="002D0D4F">
        <w:rPr>
          <w:color w:val="000000"/>
        </w:rPr>
        <w:t xml:space="preserve"> It</w:t>
      </w:r>
      <w:r w:rsidR="002B0FC8">
        <w:rPr>
          <w:color w:val="000000"/>
        </w:rPr>
        <w:t xml:space="preserve"> passes </w:t>
      </w:r>
      <w:r w:rsidR="001D07D3">
        <w:rPr>
          <w:color w:val="000000"/>
        </w:rPr>
        <w:t xml:space="preserve">an input image through 16-19 convolutional layers </w:t>
      </w:r>
      <w:r w:rsidR="00A70253">
        <w:rPr>
          <w:color w:val="000000"/>
        </w:rPr>
        <w:t>and outputs a probability distribution o</w:t>
      </w:r>
      <w:r w:rsidR="0090093F">
        <w:rPr>
          <w:color w:val="000000"/>
        </w:rPr>
        <w:t xml:space="preserve">ver the different image classes. </w:t>
      </w:r>
      <w:r w:rsidR="00C4279D">
        <w:rPr>
          <w:color w:val="000000"/>
        </w:rPr>
        <w:t xml:space="preserve">For use in AOD gap-filling, </w:t>
      </w:r>
      <w:r w:rsidR="00014106">
        <w:rPr>
          <w:color w:val="000000"/>
        </w:rPr>
        <w:t xml:space="preserve">VGG can be adapted to </w:t>
      </w:r>
      <w:r w:rsidR="00C4279D">
        <w:rPr>
          <w:color w:val="000000"/>
        </w:rPr>
        <w:t>output continuous values instead</w:t>
      </w:r>
      <w:r w:rsidR="006B5A5D">
        <w:rPr>
          <w:color w:val="000000"/>
        </w:rPr>
        <w:t xml:space="preserve"> of a distribution</w:t>
      </w:r>
      <w:r w:rsidR="00027EB6">
        <w:rPr>
          <w:color w:val="000000"/>
        </w:rPr>
        <w:t>. However, since the output of</w:t>
      </w:r>
      <w:r w:rsidR="002A166E">
        <w:rPr>
          <w:color w:val="000000"/>
        </w:rPr>
        <w:t xml:space="preserve"> this adapted</w:t>
      </w:r>
      <w:r w:rsidR="00027EB6">
        <w:rPr>
          <w:color w:val="000000"/>
        </w:rPr>
        <w:t xml:space="preserve"> VGG </w:t>
      </w:r>
      <w:r w:rsidR="00A96376">
        <w:rPr>
          <w:color w:val="000000"/>
        </w:rPr>
        <w:t>would be</w:t>
      </w:r>
      <w:r w:rsidR="002A166E">
        <w:rPr>
          <w:color w:val="000000"/>
        </w:rPr>
        <w:t xml:space="preserve"> a</w:t>
      </w:r>
      <w:r w:rsidR="00027EB6">
        <w:rPr>
          <w:color w:val="000000"/>
        </w:rPr>
        <w:t xml:space="preserve"> </w:t>
      </w:r>
      <w:r w:rsidR="00A73BE4">
        <w:rPr>
          <w:color w:val="000000"/>
        </w:rPr>
        <w:t>1x1</w:t>
      </w:r>
      <w:r w:rsidR="002A166E">
        <w:rPr>
          <w:color w:val="000000"/>
        </w:rPr>
        <w:t xml:space="preserve"> pixel</w:t>
      </w:r>
      <w:r w:rsidR="00A73BE4">
        <w:rPr>
          <w:color w:val="000000"/>
        </w:rPr>
        <w:t xml:space="preserve">, </w:t>
      </w:r>
      <w:r w:rsidR="00DA3914">
        <w:rPr>
          <w:color w:val="000000"/>
        </w:rPr>
        <w:t>the operational use of VGG</w:t>
      </w:r>
      <w:r w:rsidR="00555A91">
        <w:rPr>
          <w:color w:val="000000"/>
        </w:rPr>
        <w:t xml:space="preserve"> for gap-filling</w:t>
      </w:r>
      <w:r w:rsidR="00DA3914">
        <w:rPr>
          <w:color w:val="000000"/>
        </w:rPr>
        <w:t xml:space="preserve"> would</w:t>
      </w:r>
      <w:r w:rsidR="00D35973">
        <w:rPr>
          <w:color w:val="000000"/>
        </w:rPr>
        <w:t xml:space="preserve"> be</w:t>
      </w:r>
      <w:r w:rsidR="00370BF0">
        <w:rPr>
          <w:color w:val="000000"/>
        </w:rPr>
        <w:t xml:space="preserve"> inefficient. This is because </w:t>
      </w:r>
      <w:r w:rsidR="00913CB5">
        <w:rPr>
          <w:color w:val="000000"/>
        </w:rPr>
        <w:t xml:space="preserve">in gap-filling two neighboring </w:t>
      </w:r>
      <w:r w:rsidR="008354D2">
        <w:rPr>
          <w:color w:val="000000"/>
        </w:rPr>
        <w:t xml:space="preserve">missing pixels, </w:t>
      </w:r>
      <w:r w:rsidR="000451AF">
        <w:rPr>
          <w:color w:val="000000"/>
        </w:rPr>
        <w:t xml:space="preserve">VGG would </w:t>
      </w:r>
      <w:r w:rsidR="00020672">
        <w:rPr>
          <w:color w:val="000000"/>
        </w:rPr>
        <w:t>have to be run over two inputs that are mostly identical.</w:t>
      </w:r>
      <w:r w:rsidR="004E06A2">
        <w:rPr>
          <w:color w:val="000000"/>
        </w:rPr>
        <w:t xml:space="preserve"> </w:t>
      </w:r>
      <w:r w:rsidR="00B84642">
        <w:rPr>
          <w:color w:val="000000"/>
        </w:rPr>
        <w:t>This presents efficiency issues that can be avoided by using a different type of model architecture.</w:t>
      </w:r>
    </w:p>
    <w:p w14:paraId="11896721" w14:textId="1BE8E20D" w:rsidR="00161C65" w:rsidRDefault="003F7409" w:rsidP="00406204">
      <w:pPr>
        <w:pStyle w:val="NormalWeb"/>
        <w:spacing w:before="0" w:beforeAutospacing="0" w:after="0" w:afterAutospacing="0" w:line="480" w:lineRule="auto"/>
        <w:ind w:firstLine="720"/>
        <w:rPr>
          <w:color w:val="000000"/>
        </w:rPr>
      </w:pPr>
      <w:r>
        <w:rPr>
          <w:color w:val="000000"/>
        </w:rPr>
        <w:t xml:space="preserve">In contrast, </w:t>
      </w:r>
      <w:r w:rsidR="00362CD6">
        <w:rPr>
          <w:color w:val="000000"/>
        </w:rPr>
        <w:t xml:space="preserve">another class of </w:t>
      </w:r>
      <w:r w:rsidR="004640ED">
        <w:rPr>
          <w:color w:val="000000"/>
        </w:rPr>
        <w:t>CNN’s,</w:t>
      </w:r>
      <w:r w:rsidR="00756598">
        <w:rPr>
          <w:color w:val="000000"/>
        </w:rPr>
        <w:t xml:space="preserve"> the UNet</w:t>
      </w:r>
      <w:r w:rsidR="005F33EA">
        <w:rPr>
          <w:color w:val="000000"/>
        </w:rPr>
        <w:t xml:space="preserve"> </w:t>
      </w:r>
      <w:r w:rsidR="00660305">
        <w:rPr>
          <w:color w:val="000000"/>
        </w:rPr>
        <w:fldChar w:fldCharType="begin"/>
      </w:r>
      <w:r w:rsidR="00BB6527">
        <w:rPr>
          <w:color w:val="000000"/>
        </w:rPr>
        <w:instrText xml:space="preserve"> ADDIN ZOTERO_ITEM CSL_CITATION {"citationID":"fhqJeODq","properties":{"formattedCitation":"(Ronneberger et al., 2015)","plainCitation":"(Ronneberger et al., 2015)","noteIndex":0},"citationItems":[{"id":712,"uris":["http://zotero.org/groups/4584967/items/8YUFHXX6"],"itemData":{"id":712,"type":"article","abstract":"There is large consent that successful training of deep networks requires many thousand annotated training samples. In this paper, we present a network and training strategy that relies on the strong use of data augmentation to use the available annotated samples more efficiently. The architecture consists of a contracting path to capture context and a symmetric expanding path that enables precise localization. We show that such a network can be trained end-to-end from very few images and outperforms the prior best method (a sliding-window convolutional network) on the ISBI challenge for segmentation of neuronal structures in electron microscopic stacks. Using the same network trained on transmitted light microscopy images (phase contrast and DIC) we won the ISBI cell tracking challenge 2015 in these categories by a large margin. Moreover, the network is fast. Segmentation of a 512x512 image takes less than a second on a recent GPU. The full implementation (based on Caffe) and the trained networks are available at http://lmb.informatik.uni-freiburg.de/people/ronneber/u-net .","DOI":"10.48550/arXiv.1505.04597","note":"arXiv:1505.04597 [cs]","number":"arXiv:1505.04597","publisher":"arXiv","source":"arXiv.org","title":"U-Net: Convolutional Networks for Biomedical Image Segmentation","title-short":"U-Net","URL":"http://arxiv.org/abs/1505.04597","author":[{"family":"Ronneberger","given":"Olaf"},{"family":"Fischer","given":"Philipp"},{"family":"Brox","given":"Thomas"}],"accessed":{"date-parts":[["2024",3,14]]},"issued":{"date-parts":[["2015",5,18]]},"citation-key":"ronnebergerUNetConvolutionalNetworks2015"}}],"schema":"https://github.com/citation-style-language/schema/raw/master/csl-citation.json"} </w:instrText>
      </w:r>
      <w:r w:rsidR="00660305">
        <w:rPr>
          <w:color w:val="000000"/>
        </w:rPr>
        <w:fldChar w:fldCharType="separate"/>
      </w:r>
      <w:r w:rsidR="00660305" w:rsidRPr="00660305">
        <w:t>(Ronneberger et al., 2015)</w:t>
      </w:r>
      <w:r w:rsidR="00660305">
        <w:rPr>
          <w:color w:val="000000"/>
        </w:rPr>
        <w:fldChar w:fldCharType="end"/>
      </w:r>
      <w:r w:rsidR="00756598">
        <w:rPr>
          <w:color w:val="000000"/>
        </w:rPr>
        <w:t xml:space="preserve">, seems particularly well-suited to this setting. </w:t>
      </w:r>
      <w:r w:rsidR="00EB1186">
        <w:rPr>
          <w:color w:val="000000"/>
        </w:rPr>
        <w:t xml:space="preserve">While </w:t>
      </w:r>
      <w:r w:rsidR="004F56F2">
        <w:rPr>
          <w:color w:val="000000"/>
        </w:rPr>
        <w:t>they</w:t>
      </w:r>
      <w:r w:rsidR="00EB1186">
        <w:rPr>
          <w:color w:val="000000"/>
        </w:rPr>
        <w:t xml:space="preserve"> w</w:t>
      </w:r>
      <w:r w:rsidR="004F56F2">
        <w:rPr>
          <w:color w:val="000000"/>
        </w:rPr>
        <w:t>ere</w:t>
      </w:r>
      <w:r w:rsidR="00EB1186">
        <w:rPr>
          <w:color w:val="000000"/>
        </w:rPr>
        <w:t xml:space="preserve"> originally developed for image segmentation, </w:t>
      </w:r>
      <w:r w:rsidR="00943165">
        <w:rPr>
          <w:color w:val="000000"/>
        </w:rPr>
        <w:t xml:space="preserve">much like VGG, </w:t>
      </w:r>
      <w:r w:rsidR="004F56F2">
        <w:rPr>
          <w:color w:val="000000"/>
        </w:rPr>
        <w:t>UNets</w:t>
      </w:r>
      <w:r w:rsidR="00943165">
        <w:rPr>
          <w:color w:val="000000"/>
        </w:rPr>
        <w:t xml:space="preserve"> can easily be repurposed to output continuous values instead. </w:t>
      </w:r>
      <w:r w:rsidR="004F56F2">
        <w:rPr>
          <w:color w:val="000000"/>
        </w:rPr>
        <w:t xml:space="preserve">However, </w:t>
      </w:r>
      <w:r w:rsidR="008B2156">
        <w:rPr>
          <w:color w:val="000000"/>
        </w:rPr>
        <w:t xml:space="preserve">unlike VGG, UNets </w:t>
      </w:r>
      <w:r w:rsidR="00885F23">
        <w:rPr>
          <w:color w:val="000000"/>
        </w:rPr>
        <w:t>have the same spatial dimensions for both its inputs and outputs</w:t>
      </w:r>
      <w:r w:rsidR="00AB111C">
        <w:rPr>
          <w:color w:val="000000"/>
        </w:rPr>
        <w:t xml:space="preserve">. </w:t>
      </w:r>
      <w:r w:rsidR="00746F87">
        <w:rPr>
          <w:color w:val="000000"/>
        </w:rPr>
        <w:t xml:space="preserve">Moreover, </w:t>
      </w:r>
      <w:r w:rsidR="00B81CDF">
        <w:rPr>
          <w:color w:val="000000"/>
        </w:rPr>
        <w:t xml:space="preserve">different variants of UNet have </w:t>
      </w:r>
      <w:r w:rsidR="008B4B02">
        <w:rPr>
          <w:color w:val="000000"/>
        </w:rPr>
        <w:t xml:space="preserve">achieved </w:t>
      </w:r>
      <w:r w:rsidR="008A78DA">
        <w:rPr>
          <w:color w:val="000000"/>
        </w:rPr>
        <w:t>success</w:t>
      </w:r>
      <w:r w:rsidR="006E5B4A">
        <w:rPr>
          <w:color w:val="000000"/>
        </w:rPr>
        <w:t>ful results</w:t>
      </w:r>
      <w:r w:rsidR="008A78DA">
        <w:rPr>
          <w:color w:val="000000"/>
        </w:rPr>
        <w:t xml:space="preserve"> in different </w:t>
      </w:r>
      <w:r w:rsidR="00835A81">
        <w:rPr>
          <w:color w:val="000000"/>
        </w:rPr>
        <w:t xml:space="preserve">applications, from </w:t>
      </w:r>
      <w:r w:rsidR="00483D97">
        <w:rPr>
          <w:color w:val="000000"/>
        </w:rPr>
        <w:t xml:space="preserve">medical image segmentation </w:t>
      </w:r>
      <w:r w:rsidR="00097F6F">
        <w:rPr>
          <w:color w:val="000000"/>
        </w:rPr>
        <w:fldChar w:fldCharType="begin"/>
      </w:r>
      <w:r w:rsidR="00BB6527">
        <w:rPr>
          <w:color w:val="000000"/>
        </w:rPr>
        <w:instrText xml:space="preserve"> ADDIN ZOTERO_ITEM CSL_CITATION {"citationID":"xmgmcPdM","properties":{"formattedCitation":"(Huang et al., 2020; Ronneberger et al., 2015; Zhou et al., 2018)","plainCitation":"(Huang et al., 2020; Ronneberger et al., 2015; Zhou et al., 2018)","noteIndex":0},"citationItems":[{"id":20,"uris":["http://zotero.org/users/8992256/items/XEPTYGQ7"],"itemData":{"id":20,"type":"paper-conference","abstract":"Recently, a growing interest has been seen in deep learningbased semantic segmentation. UNet, which is one of deep learning networks with an encoder-decoder architecture, is widely used in medical image segmentation. Combining multi-scale features is one of important factors for accurate segmentation. UNet++ was developed as a modified Unet by designing an architecture with nested and dense skip connections. However, it does not explore sufficient information from full scales and there is still a large room for improvement. In this paper, we propose a novel UNet 3+, which takes advantage of full-scale skip connections and deep supervisions. The full-scale skip connections incorporate low-level details with high-level semantics from feature maps in different scales; while the deep supervision learns hierarchical representations from the full-scale aggregated feature maps. The proposed method is especially benefiting for organs that appear at varying scales. In addition to accuracy improvements, the proposed UNet 3+ can reduce the network parameters to improve the computation efficiency. We further propose a hybrid loss function and devise a classification-guided module to enhance the organ boundary and reduce the over-segmentation in a non-organ image, yielding more accurate segmentation results. The effectiveness of the proposed method is demonstrated on two datasets. The code is available at: github.com/ZJUGiveLab/UNet-Version Index Terms—Segmentation, Full-scale skip connection, Deep supervision, Hybrid loss function, Classification.","container-title":"ICASSP 2020 - 2020 IEEE International Conference on Acoustics, Speech and Signal Processing (ICASSP)","DOI":"10.1109/ICASSP40776.2020.9053405","event-place":"Barcelona, Spain","event-title":"ICASSP 2020 - 2020 IEEE International Conference on Acoustics, Speech and Signal Processing (ICASSP)","ISBN":"978-1-5090-6631-5","language":"en","page":"1055-1059","publisher":"IEEE","publisher-place":"Barcelona, Spain","source":"DOI.org (Crossref)","title":"UNet 3+: A Full-Scale Connected UNet for Medical Image Segmentation","title-short":"UNet 3+","URL":"https://ieeexplore.ieee.org/document/9053405/","author":[{"family":"Huang","given":"Huimin"},{"family":"Lin","given":"Lanfen"},{"family":"Tong","given":"Ruofeng"},{"family":"Hu","given":"Hongjie"},{"family":"Zhang","given":"Qiaowei"},{"family":"Iwamoto","given":"Yutaro"},{"family":"Han","given":"Xianhua"},{"family":"Chen","given":"Yen-Wei"},{"family":"Wu","given":"Jian"}],"accessed":{"date-parts":[["2022",8,18]]},"issued":{"date-parts":[["2020",5]]},"citation-key":"huangUNetFullScaleConnected2020"}},{"id":712,"uris":["http://zotero.org/groups/4584967/items/8YUFHXX6"],"itemData":{"id":712,"type":"article","abstract":"There is large consent that successful training of deep networks requires many thousand annotated training samples. In this paper, we present a network and training strategy that relies on the strong use of data augmentation to use the available annotated samples more efficiently. The architecture consists of a contracting path to capture context and a symmetric expanding path that enables precise localization. We show that such a network can be trained end-to-end from very few images and outperforms the prior best method (a sliding-window convolutional network) on the ISBI challenge for segmentation of neuronal structures in electron microscopic stacks. Using the same network trained on transmitted light microscopy images (phase contrast and DIC) we won the ISBI cell tracking challenge 2015 in these categories by a large margin. Moreover, the network is fast. Segmentation of a 512x512 image takes less than a second on a recent GPU. The full implementation (based on Caffe) and the trained networks are available at http://lmb.informatik.uni-freiburg.de/people/ronneber/u-net .","DOI":"10.48550/arXiv.1505.04597","note":"arXiv:1505.04597 [cs]","number":"arXiv:1505.04597","publisher":"arXiv","source":"arXiv.org","title":"U-Net: Convolutional Networks for Biomedical Image Segmentation","title-short":"U-Net","URL":"http://arxiv.org/abs/1505.04597","author":[{"family":"Ronneberger","given":"Olaf"},{"family":"Fischer","given":"Philipp"},{"family":"Brox","given":"Thomas"}],"accessed":{"date-parts":[["2024",3,14]]},"issued":{"date-parts":[["2015",5,18]]},"citation-key":"ronnebergerUNetConvolutionalNetworks2015"}},{"id":714,"uris":["http://zotero.org/groups/4584967/items/3K2I6FWC"],"itemData":{"id":714,"type":"paper-conference","abstract":"In this paper, we present UNet++, a new, more powerful architecture for medical image segmentation. Our architecture is essentially a deeply-supervised encoder-decoder network where the encoder and decoder sub-networks are connected through a series of nested, dense skip pathways. The re-designed skip pathways aim at reducing the semantic gap between the feature maps of the encoder and decoder sub-networks. We argue that the optimizer would deal with an easier learning task when the feature maps from the decoder and encoder networks are semantically similar. We have evaluated UNet++ in comparison with U-Net and wide U-Net architectures across multiple medical image segmentation tasks: nodule segmentation in the low-dose CT scans of chest, nuclei segmentation in the microscopy images, liver segmentation in abdominal CT scans, and polyp segmentation in colonoscopy videos. Our experiments demonstrate that UNet++ with deep supervision achieves an average IoU gain of 3.9 and 3.4 points over U-Net and wide U-Net, respectively.","container-title":"Deep Learning in Medical Image Analysis and Multimodal Learning for Clinical Decision Support","DOI":"10.1007/978-3-030-00889-5_1","event-place":"Cham","ISBN":"978-3-030-00889-5","language":"en","page":"3-11","publisher":"Springer International Publishing","publisher-place":"Cham","source":"Springer Link","title":"UNet++: A Nested U-Net Architecture for Medical Image Segmentation","title-short":"UNet++","author":[{"family":"Zhou","given":"Zongwei"},{"family":"Rahman Siddiquee","given":"Md Mahfuzur"},{"family":"Tajbakhsh","given":"Nima"},{"family":"Liang","given":"Jianming"}],"editor":[{"family":"Stoyanov","given":"Danail"},{"family":"Taylor","given":"Zeike"},{"family":"Carneiro","given":"Gustavo"},{"family":"Syeda-Mahmood","given":"Tanveer"},{"family":"Martel","given":"Anne"},{"family":"Maier-Hein","given":"Lena"},{"family":"Tavares","given":"João Manuel R.S."},{"family":"Bradley","given":"Andrew"},{"family":"Papa","given":"João Paulo"},{"family":"Belagiannis","given":"Vasileios"},{"family":"Nascimento","given":"Jacinto C."},{"family":"Lu","given":"Zhi"},{"family":"Conjeti","given":"Sailesh"},{"family":"Moradi","given":"Mehdi"},{"family":"Greenspan","given":"Hayit"},{"family":"Madabhushi","given":"Anant"}],"issued":{"date-parts":[["2018"]]},"citation-key":"zhouUNetNestedUNet2018"}}],"schema":"https://github.com/citation-style-language/schema/raw/master/csl-citation.json"} </w:instrText>
      </w:r>
      <w:r w:rsidR="00097F6F">
        <w:rPr>
          <w:color w:val="000000"/>
        </w:rPr>
        <w:fldChar w:fldCharType="separate"/>
      </w:r>
      <w:r w:rsidR="00097F6F" w:rsidRPr="00097F6F">
        <w:t>(Huang et al., 2020; Ronneberger et al., 2015; Zhou et al., 2018)</w:t>
      </w:r>
      <w:r w:rsidR="00097F6F">
        <w:rPr>
          <w:color w:val="000000"/>
        </w:rPr>
        <w:fldChar w:fldCharType="end"/>
      </w:r>
      <w:r w:rsidR="006E5B4A">
        <w:rPr>
          <w:color w:val="000000"/>
        </w:rPr>
        <w:t>,</w:t>
      </w:r>
      <w:r w:rsidR="002D1BCA">
        <w:rPr>
          <w:color w:val="000000"/>
        </w:rPr>
        <w:t xml:space="preserve"> </w:t>
      </w:r>
      <w:r w:rsidR="00C110D4">
        <w:rPr>
          <w:color w:val="000000"/>
        </w:rPr>
        <w:t>image colorization</w:t>
      </w:r>
      <w:r w:rsidR="00FA342C">
        <w:rPr>
          <w:color w:val="000000"/>
        </w:rPr>
        <w:t>/inpainting/uncropping/</w:t>
      </w:r>
      <w:r w:rsidR="00AD3489">
        <w:rPr>
          <w:color w:val="000000"/>
        </w:rPr>
        <w:t xml:space="preserve">restoration </w:t>
      </w:r>
      <w:r w:rsidR="00031423">
        <w:rPr>
          <w:color w:val="000000"/>
        </w:rPr>
        <w:fldChar w:fldCharType="begin"/>
      </w:r>
      <w:r w:rsidR="00BB6527">
        <w:rPr>
          <w:color w:val="000000"/>
        </w:rPr>
        <w:instrText xml:space="preserve"> ADDIN ZOTERO_ITEM CSL_CITATION {"citationID":"Dh2BdkeI","properties":{"formattedCitation":"(Saharia et al., 2022)","plainCitation":"(Saharia et al., 2022)","noteIndex":0},"citationItems":[{"id":715,"uris":["http://zotero.org/groups/4584967/items/XTHSZYPD"],"itemData":{"id":715,"type":"article","abstract":"This paper develops a unified framework for image-to-image translation based on conditional diffusion models and evaluates this framework on four challenging image-to-image translation tasks, namely colorization, inpainting, uncropping, and JPEG restoration. Our simple implementation of image-to-image diffusion models outperforms strong GAN and regression baselines on all tasks, without task-specific hyper-parameter tuning, architecture customization, or any auxiliary loss or sophisticated new techniques needed. We uncover the impact of an L2 vs. L1 loss in the denoising diffusion objective on sample diversity, and demonstrate the importance of self-attention in the neural architecture through empirical studies. Importantly, we advocate a unified evaluation protocol based on ImageNet, with human evaluation and sample quality scores (FID, Inception Score, Classification Accuracy of a pre-trained ResNet-50, and Perceptual Distance against original images). We expect this standardized evaluation protocol to play a role in advancing image-to-image translation research. Finally, we show that a generalist, multi-task diffusion model performs as well or better than task-specific specialist counterparts. Check out https://diffusion-palette.github.io for an overview of the results.","DOI":"10.48550/arXiv.2111.05826","note":"arXiv:2111.05826 [cs]","number":"arXiv:2111.05826","publisher":"arXiv","source":"arXiv.org","title":"Palette: Image-to-Image Diffusion Models","title-short":"Palette","URL":"http://arxiv.org/abs/2111.05826","author":[{"family":"Saharia","given":"Chitwan"},{"family":"Chan","given":"William"},{"family":"Chang","given":"Huiwen"},{"family":"Lee","given":"Chris A."},{"family":"Ho","given":"Jonathan"},{"family":"Salimans","given":"Tim"},{"family":"Fleet","given":"David J."},{"family":"Norouzi","given":"Mohammad"}],"accessed":{"date-parts":[["2024",3,14]]},"issued":{"date-parts":[["2022",5,3]]},"citation-key":"sahariaPaletteImagetoImageDiffusion2022"}}],"schema":"https://github.com/citation-style-language/schema/raw/master/csl-citation.json"} </w:instrText>
      </w:r>
      <w:r w:rsidR="00031423">
        <w:rPr>
          <w:color w:val="000000"/>
        </w:rPr>
        <w:fldChar w:fldCharType="separate"/>
      </w:r>
      <w:r w:rsidR="00031423" w:rsidRPr="00031423">
        <w:t>(Saharia et al., 2022)</w:t>
      </w:r>
      <w:r w:rsidR="00031423">
        <w:rPr>
          <w:color w:val="000000"/>
        </w:rPr>
        <w:fldChar w:fldCharType="end"/>
      </w:r>
      <w:r w:rsidR="006E5B4A">
        <w:rPr>
          <w:color w:val="000000"/>
        </w:rPr>
        <w:t xml:space="preserve">, </w:t>
      </w:r>
      <w:r w:rsidR="006E5B4A">
        <w:rPr>
          <w:color w:val="000000"/>
        </w:rPr>
        <w:lastRenderedPageBreak/>
        <w:t xml:space="preserve">and </w:t>
      </w:r>
      <w:r w:rsidR="004D7384">
        <w:rPr>
          <w:color w:val="000000"/>
        </w:rPr>
        <w:t xml:space="preserve">meteorology </w:t>
      </w:r>
      <w:r w:rsidR="00243C27">
        <w:rPr>
          <w:color w:val="000000"/>
        </w:rPr>
        <w:fldChar w:fldCharType="begin"/>
      </w:r>
      <w:r w:rsidR="002965A0">
        <w:rPr>
          <w:color w:val="000000"/>
        </w:rPr>
        <w:instrText xml:space="preserve"> ADDIN ZOTERO_ITEM CSL_CITATION {"citationID":"g4TIq5Fp","properties":{"formattedCitation":"(Appel, 2024; Justin et al., 2023)","plainCitation":"(Appel, 2024; Justin et al., 2023)","noteIndex":0},"citationItems":[{"id":728,"uris":["http://zotero.org/groups/4584967/items/KT8ASCQC"],"itemData":{"id":728,"type":"article-journal","abstract":"Abstract The abundance of gaps in satellite image time series often complicates the application of deep learning models such as convolutional neural networks for spatiotemporal modeling. Based on previous work in computer vision on image inpainting, this paper shows how three-dimensional spatiotemporal partial convolutions can be used as layers in neural networks to fill gaps in satellite image time series. To evaluate the approach, we apply a U-Net-like model on incomplete image time series of quasi-global carbon monoxide observations from the Sentinel-5P satellite. Prediction errors were comparable to two considered statistical approaches while computation times for predictions were up to three orders of magnitude faster, making the approach applicable to process large amounts of satellite data. Partial convolutions can be added as layers to other types of neural networks, making it relatively easy to integrate with existing deep learning models. However, the approach does not provide prediction uncertainties and further research is needed to understand and improve model transferability. The implementation of spatiotemporal partial convolutions and the U-Net-like model is available as open-source software.","container-title":"Artificial Intelligence for the Earth Systems","DOI":"10.1175/AIES-D-22-0055.1","ISSN":"2769-7525","issue":"aop","language":"EN","note":"publisher: American Meteorological Society\nsection: Artificial Intelligence for the Earth Systems","source":"journals.ametsoc.org","title":"Efficient data-driven gap filling of satellite image time series using deep neural networks with partial convolutions","URL":"https://journals.ametsoc.org/view/journals/aies/aop/AIES-D-22-0055.1/AIES-D-22-0055.1.xml","volume":"-1","author":[{"family":"Appel","given":"Marius"}],"accessed":{"date-parts":[["2024",3,15]]},"issued":{"date-parts":[["2024",3,13]]},"citation-key":"appelEfficientDatadrivenGap2024"}},{"id":718,"uris":["http://zotero.org/groups/4584967/items/JISEHXKS"],"itemData":{"id":718,"type":"article-journal","abstract":"Abstract We present and evaluate a deep learning first-guess front-identification system that identifies cold, warm, stationary, and occluded fronts. Frontal boundaries play a key role in the daily weather around the world. Human-drawn fronts provided by the National Weather Service’s Weather Prediction Center, Ocean Prediction Center, Tropical Analysis and Forecast Branch, and Honolulu Forecast Office are treated as ground-truth labels for training the deep learning models. The models are trained using ERA5 data with variables known to be important for distinguishing frontal boundaries, including temperature, equivalent potential temperature, and wind velocity and direction at multiple heights. Using a 250-km neighborhood over the contiguous U.S. domain, our best models achieve critical success index scores of 0.60 for cold fronts, 0.43 for warm fronts, 0.48 for stationary fronts, 0.45 for occluded fronts, and 0.71 using a binary classification system (front/no front), whereas scores over the full unified surface analysis domain were lower. For cold and warm fronts and binary classification, these scores significantly outperform prior baseline methods that utilize 250-km neighborhoods. These first-guess deep learning algorithms can be used by forecasters to locate frontal boundaries more effectively and expedite the frontal analysis process. Significance Statement Fronts are boundaries that affect the weather that people experience daily. Currently, forecasters must identify these boundaries through manual analysis. We have developed an automated machine learning method for detecting cold, warm, stationary, and occluded fronts. Our automated method provides forecasters with an additional tool to expedite the frontal analysis process.","container-title":"Artificial Intelligence for the Earth Systems","DOI":"10.1175/AIES-D-22-0052.1","ISSN":"2769-7525","issue":"3","language":"EN","note":"publisher: American Meteorological Society\nsection: Artificial Intelligence for the Earth Systems","source":"journals.ametsoc.org","title":"Toward Operational Real-Time Identification of Frontal Boundaries Using Machine Learning","URL":"https://journals.ametsoc.org/view/journals/aies/2/3/AIES-D-22-0052.1.xml","volume":"2","author":[{"family":"Justin","given":"Andrew D."},{"family":"Willingham","given":"Colin"},{"family":"McGovern","given":"Amy"},{"family":"Allen","given":"John T."}],"accessed":{"date-parts":[["2024",3,15]]},"issued":{"date-parts":[["2023",7,3]]},"citation-key":"justinOperationalRealTimeIdentification2023"}}],"schema":"https://github.com/citation-style-language/schema/raw/master/csl-citation.json"} </w:instrText>
      </w:r>
      <w:r w:rsidR="00243C27">
        <w:rPr>
          <w:color w:val="000000"/>
        </w:rPr>
        <w:fldChar w:fldCharType="separate"/>
      </w:r>
      <w:r w:rsidR="002965A0" w:rsidRPr="002965A0">
        <w:t>(Appel, 2024; Justin et al., 2023)</w:t>
      </w:r>
      <w:r w:rsidR="00243C27">
        <w:rPr>
          <w:color w:val="000000"/>
        </w:rPr>
        <w:fldChar w:fldCharType="end"/>
      </w:r>
      <w:r w:rsidR="00B57769">
        <w:rPr>
          <w:color w:val="000000"/>
        </w:rPr>
        <w:t>.</w:t>
      </w:r>
      <w:r w:rsidR="00CF0E02">
        <w:rPr>
          <w:color w:val="000000"/>
        </w:rPr>
        <w:t xml:space="preserve"> </w:t>
      </w:r>
      <w:r w:rsidR="0089127B">
        <w:rPr>
          <w:color w:val="000000"/>
        </w:rPr>
        <w:t xml:space="preserve">Given its </w:t>
      </w:r>
      <w:r w:rsidR="006E3EAC">
        <w:rPr>
          <w:color w:val="000000"/>
        </w:rPr>
        <w:t xml:space="preserve">applicability and </w:t>
      </w:r>
      <w:r w:rsidR="0089127B">
        <w:rPr>
          <w:color w:val="000000"/>
        </w:rPr>
        <w:t>track record</w:t>
      </w:r>
      <w:r w:rsidR="005B7F43">
        <w:rPr>
          <w:color w:val="000000"/>
        </w:rPr>
        <w:t xml:space="preserve">, we </w:t>
      </w:r>
      <w:r w:rsidR="006E5B4A">
        <w:rPr>
          <w:color w:val="000000"/>
        </w:rPr>
        <w:t>chose</w:t>
      </w:r>
      <w:r w:rsidR="005B7F43">
        <w:rPr>
          <w:color w:val="000000"/>
        </w:rPr>
        <w:t xml:space="preserve"> to use </w:t>
      </w:r>
      <w:r w:rsidR="0092280B">
        <w:rPr>
          <w:color w:val="000000"/>
        </w:rPr>
        <w:t>a UNet for this research.</w:t>
      </w:r>
    </w:p>
    <w:p w14:paraId="7C9B68A2" w14:textId="2307F9BB" w:rsidR="00696D63" w:rsidRDefault="00EF776D" w:rsidP="00406204">
      <w:pPr>
        <w:pStyle w:val="NormalWeb"/>
        <w:spacing w:before="0" w:beforeAutospacing="0" w:after="0" w:afterAutospacing="0" w:line="480" w:lineRule="auto"/>
        <w:ind w:firstLine="720"/>
        <w:rPr>
          <w:color w:val="000000"/>
        </w:rPr>
      </w:pPr>
      <w:r>
        <w:rPr>
          <w:color w:val="000000"/>
        </w:rPr>
        <w:t xml:space="preserve">There have been several UNet variants that have been </w:t>
      </w:r>
      <w:r w:rsidR="009326F3">
        <w:rPr>
          <w:color w:val="000000"/>
        </w:rPr>
        <w:t xml:space="preserve">developed </w:t>
      </w:r>
      <w:r w:rsidR="00425005">
        <w:rPr>
          <w:color w:val="000000"/>
        </w:rPr>
        <w:t>since its inception</w:t>
      </w:r>
      <w:r w:rsidR="00166DB4">
        <w:rPr>
          <w:color w:val="000000"/>
        </w:rPr>
        <w:t>,</w:t>
      </w:r>
      <w:r w:rsidR="00425005">
        <w:rPr>
          <w:color w:val="000000"/>
        </w:rPr>
        <w:t xml:space="preserve"> such as UNet ++</w:t>
      </w:r>
      <w:r w:rsidR="0022583F">
        <w:rPr>
          <w:color w:val="000000"/>
        </w:rPr>
        <w:t xml:space="preserve"> </w:t>
      </w:r>
      <w:r w:rsidR="0022583F">
        <w:rPr>
          <w:color w:val="000000"/>
        </w:rPr>
        <w:fldChar w:fldCharType="begin"/>
      </w:r>
      <w:r w:rsidR="00BB6527">
        <w:rPr>
          <w:color w:val="000000"/>
        </w:rPr>
        <w:instrText xml:space="preserve"> ADDIN ZOTERO_ITEM CSL_CITATION {"citationID":"EXWi2gpu","properties":{"formattedCitation":"(Zhou et al., 2018)","plainCitation":"(Zhou et al., 2018)","noteIndex":0},"citationItems":[{"id":714,"uris":["http://zotero.org/groups/4584967/items/3K2I6FWC"],"itemData":{"id":714,"type":"paper-conference","abstract":"In this paper, we present UNet++, a new, more powerful architecture for medical image segmentation. Our architecture is essentially a deeply-supervised encoder-decoder network where the encoder and decoder sub-networks are connected through a series of nested, dense skip pathways. The re-designed skip pathways aim at reducing the semantic gap between the feature maps of the encoder and decoder sub-networks. We argue that the optimizer would deal with an easier learning task when the feature maps from the decoder and encoder networks are semantically similar. We have evaluated UNet++ in comparison with U-Net and wide U-Net architectures across multiple medical image segmentation tasks: nodule segmentation in the low-dose CT scans of chest, nuclei segmentation in the microscopy images, liver segmentation in abdominal CT scans, and polyp segmentation in colonoscopy videos. Our experiments demonstrate that UNet++ with deep supervision achieves an average IoU gain of 3.9 and 3.4 points over U-Net and wide U-Net, respectively.","container-title":"Deep Learning in Medical Image Analysis and Multimodal Learning for Clinical Decision Support","DOI":"10.1007/978-3-030-00889-5_1","event-place":"Cham","ISBN":"978-3-030-00889-5","language":"en","page":"3-11","publisher":"Springer International Publishing","publisher-place":"Cham","source":"Springer Link","title":"UNet++: A Nested U-Net Architecture for Medical Image Segmentation","title-short":"UNet++","author":[{"family":"Zhou","given":"Zongwei"},{"family":"Rahman Siddiquee","given":"Md Mahfuzur"},{"family":"Tajbakhsh","given":"Nima"},{"family":"Liang","given":"Jianming"}],"editor":[{"family":"Stoyanov","given":"Danail"},{"family":"Taylor","given":"Zeike"},{"family":"Carneiro","given":"Gustavo"},{"family":"Syeda-Mahmood","given":"Tanveer"},{"family":"Martel","given":"Anne"},{"family":"Maier-Hein","given":"Lena"},{"family":"Tavares","given":"João Manuel R.S."},{"family":"Bradley","given":"Andrew"},{"family":"Papa","given":"João Paulo"},{"family":"Belagiannis","given":"Vasileios"},{"family":"Nascimento","given":"Jacinto C."},{"family":"Lu","given":"Zhi"},{"family":"Conjeti","given":"Sailesh"},{"family":"Moradi","given":"Mehdi"},{"family":"Greenspan","given":"Hayit"},{"family":"Madabhushi","given":"Anant"}],"issued":{"date-parts":[["2018"]]},"citation-key":"zhouUNetNestedUNet2018"}}],"schema":"https://github.com/citation-style-language/schema/raw/master/csl-citation.json"} </w:instrText>
      </w:r>
      <w:r w:rsidR="0022583F">
        <w:rPr>
          <w:color w:val="000000"/>
        </w:rPr>
        <w:fldChar w:fldCharType="separate"/>
      </w:r>
      <w:r w:rsidR="0022583F" w:rsidRPr="0022583F">
        <w:t>(Zhou et al., 2018)</w:t>
      </w:r>
      <w:r w:rsidR="0022583F">
        <w:rPr>
          <w:color w:val="000000"/>
        </w:rPr>
        <w:fldChar w:fldCharType="end"/>
      </w:r>
      <w:r w:rsidR="00425005">
        <w:rPr>
          <w:color w:val="000000"/>
        </w:rPr>
        <w:t>, UNet 3+</w:t>
      </w:r>
      <w:r w:rsidR="0022583F">
        <w:rPr>
          <w:color w:val="000000"/>
        </w:rPr>
        <w:t xml:space="preserve"> </w:t>
      </w:r>
      <w:r w:rsidR="0022583F">
        <w:rPr>
          <w:color w:val="000000"/>
        </w:rPr>
        <w:fldChar w:fldCharType="begin"/>
      </w:r>
      <w:r w:rsidR="00BB6527">
        <w:rPr>
          <w:color w:val="000000"/>
        </w:rPr>
        <w:instrText xml:space="preserve"> ADDIN ZOTERO_ITEM CSL_CITATION {"citationID":"b11qKwkt","properties":{"formattedCitation":"(Huang et al., 2020)","plainCitation":"(Huang et al., 2020)","noteIndex":0},"citationItems":[{"id":20,"uris":["http://zotero.org/users/8992256/items/XEPTYGQ7"],"itemData":{"id":20,"type":"paper-conference","abstract":"Recently, a growing interest has been seen in deep learningbased semantic segmentation. UNet, which is one of deep learning networks with an encoder-decoder architecture, is widely used in medical image segmentation. Combining multi-scale features is one of important factors for accurate segmentation. UNet++ was developed as a modified Unet by designing an architecture with nested and dense skip connections. However, it does not explore sufficient information from full scales and there is still a large room for improvement. In this paper, we propose a novel UNet 3+, which takes advantage of full-scale skip connections and deep supervisions. The full-scale skip connections incorporate low-level details with high-level semantics from feature maps in different scales; while the deep supervision learns hierarchical representations from the full-scale aggregated feature maps. The proposed method is especially benefiting for organs that appear at varying scales. In addition to accuracy improvements, the proposed UNet 3+ can reduce the network parameters to improve the computation efficiency. We further propose a hybrid loss function and devise a classification-guided module to enhance the organ boundary and reduce the over-segmentation in a non-organ image, yielding more accurate segmentation results. The effectiveness of the proposed method is demonstrated on two datasets. The code is available at: github.com/ZJUGiveLab/UNet-Version Index Terms—Segmentation, Full-scale skip connection, Deep supervision, Hybrid loss function, Classification.","container-title":"ICASSP 2020 - 2020 IEEE International Conference on Acoustics, Speech and Signal Processing (ICASSP)","DOI":"10.1109/ICASSP40776.2020.9053405","event-place":"Barcelona, Spain","event-title":"ICASSP 2020 - 2020 IEEE International Conference on Acoustics, Speech and Signal Processing (ICASSP)","ISBN":"978-1-5090-6631-5","language":"en","page":"1055-1059","publisher":"IEEE","publisher-place":"Barcelona, Spain","source":"DOI.org (Crossref)","title":"UNet 3+: A Full-Scale Connected UNet for Medical Image Segmentation","title-short":"UNet 3+","URL":"https://ieeexplore.ieee.org/document/9053405/","author":[{"family":"Huang","given":"Huimin"},{"family":"Lin","given":"Lanfen"},{"family":"Tong","given":"Ruofeng"},{"family":"Hu","given":"Hongjie"},{"family":"Zhang","given":"Qiaowei"},{"family":"Iwamoto","given":"Yutaro"},{"family":"Han","given":"Xianhua"},{"family":"Chen","given":"Yen-Wei"},{"family":"Wu","given":"Jian"}],"accessed":{"date-parts":[["2022",8,18]]},"issued":{"date-parts":[["2020",5]]},"citation-key":"huangUNetFullScaleConnected2020"}}],"schema":"https://github.com/citation-style-language/schema/raw/master/csl-citation.json"} </w:instrText>
      </w:r>
      <w:r w:rsidR="0022583F">
        <w:rPr>
          <w:color w:val="000000"/>
        </w:rPr>
        <w:fldChar w:fldCharType="separate"/>
      </w:r>
      <w:r w:rsidR="0022583F" w:rsidRPr="0022583F">
        <w:t>(Huang et al., 2020)</w:t>
      </w:r>
      <w:r w:rsidR="0022583F">
        <w:rPr>
          <w:color w:val="000000"/>
        </w:rPr>
        <w:fldChar w:fldCharType="end"/>
      </w:r>
      <w:r w:rsidR="00425005">
        <w:rPr>
          <w:color w:val="000000"/>
        </w:rPr>
        <w:t xml:space="preserve">, </w:t>
      </w:r>
      <w:r w:rsidR="00E533F8">
        <w:rPr>
          <w:color w:val="000000"/>
        </w:rPr>
        <w:t>TransUNet</w:t>
      </w:r>
      <w:r w:rsidR="003B0C80">
        <w:rPr>
          <w:color w:val="000000"/>
        </w:rPr>
        <w:t xml:space="preserve"> </w:t>
      </w:r>
      <w:r w:rsidR="003B0C80">
        <w:rPr>
          <w:color w:val="000000"/>
        </w:rPr>
        <w:fldChar w:fldCharType="begin"/>
      </w:r>
      <w:r w:rsidR="00BB6527">
        <w:rPr>
          <w:color w:val="000000"/>
        </w:rPr>
        <w:instrText xml:space="preserve"> ADDIN ZOTERO_ITEM CSL_CITATION {"citationID":"fyUWAf8Y","properties":{"formattedCitation":"(J. Chen et al., 2021)","plainCitation":"(J. Chen et al., 2021)","noteIndex":0},"citationItems":[{"id":717,"uris":["http://zotero.org/groups/4584967/items/RJDF3U7L"],"itemData":{"id":717,"type":"article","abstract":"Medical image segmentation is an essential prerequisite for developing healthcare systems, especially for disease diagnosis and treatment planning. On various medical image segmentation tasks, the u-shaped architecture, also known as U-Net, has become the de-facto standard and achieved tremendous success. However, due to the intrinsic locality of convolution operations, U-Net generally demonstrates limitations in explicitly modeling long-range dependency. Transformers, designed for sequence-to-sequence prediction, have emerged as alternative architectures with innate global self-attention mechanisms, but can result in limited localization abilities due to insufficient low-level details. In this paper, we propose TransUNet, which merits both Transformers and U-Net, as a strong alternative for medical image segmentation. On one hand, the Transformer encodes tokenized image patches from a convolution neural network (CNN) feature map as the input sequence for extracting global contexts. On the other hand, the decoder upsamples the encoded features which are then combined with the high-resolution CNN feature maps to enable precise localization. We argue that Transformers can serve as strong encoders for medical image segmentation tasks, with the combination of U-Net to enhance finer details by recovering localized spatial information. TransUNet achieves superior performances to various competing methods on different medical applications including multi-organ segmentation and cardiac segmentation. Code and models are available at https://github.com/Beckschen/TransUNet.","DOI":"10.48550/arXiv.2102.04306","note":"arXiv:2102.04306 [cs]","number":"arXiv:2102.04306","publisher":"arXiv","source":"arXiv.org","title":"TransUNet: Transformers Make Strong Encoders for Medical Image Segmentation","title-short":"TransUNet","URL":"http://arxiv.org/abs/2102.04306","author":[{"family":"Chen","given":"Jieneng"},{"family":"Lu","given":"Yongyi"},{"family":"Yu","given":"Qihang"},{"family":"Luo","given":"Xiangde"},{"family":"Adeli","given":"Ehsan"},{"family":"Wang","given":"Yan"},{"family":"Lu","given":"Le"},{"family":"Yuille","given":"Alan L."},{"family":"Zhou","given":"Yuyin"}],"accessed":{"date-parts":[["2024",3,15]]},"issued":{"date-parts":[["2021",2,8]]},"citation-key":"chenTransUNetTransformersMake2021"}}],"schema":"https://github.com/citation-style-language/schema/raw/master/csl-citation.json"} </w:instrText>
      </w:r>
      <w:r w:rsidR="003B0C80">
        <w:rPr>
          <w:color w:val="000000"/>
        </w:rPr>
        <w:fldChar w:fldCharType="separate"/>
      </w:r>
      <w:r w:rsidR="003B0C80" w:rsidRPr="003B0C80">
        <w:t>(Chen et al., 2021)</w:t>
      </w:r>
      <w:r w:rsidR="003B0C80">
        <w:rPr>
          <w:color w:val="000000"/>
        </w:rPr>
        <w:fldChar w:fldCharType="end"/>
      </w:r>
      <w:r w:rsidR="00E533F8">
        <w:rPr>
          <w:color w:val="000000"/>
        </w:rPr>
        <w:t xml:space="preserve">, and </w:t>
      </w:r>
      <w:r w:rsidR="00166DB4">
        <w:rPr>
          <w:color w:val="000000"/>
        </w:rPr>
        <w:t xml:space="preserve">more. We chose </w:t>
      </w:r>
      <w:r w:rsidR="00C74804">
        <w:rPr>
          <w:color w:val="000000"/>
        </w:rPr>
        <w:t xml:space="preserve">the UNet 3+ variant for this research because </w:t>
      </w:r>
      <w:r w:rsidR="0055630B">
        <w:rPr>
          <w:color w:val="000000"/>
        </w:rPr>
        <w:t xml:space="preserve">it had demonstrated state-of-the-art performance </w:t>
      </w:r>
      <w:r w:rsidR="00613F55">
        <w:rPr>
          <w:color w:val="000000"/>
        </w:rPr>
        <w:t xml:space="preserve">in its </w:t>
      </w:r>
      <w:r w:rsidR="00157638">
        <w:rPr>
          <w:color w:val="000000"/>
        </w:rPr>
        <w:t xml:space="preserve">original medical image processing field, beating out UNet and UNet++ </w:t>
      </w:r>
      <w:r w:rsidR="00841E77">
        <w:rPr>
          <w:color w:val="000000"/>
        </w:rPr>
        <w:t>while containing fewer parameters (</w:t>
      </w:r>
      <w:r w:rsidR="00FF4315">
        <w:rPr>
          <w:color w:val="000000"/>
        </w:rPr>
        <w:t xml:space="preserve">39.39M and 47.18M compared to 26.97M, respectively). </w:t>
      </w:r>
      <w:r w:rsidR="001205A2">
        <w:rPr>
          <w:color w:val="000000"/>
        </w:rPr>
        <w:t xml:space="preserve">We </w:t>
      </w:r>
      <w:r w:rsidR="00286BE8">
        <w:rPr>
          <w:color w:val="000000"/>
        </w:rPr>
        <w:t xml:space="preserve">chose UNet 3+ over attention-based architectures like </w:t>
      </w:r>
      <w:r w:rsidR="00332BA3">
        <w:rPr>
          <w:color w:val="000000"/>
        </w:rPr>
        <w:t xml:space="preserve">ViT </w:t>
      </w:r>
      <w:r w:rsidR="00332BA3">
        <w:rPr>
          <w:color w:val="000000"/>
        </w:rPr>
        <w:fldChar w:fldCharType="begin"/>
      </w:r>
      <w:r w:rsidR="00BB6527">
        <w:rPr>
          <w:color w:val="000000"/>
        </w:rPr>
        <w:instrText xml:space="preserve"> ADDIN ZOTERO_ITEM CSL_CITATION {"citationID":"5JnMMphv","properties":{"formattedCitation":"(Dosovitskiy et al., 2021)","plainCitation":"(Dosovitskiy et al., 2021)","noteIndex":0},"citationItems":[{"id":391,"uris":["http://zotero.org/users/8992256/items/GD8YB64G"],"itemData":{"id":391,"type":"article","abstract":"While the Transformer architecture has become the de-facto standard for natural language processing tasks, its applications to computer vision remain limited. In vision, attention is either applied in conjunction with convolutional networks, or used to replace certain components of convolutional networks while keeping their overall structure in place. We show that this reliance on CNNs is not necessary and a pure transformer applied directly to sequences of image patches can perform very well on image classification tasks. When pre-trained on large amounts of data and transferred to multiple mid-sized or small image recognition benchmarks (ImageNet, CIFAR-100, VTAB, etc.), Vision Transformer (ViT) attains excellent results compared to state-of-the-art convolutional networks while requiring substantially fewer computational resources to train.","DOI":"10.48550/arXiv.2010.11929","note":"arXiv:2010.11929 [cs]","number":"arXiv:2010.11929","publisher":"arXiv","source":"arXiv.org","title":"An Image is Worth 16x16 Words: Transformers for Image Recognition at Scale","title-short":"An Image is Worth 16x16 Words","URL":"http://arxiv.org/abs/2010.11929","author":[{"family":"Dosovitskiy","given":"Alexey"},{"family":"Beyer","given":"Lucas"},{"family":"Kolesnikov","given":"Alexander"},{"family":"Weissenborn","given":"Dirk"},{"family":"Zhai","given":"Xiaohua"},{"family":"Unterthiner","given":"Thomas"},{"family":"Dehghani","given":"Mostafa"},{"family":"Minderer","given":"Matthias"},{"family":"Heigold","given":"Georg"},{"family":"Gelly","given":"Sylvain"},{"family":"Uszkoreit","given":"Jakob"},{"family":"Houlsby","given":"Neil"}],"accessed":{"date-parts":[["2023",1,12]]},"issued":{"date-parts":[["2021",6,3]]},"citation-key":"dosovitskiyImageWorth16x162021"}}],"schema":"https://github.com/citation-style-language/schema/raw/master/csl-citation.json"} </w:instrText>
      </w:r>
      <w:r w:rsidR="00332BA3">
        <w:rPr>
          <w:color w:val="000000"/>
        </w:rPr>
        <w:fldChar w:fldCharType="separate"/>
      </w:r>
      <w:r w:rsidR="00332BA3" w:rsidRPr="00332BA3">
        <w:t>(Dosovitskiy et al., 2021)</w:t>
      </w:r>
      <w:r w:rsidR="00332BA3">
        <w:rPr>
          <w:color w:val="000000"/>
        </w:rPr>
        <w:fldChar w:fldCharType="end"/>
      </w:r>
      <w:r w:rsidR="00332BA3">
        <w:rPr>
          <w:color w:val="000000"/>
        </w:rPr>
        <w:t xml:space="preserve"> and </w:t>
      </w:r>
      <w:r w:rsidR="00CD23DD">
        <w:rPr>
          <w:color w:val="000000"/>
        </w:rPr>
        <w:t>UNet variants with attention components like TransUNet</w:t>
      </w:r>
      <w:r w:rsidR="00CE2A8A">
        <w:rPr>
          <w:color w:val="000000"/>
        </w:rPr>
        <w:t xml:space="preserve"> </w:t>
      </w:r>
      <w:r w:rsidR="00783866">
        <w:rPr>
          <w:color w:val="000000"/>
        </w:rPr>
        <w:t xml:space="preserve">because </w:t>
      </w:r>
      <w:r w:rsidR="00AC0A70">
        <w:rPr>
          <w:color w:val="000000"/>
        </w:rPr>
        <w:t xml:space="preserve">empirical results </w:t>
      </w:r>
      <w:r w:rsidR="00737629">
        <w:rPr>
          <w:color w:val="000000"/>
        </w:rPr>
        <w:t xml:space="preserve">suggest that </w:t>
      </w:r>
      <w:r w:rsidR="00295CC1">
        <w:rPr>
          <w:color w:val="000000"/>
        </w:rPr>
        <w:t xml:space="preserve">attention-based models require larger training datasets and training time </w:t>
      </w:r>
      <w:r w:rsidR="00437455">
        <w:rPr>
          <w:color w:val="000000"/>
        </w:rPr>
        <w:t xml:space="preserve">to reach </w:t>
      </w:r>
      <w:r w:rsidR="00B007BD">
        <w:rPr>
          <w:color w:val="000000"/>
        </w:rPr>
        <w:t>convergence compared to fully convolutional networks like UNet 3+.</w:t>
      </w:r>
      <w:r w:rsidR="00632BDB">
        <w:rPr>
          <w:color w:val="000000"/>
        </w:rPr>
        <w:t xml:space="preserve"> On the other hand, UNet 3+</w:t>
      </w:r>
      <w:r w:rsidR="00D27647">
        <w:rPr>
          <w:color w:val="000000"/>
        </w:rPr>
        <w:t xml:space="preserve"> </w:t>
      </w:r>
      <w:r w:rsidR="009D7F2B">
        <w:rPr>
          <w:color w:val="000000"/>
        </w:rPr>
        <w:t xml:space="preserve">has </w:t>
      </w:r>
      <w:r w:rsidR="003D51BF">
        <w:rPr>
          <w:color w:val="000000"/>
        </w:rPr>
        <w:t>reached state-of-the-art</w:t>
      </w:r>
      <w:r w:rsidR="00C8284F">
        <w:rPr>
          <w:color w:val="000000"/>
        </w:rPr>
        <w:t xml:space="preserve"> performance</w:t>
      </w:r>
      <w:r w:rsidR="009D7F2B">
        <w:rPr>
          <w:color w:val="000000"/>
        </w:rPr>
        <w:t xml:space="preserve"> on extremely small datasets,</w:t>
      </w:r>
      <w:r w:rsidR="003D51BF">
        <w:rPr>
          <w:color w:val="000000"/>
        </w:rPr>
        <w:t xml:space="preserve"> for instance</w:t>
      </w:r>
      <w:r w:rsidR="00632BDB">
        <w:rPr>
          <w:color w:val="000000"/>
        </w:rPr>
        <w:t xml:space="preserve"> on the </w:t>
      </w:r>
      <w:r w:rsidR="00D27647">
        <w:rPr>
          <w:color w:val="000000"/>
        </w:rPr>
        <w:t>very small</w:t>
      </w:r>
      <w:r w:rsidR="00632BDB">
        <w:rPr>
          <w:color w:val="000000"/>
        </w:rPr>
        <w:t xml:space="preserve"> liver segmentation dataset (&lt;1000 samples) from the ISBI LiTS 2017 Challenge</w:t>
      </w:r>
      <w:r w:rsidR="00D201F3">
        <w:rPr>
          <w:color w:val="000000"/>
        </w:rPr>
        <w:t xml:space="preserve"> </w:t>
      </w:r>
      <w:r w:rsidR="00D201F3">
        <w:rPr>
          <w:color w:val="000000"/>
        </w:rPr>
        <w:fldChar w:fldCharType="begin"/>
      </w:r>
      <w:r w:rsidR="00D201F3">
        <w:rPr>
          <w:color w:val="000000"/>
        </w:rPr>
        <w:instrText xml:space="preserve"> ADDIN ZOTERO_ITEM CSL_CITATION {"citationID":"YUxsTQWj","properties":{"formattedCitation":"(Huang et al., 2020)","plainCitation":"(Huang et al., 2020)","noteIndex":0},"citationItems":[{"id":20,"uris":["http://zotero.org/users/8992256/items/XEPTYGQ7"],"itemData":{"id":20,"type":"paper-conference","abstract":"Recently, a growing interest has been seen in deep learningbased semantic segmentation. UNet, which is one of deep learning networks with an encoder-decoder architecture, is widely used in medical image segmentation. Combining multi-scale features is one of important factors for accurate segmentation. UNet++ was developed as a modified Unet by designing an architecture with nested and dense skip connections. However, it does not explore sufficient information from full scales and there is still a large room for improvement. In this paper, we propose a novel UNet 3+, which takes advantage of full-scale skip connections and deep supervisions. The full-scale skip connections incorporate low-level details with high-level semantics from feature maps in different scales; while the deep supervision learns hierarchical representations from the full-scale aggregated feature maps. The proposed method is especially benefiting for organs that appear at varying scales. In addition to accuracy improvements, the proposed UNet 3+ can reduce the network parameters to improve the computation efficiency. We further propose a hybrid loss function and devise a classification-guided module to enhance the organ boundary and reduce the over-segmentation in a non-organ image, yielding more accurate segmentation results. The effectiveness of the proposed method is demonstrated on two datasets. The code is available at: github.com/ZJUGiveLab/UNet-Version Index Terms—Segmentation, Full-scale skip connection, Deep supervision, Hybrid loss function, Classification.","container-title":"ICASSP 2020 - 2020 IEEE International Conference on Acoustics, Speech and Signal Processing (ICASSP)","DOI":"10.1109/ICASSP40776.2020.9053405","event-place":"Barcelona, Spain","event-title":"ICASSP 2020 - 2020 IEEE International Conference on Acoustics, Speech and Signal Processing (ICASSP)","ISBN":"978-1-5090-6631-5","language":"en","page":"1055-1059","publisher":"IEEE","publisher-place":"Barcelona, Spain","source":"DOI.org (Crossref)","title":"UNet 3+: A Full-Scale Connected UNet for Medical Image Segmentation","title-short":"UNet 3+","URL":"https://ieeexplore.ieee.org/document/9053405/","author":[{"family":"Huang","given":"Huimin"},{"family":"Lin","given":"Lanfen"},{"family":"Tong","given":"Ruofeng"},{"family":"Hu","given":"Hongjie"},{"family":"Zhang","given":"Qiaowei"},{"family":"Iwamoto","given":"Yutaro"},{"family":"Han","given":"Xianhua"},{"family":"Chen","given":"Yen-Wei"},{"family":"Wu","given":"Jian"}],"accessed":{"date-parts":[["2022",8,18]]},"issued":{"date-parts":[["2020",5]]},"citation-key":"huangUNetFullScaleConnected2020"}}],"schema":"https://github.com/citation-style-language/schema/raw/master/csl-citation.json"} </w:instrText>
      </w:r>
      <w:r w:rsidR="00D201F3">
        <w:rPr>
          <w:color w:val="000000"/>
        </w:rPr>
        <w:fldChar w:fldCharType="separate"/>
      </w:r>
      <w:r w:rsidR="00D201F3" w:rsidRPr="00D201F3">
        <w:t>(Huang et al., 2020)</w:t>
      </w:r>
      <w:r w:rsidR="00D201F3">
        <w:rPr>
          <w:color w:val="000000"/>
        </w:rPr>
        <w:fldChar w:fldCharType="end"/>
      </w:r>
      <w:r w:rsidR="00C8284F">
        <w:rPr>
          <w:color w:val="000000"/>
        </w:rPr>
        <w:t>.</w:t>
      </w:r>
      <w:r w:rsidR="00FC43FB">
        <w:rPr>
          <w:color w:val="000000"/>
        </w:rPr>
        <w:t xml:space="preserve"> Since the training dataset we constructed was </w:t>
      </w:r>
      <w:r w:rsidR="00654F68">
        <w:rPr>
          <w:color w:val="000000"/>
        </w:rPr>
        <w:t xml:space="preserve">much closer in size to this compared to the 300 million sample dataset (JFT-300M) </w:t>
      </w:r>
      <w:r w:rsidR="008A11EA">
        <w:rPr>
          <w:color w:val="000000"/>
        </w:rPr>
        <w:t xml:space="preserve">used to train the ViT to state-of-the-art performance, </w:t>
      </w:r>
      <w:r w:rsidR="006558E4">
        <w:rPr>
          <w:color w:val="000000"/>
        </w:rPr>
        <w:t xml:space="preserve">UNet 3+ </w:t>
      </w:r>
      <w:r w:rsidR="00DD2064">
        <w:rPr>
          <w:color w:val="000000"/>
        </w:rPr>
        <w:t>was the clear choice</w:t>
      </w:r>
      <w:r w:rsidR="00CF77D7">
        <w:rPr>
          <w:color w:val="000000"/>
        </w:rPr>
        <w:t xml:space="preserve"> </w:t>
      </w:r>
      <w:r w:rsidR="00CF77D7">
        <w:rPr>
          <w:color w:val="000000"/>
        </w:rPr>
        <w:fldChar w:fldCharType="begin"/>
      </w:r>
      <w:r w:rsidR="00CF77D7">
        <w:rPr>
          <w:color w:val="000000"/>
        </w:rPr>
        <w:instrText xml:space="preserve"> ADDIN ZOTERO_ITEM CSL_CITATION {"citationID":"vgAdYHuz","properties":{"formattedCitation":"(Dosovitskiy et al., 2021)","plainCitation":"(Dosovitskiy et al., 2021)","noteIndex":0},"citationItems":[{"id":391,"uris":["http://zotero.org/users/8992256/items/GD8YB64G"],"itemData":{"id":391,"type":"article","abstract":"While the Transformer architecture has become the de-facto standard for natural language processing tasks, its applications to computer vision remain limited. In vision, attention is either applied in conjunction with convolutional networks, or used to replace certain components of convolutional networks while keeping their overall structure in place. We show that this reliance on CNNs is not necessary and a pure transformer applied directly to sequences of image patches can perform very well on image classification tasks. When pre-trained on large amounts of data and transferred to multiple mid-sized or small image recognition benchmarks (ImageNet, CIFAR-100, VTAB, etc.), Vision Transformer (ViT) attains excellent results compared to state-of-the-art convolutional networks while requiring substantially fewer computational resources to train.","DOI":"10.48550/arXiv.2010.11929","note":"arXiv:2010.11929 [cs]","number":"arXiv:2010.11929","publisher":"arXiv","source":"arXiv.org","title":"An Image is Worth 16x16 Words: Transformers for Image Recognition at Scale","title-short":"An Image is Worth 16x16 Words","URL":"http://arxiv.org/abs/2010.11929","author":[{"family":"Dosovitskiy","given":"Alexey"},{"family":"Beyer","given":"Lucas"},{"family":"Kolesnikov","given":"Alexander"},{"family":"Weissenborn","given":"Dirk"},{"family":"Zhai","given":"Xiaohua"},{"family":"Unterthiner","given":"Thomas"},{"family":"Dehghani","given":"Mostafa"},{"family":"Minderer","given":"Matthias"},{"family":"Heigold","given":"Georg"},{"family":"Gelly","given":"Sylvain"},{"family":"Uszkoreit","given":"Jakob"},{"family":"Houlsby","given":"Neil"}],"accessed":{"date-parts":[["2023",1,12]]},"issued":{"date-parts":[["2021",6,3]]},"citation-key":"dosovitskiyImageWorth16x162021"}}],"schema":"https://github.com/citation-style-language/schema/raw/master/csl-citation.json"} </w:instrText>
      </w:r>
      <w:r w:rsidR="00CF77D7">
        <w:rPr>
          <w:color w:val="000000"/>
        </w:rPr>
        <w:fldChar w:fldCharType="separate"/>
      </w:r>
      <w:r w:rsidR="00CF77D7" w:rsidRPr="00CF77D7">
        <w:t>(Dosovitskiy et al., 2021)</w:t>
      </w:r>
      <w:r w:rsidR="00CF77D7">
        <w:rPr>
          <w:color w:val="000000"/>
        </w:rPr>
        <w:fldChar w:fldCharType="end"/>
      </w:r>
      <w:r w:rsidR="00DD2064">
        <w:rPr>
          <w:color w:val="000000"/>
        </w:rPr>
        <w:t>.</w:t>
      </w:r>
      <w:r w:rsidR="0093314C">
        <w:rPr>
          <w:color w:val="000000"/>
        </w:rPr>
        <w:t xml:space="preserve"> However, </w:t>
      </w:r>
      <w:r w:rsidR="008623F8">
        <w:rPr>
          <w:color w:val="000000"/>
        </w:rPr>
        <w:t xml:space="preserve">networks with attention components may be accessible in the future </w:t>
      </w:r>
      <w:r w:rsidR="00977962">
        <w:rPr>
          <w:color w:val="000000"/>
        </w:rPr>
        <w:t>once we curate larger datasets.</w:t>
      </w:r>
    </w:p>
    <w:p w14:paraId="1A06F195" w14:textId="4C8C9772" w:rsidR="00F12779" w:rsidRPr="00F12779" w:rsidRDefault="008368C1" w:rsidP="00950E6A">
      <w:pPr>
        <w:pStyle w:val="Heading2"/>
      </w:pPr>
      <w:bookmarkStart w:id="44" w:name="_Toc161431092"/>
      <w:r w:rsidRPr="00601F10">
        <w:t>3.</w:t>
      </w:r>
      <w:r w:rsidR="00335CAA">
        <w:t>2</w:t>
      </w:r>
      <w:r w:rsidRPr="00601F10">
        <w:t xml:space="preserve"> Spatial/Temporal Projection</w:t>
      </w:r>
      <w:bookmarkEnd w:id="44"/>
    </w:p>
    <w:p w14:paraId="3543B32B" w14:textId="14C4B662" w:rsidR="008368C1" w:rsidRDefault="008368C1" w:rsidP="00950E6A">
      <w:pPr>
        <w:pStyle w:val="Heading3"/>
      </w:pPr>
      <w:bookmarkStart w:id="45" w:name="_Toc161431093"/>
      <w:r w:rsidRPr="00601F10">
        <w:t>3.</w:t>
      </w:r>
      <w:r w:rsidR="00335CAA">
        <w:t>2</w:t>
      </w:r>
      <w:r w:rsidRPr="00601F10">
        <w:t>.1 Projection and Grid</w:t>
      </w:r>
      <w:bookmarkEnd w:id="45"/>
    </w:p>
    <w:p w14:paraId="26FD0535" w14:textId="5046639B" w:rsidR="000206A9" w:rsidRDefault="009722D0" w:rsidP="00895B09">
      <w:pPr>
        <w:rPr>
          <w:rFonts w:cs="Times New Roman"/>
          <w:szCs w:val="24"/>
        </w:rPr>
      </w:pPr>
      <w:r>
        <w:tab/>
      </w:r>
      <w:r w:rsidR="0050279E">
        <w:t xml:space="preserve">Before training </w:t>
      </w:r>
      <w:r w:rsidR="008F4352">
        <w:t xml:space="preserve">the UNet 3+, we </w:t>
      </w:r>
      <w:r w:rsidR="0050279E">
        <w:t xml:space="preserve">regridded all data sources onto a unified input grid. This step is necessary </w:t>
      </w:r>
      <w:r w:rsidR="007731DC">
        <w:t xml:space="preserve">because none of the data sources are </w:t>
      </w:r>
      <w:r w:rsidR="00895B09">
        <w:t>collocate</w:t>
      </w:r>
      <w:r w:rsidR="004B5C53">
        <w:t>d</w:t>
      </w:r>
      <w:r w:rsidR="00895B09">
        <w:t xml:space="preserve">. </w:t>
      </w:r>
      <w:r w:rsidR="000206A9">
        <w:rPr>
          <w:rFonts w:cs="Times New Roman"/>
          <w:szCs w:val="24"/>
        </w:rPr>
        <w:t xml:space="preserve">For instance, modeled outputs </w:t>
      </w:r>
      <w:r w:rsidR="000206A9">
        <w:rPr>
          <w:rFonts w:cs="Times New Roman"/>
          <w:szCs w:val="24"/>
        </w:rPr>
        <w:lastRenderedPageBreak/>
        <w:t>like those from NAM or MERRA-2 are</w:t>
      </w:r>
      <w:r w:rsidR="00E24C4B">
        <w:rPr>
          <w:rFonts w:cs="Times New Roman"/>
          <w:szCs w:val="24"/>
        </w:rPr>
        <w:t xml:space="preserve"> given in different spatial resolutions and on different mapping projections</w:t>
      </w:r>
      <w:r w:rsidR="000206A9">
        <w:rPr>
          <w:rFonts w:cs="Times New Roman"/>
          <w:szCs w:val="24"/>
        </w:rPr>
        <w:t xml:space="preserve">. </w:t>
      </w:r>
      <w:r w:rsidR="00251C52">
        <w:rPr>
          <w:rFonts w:cs="Times New Roman"/>
          <w:szCs w:val="24"/>
        </w:rPr>
        <w:t xml:space="preserve">The same holds true for </w:t>
      </w:r>
      <w:r w:rsidR="000248CA">
        <w:rPr>
          <w:rFonts w:cs="Times New Roman"/>
          <w:szCs w:val="24"/>
        </w:rPr>
        <w:t xml:space="preserve">satellite-derived products such as AOD </w:t>
      </w:r>
      <w:r w:rsidR="009E41F2">
        <w:rPr>
          <w:rFonts w:cs="Times New Roman"/>
          <w:szCs w:val="24"/>
        </w:rPr>
        <w:t xml:space="preserve">and HMS smoke </w:t>
      </w:r>
      <w:r w:rsidR="000206A9">
        <w:rPr>
          <w:rFonts w:cs="Times New Roman"/>
          <w:szCs w:val="24"/>
        </w:rPr>
        <w:t>as the satellites orbit</w:t>
      </w:r>
      <w:r w:rsidR="0033701D">
        <w:rPr>
          <w:rFonts w:cs="Times New Roman"/>
          <w:szCs w:val="24"/>
        </w:rPr>
        <w:t xml:space="preserve"> over</w:t>
      </w:r>
      <w:r w:rsidR="000206A9">
        <w:rPr>
          <w:rFonts w:cs="Times New Roman"/>
          <w:szCs w:val="24"/>
        </w:rPr>
        <w:t xml:space="preserve"> slightly different</w:t>
      </w:r>
      <w:r w:rsidR="0033701D">
        <w:rPr>
          <w:rFonts w:cs="Times New Roman"/>
          <w:szCs w:val="24"/>
        </w:rPr>
        <w:t xml:space="preserve"> tracks</w:t>
      </w:r>
      <w:r w:rsidR="000206A9">
        <w:rPr>
          <w:rFonts w:cs="Times New Roman"/>
          <w:szCs w:val="24"/>
        </w:rPr>
        <w:t xml:space="preserve"> each day, resulting in different latitude/longitude coordinates for retrievals.</w:t>
      </w:r>
      <w:r w:rsidR="00875FFB">
        <w:rPr>
          <w:rFonts w:cs="Times New Roman"/>
          <w:szCs w:val="24"/>
        </w:rPr>
        <w:t xml:space="preserve"> Information on spatial and temporal resolution for all datasets used for this research is displayed </w:t>
      </w:r>
      <w:r w:rsidR="00153C23">
        <w:rPr>
          <w:rFonts w:cs="Times New Roman"/>
          <w:szCs w:val="24"/>
        </w:rPr>
        <w:t>i</w:t>
      </w:r>
      <w:r w:rsidR="00875FFB">
        <w:rPr>
          <w:rFonts w:cs="Times New Roman"/>
          <w:szCs w:val="24"/>
        </w:rPr>
        <w:t xml:space="preserve">n Table 1. </w:t>
      </w:r>
      <w:r w:rsidR="0033701D">
        <w:rPr>
          <w:rFonts w:cs="Times New Roman"/>
          <w:szCs w:val="24"/>
        </w:rPr>
        <w:t xml:space="preserve"> </w:t>
      </w:r>
    </w:p>
    <w:p w14:paraId="2693D605" w14:textId="35A3D993" w:rsidR="000206A9" w:rsidRDefault="000206A9" w:rsidP="0033701D">
      <w:pPr>
        <w:rPr>
          <w:rFonts w:cs="Times New Roman"/>
          <w:szCs w:val="24"/>
        </w:rPr>
      </w:pPr>
      <w:r>
        <w:rPr>
          <w:rFonts w:cs="Times New Roman"/>
          <w:szCs w:val="24"/>
        </w:rPr>
        <w:tab/>
      </w:r>
      <w:r w:rsidR="00D228F4">
        <w:rPr>
          <w:rFonts w:cs="Times New Roman"/>
          <w:szCs w:val="24"/>
        </w:rPr>
        <w:t>W</w:t>
      </w:r>
      <w:r>
        <w:rPr>
          <w:rFonts w:cs="Times New Roman"/>
          <w:szCs w:val="24"/>
        </w:rPr>
        <w:t xml:space="preserve">e </w:t>
      </w:r>
      <w:r w:rsidR="00E1070D">
        <w:rPr>
          <w:rFonts w:cs="Times New Roman"/>
          <w:szCs w:val="24"/>
        </w:rPr>
        <w:t xml:space="preserve">selected </w:t>
      </w:r>
      <w:r w:rsidR="00DB773A">
        <w:rPr>
          <w:rFonts w:cs="Times New Roman"/>
          <w:szCs w:val="24"/>
        </w:rPr>
        <w:t xml:space="preserve">an </w:t>
      </w:r>
      <w:r>
        <w:rPr>
          <w:rFonts w:cs="Times New Roman"/>
          <w:szCs w:val="24"/>
        </w:rPr>
        <w:t xml:space="preserve">Albers Equal Area (AEA) projection with the standard parallels set to 29.5°N and 45.5°N. This </w:t>
      </w:r>
      <w:r w:rsidR="00845DC5">
        <w:rPr>
          <w:rFonts w:cs="Times New Roman"/>
          <w:szCs w:val="24"/>
        </w:rPr>
        <w:t xml:space="preserve">projection </w:t>
      </w:r>
      <w:r>
        <w:rPr>
          <w:rFonts w:cs="Times New Roman"/>
          <w:szCs w:val="24"/>
        </w:rPr>
        <w:t>minimize</w:t>
      </w:r>
      <w:r w:rsidR="00845DC5">
        <w:rPr>
          <w:rFonts w:cs="Times New Roman"/>
          <w:szCs w:val="24"/>
        </w:rPr>
        <w:t>s</w:t>
      </w:r>
      <w:r>
        <w:rPr>
          <w:rFonts w:cs="Times New Roman"/>
          <w:szCs w:val="24"/>
        </w:rPr>
        <w:t xml:space="preserve"> scale distortion over the lower 48 states, which is capped at 1.25 percent according to the Understanding Map Projections guidebook by ESRI</w:t>
      </w:r>
      <w:r w:rsidR="0052552C">
        <w:rPr>
          <w:rFonts w:cs="Times New Roman"/>
          <w:szCs w:val="24"/>
        </w:rPr>
        <w:t xml:space="preserve"> </w:t>
      </w:r>
      <w:r w:rsidR="0052552C">
        <w:rPr>
          <w:rFonts w:cs="Times New Roman"/>
          <w:szCs w:val="24"/>
        </w:rPr>
        <w:fldChar w:fldCharType="begin"/>
      </w:r>
      <w:r w:rsidR="00BB6527">
        <w:rPr>
          <w:rFonts w:cs="Times New Roman"/>
          <w:szCs w:val="24"/>
        </w:rPr>
        <w:instrText xml:space="preserve"> ADDIN ZOTERO_ITEM CSL_CITATION {"citationID":"rC5Eh9cr","properties":{"formattedCitation":"(M. Kennedy &amp; Kopp, 2001)","plainCitation":"(M. Kennedy &amp; Kopp, 2001)","noteIndex":0},"citationItems":[{"id":697,"uris":["http://zotero.org/groups/4584967/items/EYT6A7QA"],"itemData":{"id":697,"type":"book","edition":"8","publisher":"ESRI Press","title":"Understanding Map Projections","author":[{"family":"Kennedy","given":"Melita"},{"family":"Kopp","given":"Steve"}],"issued":{"date-parts":[["2001",7,1]]},"citation-key":"kennedyUnderstandingMapProjections2001"}}],"schema":"https://github.com/citation-style-language/schema/raw/master/csl-citation.json"} </w:instrText>
      </w:r>
      <w:r w:rsidR="0052552C">
        <w:rPr>
          <w:rFonts w:cs="Times New Roman"/>
          <w:szCs w:val="24"/>
        </w:rPr>
        <w:fldChar w:fldCharType="separate"/>
      </w:r>
      <w:r w:rsidR="0052552C" w:rsidRPr="0052552C">
        <w:rPr>
          <w:rFonts w:cs="Times New Roman"/>
        </w:rPr>
        <w:t>(M. Kennedy &amp; Kopp, 2001)</w:t>
      </w:r>
      <w:r w:rsidR="0052552C">
        <w:rPr>
          <w:rFonts w:cs="Times New Roman"/>
          <w:szCs w:val="24"/>
        </w:rPr>
        <w:fldChar w:fldCharType="end"/>
      </w:r>
      <w:r>
        <w:rPr>
          <w:rFonts w:cs="Times New Roman"/>
          <w:szCs w:val="24"/>
        </w:rPr>
        <w:t xml:space="preserve">. </w:t>
      </w:r>
      <w:r w:rsidR="00354140">
        <w:rPr>
          <w:rFonts w:cs="Times New Roman"/>
          <w:szCs w:val="24"/>
        </w:rPr>
        <w:t>The in</w:t>
      </w:r>
      <w:r w:rsidR="00F92317">
        <w:rPr>
          <w:rFonts w:cs="Times New Roman"/>
          <w:szCs w:val="24"/>
        </w:rPr>
        <w:t>p</w:t>
      </w:r>
      <w:r w:rsidR="00354140">
        <w:rPr>
          <w:rFonts w:cs="Times New Roman"/>
          <w:szCs w:val="24"/>
        </w:rPr>
        <w:t>ut grid s</w:t>
      </w:r>
      <w:r w:rsidR="00F92317">
        <w:rPr>
          <w:rFonts w:cs="Times New Roman"/>
          <w:szCs w:val="24"/>
        </w:rPr>
        <w:t xml:space="preserve">elected </w:t>
      </w:r>
      <w:r w:rsidR="00DB773A">
        <w:rPr>
          <w:rFonts w:cs="Times New Roman"/>
          <w:szCs w:val="24"/>
        </w:rPr>
        <w:t xml:space="preserve">contains </w:t>
      </w:r>
      <w:r>
        <w:rPr>
          <w:rFonts w:cs="Times New Roman"/>
          <w:szCs w:val="24"/>
        </w:rPr>
        <w:t xml:space="preserve">360 rows </w:t>
      </w:r>
      <w:r w:rsidR="00DB773A">
        <w:rPr>
          <w:rFonts w:cs="Times New Roman"/>
          <w:szCs w:val="24"/>
        </w:rPr>
        <w:t>and</w:t>
      </w:r>
      <w:r>
        <w:rPr>
          <w:rFonts w:cs="Times New Roman"/>
          <w:szCs w:val="24"/>
        </w:rPr>
        <w:t xml:space="preserve"> 515 columns of 12x12 km</w:t>
      </w:r>
      <w:r>
        <w:rPr>
          <w:rFonts w:cs="Times New Roman"/>
          <w:szCs w:val="24"/>
          <w:vertAlign w:val="superscript"/>
        </w:rPr>
        <w:t>2</w:t>
      </w:r>
      <w:r>
        <w:rPr>
          <w:rFonts w:cs="Times New Roman"/>
          <w:szCs w:val="24"/>
        </w:rPr>
        <w:t xml:space="preserve"> squares. This setup maximiz</w:t>
      </w:r>
      <w:r w:rsidR="006A00A9">
        <w:rPr>
          <w:rFonts w:cs="Times New Roman"/>
          <w:szCs w:val="24"/>
        </w:rPr>
        <w:t>es</w:t>
      </w:r>
      <w:r>
        <w:rPr>
          <w:rFonts w:cs="Times New Roman"/>
          <w:szCs w:val="24"/>
        </w:rPr>
        <w:t xml:space="preserve"> area over CON</w:t>
      </w:r>
      <w:r w:rsidR="00BE76E0">
        <w:rPr>
          <w:rFonts w:cs="Times New Roman"/>
          <w:szCs w:val="24"/>
        </w:rPr>
        <w:t>US.</w:t>
      </w:r>
      <w:r>
        <w:rPr>
          <w:rFonts w:cs="Times New Roman"/>
          <w:szCs w:val="24"/>
        </w:rPr>
        <w:t xml:space="preserve"> (</w:t>
      </w:r>
      <w:r w:rsidR="00020A10">
        <w:rPr>
          <w:rFonts w:cs="Times New Roman"/>
          <w:szCs w:val="24"/>
        </w:rPr>
        <w:t>Figure 7</w:t>
      </w:r>
      <w:r>
        <w:rPr>
          <w:rFonts w:cs="Times New Roman"/>
          <w:szCs w:val="24"/>
        </w:rPr>
        <w:t>).</w:t>
      </w:r>
    </w:p>
    <w:p w14:paraId="5E5231C0" w14:textId="2875F621" w:rsidR="00A5112A" w:rsidRPr="000206A9" w:rsidRDefault="00A5112A" w:rsidP="00582302">
      <w:pPr>
        <w:rPr>
          <w:rFonts w:cs="Times New Roman"/>
          <w:szCs w:val="24"/>
        </w:rPr>
      </w:pPr>
      <w:r>
        <w:rPr>
          <w:noProof/>
        </w:rPr>
        <w:lastRenderedPageBreak/>
        <mc:AlternateContent>
          <mc:Choice Requires="wps">
            <w:drawing>
              <wp:anchor distT="0" distB="0" distL="114300" distR="114300" simplePos="0" relativeHeight="251658241" behindDoc="0" locked="0" layoutInCell="1" allowOverlap="1" wp14:anchorId="4B86FF2E" wp14:editId="07C60E9F">
                <wp:simplePos x="0" y="0"/>
                <wp:positionH relativeFrom="column">
                  <wp:posOffset>38100</wp:posOffset>
                </wp:positionH>
                <wp:positionV relativeFrom="paragraph">
                  <wp:posOffset>4191000</wp:posOffset>
                </wp:positionV>
                <wp:extent cx="5153025" cy="635"/>
                <wp:effectExtent l="0" t="0" r="0" b="0"/>
                <wp:wrapTopAndBottom/>
                <wp:docPr id="1842273196" name="Text Box 1"/>
                <wp:cNvGraphicFramePr/>
                <a:graphic xmlns:a="http://schemas.openxmlformats.org/drawingml/2006/main">
                  <a:graphicData uri="http://schemas.microsoft.com/office/word/2010/wordprocessingShape">
                    <wps:wsp>
                      <wps:cNvSpPr txBox="1"/>
                      <wps:spPr>
                        <a:xfrm>
                          <a:off x="0" y="0"/>
                          <a:ext cx="5153025" cy="635"/>
                        </a:xfrm>
                        <a:prstGeom prst="rect">
                          <a:avLst/>
                        </a:prstGeom>
                        <a:solidFill>
                          <a:prstClr val="white"/>
                        </a:solidFill>
                        <a:ln>
                          <a:noFill/>
                        </a:ln>
                      </wps:spPr>
                      <wps:txbx>
                        <w:txbxContent>
                          <w:p w14:paraId="417147CB" w14:textId="5915304F" w:rsidR="00A5112A" w:rsidRPr="005C5B64" w:rsidRDefault="00A5112A" w:rsidP="00D52313">
                            <w:pPr>
                              <w:pStyle w:val="Caption"/>
                              <w:rPr>
                                <w:rFonts w:cs="Times New Roman"/>
                              </w:rPr>
                            </w:pPr>
                            <w:bookmarkStart w:id="46" w:name="_Ref157896367"/>
                            <w:bookmarkStart w:id="47" w:name="_Ref157896362"/>
                            <w:bookmarkStart w:id="48" w:name="_Toc159825969"/>
                            <w:r>
                              <w:t xml:space="preserve">Figure </w:t>
                            </w:r>
                            <w:r>
                              <w:fldChar w:fldCharType="begin"/>
                            </w:r>
                            <w:r>
                              <w:instrText xml:space="preserve"> SEQ Figure \* ARABIC </w:instrText>
                            </w:r>
                            <w:r>
                              <w:fldChar w:fldCharType="separate"/>
                            </w:r>
                            <w:r w:rsidR="00C54A78">
                              <w:rPr>
                                <w:noProof/>
                              </w:rPr>
                              <w:t>7</w:t>
                            </w:r>
                            <w:r>
                              <w:rPr>
                                <w:noProof/>
                              </w:rPr>
                              <w:fldChar w:fldCharType="end"/>
                            </w:r>
                            <w:bookmarkEnd w:id="46"/>
                            <w:r>
                              <w:t>: The proposed grid in red and the NAM 12km grid in gray. Both have 12x12 km</w:t>
                            </w:r>
                            <w:r>
                              <w:rPr>
                                <w:vertAlign w:val="superscript"/>
                              </w:rPr>
                              <w:t>2</w:t>
                            </w:r>
                            <w:r>
                              <w:t xml:space="preserve"> resolution but are defined on different projections.</w:t>
                            </w:r>
                            <w:bookmarkEnd w:id="47"/>
                            <w:bookmarkEnd w:id="48"/>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4B86FF2E" id="_x0000_t202" coordsize="21600,21600" o:spt="202" path="m,l,21600r21600,l21600,xe">
                <v:stroke joinstyle="miter"/>
                <v:path gradientshapeok="t" o:connecttype="rect"/>
              </v:shapetype>
              <v:shape id="Text Box 1" o:spid="_x0000_s1026" type="#_x0000_t202" style="position:absolute;margin-left:3pt;margin-top:330pt;width:405.75pt;height:.05pt;z-index:25165824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" stroked="f">
                <v:textbox style="mso-fit-shape-to-text:t" inset="0,0,0,0">
                  <w:txbxContent>
                    <w:p w14:paraId="417147CB" w14:textId="5915304F" w:rsidR="00A5112A" w:rsidRPr="005C5B64" w:rsidRDefault="00A5112A" w:rsidP="00D52313">
                      <w:pPr>
                        <w:pStyle w:val="Caption"/>
                        <w:rPr>
                          <w:rFonts w:cs="Times New Roman"/>
                        </w:rPr>
                      </w:pPr>
                      <w:bookmarkStart w:id="49" w:name="_Ref157896367"/>
                      <w:bookmarkStart w:id="50" w:name="_Ref157896362"/>
                      <w:bookmarkStart w:id="51" w:name="_Toc159825969"/>
                      <w:r>
                        <w:t xml:space="preserve">Figure </w:t>
                      </w:r>
                      <w:r>
                        <w:fldChar w:fldCharType="begin"/>
                      </w:r>
                      <w:r>
                        <w:instrText xml:space="preserve"> SEQ Figure \* ARABIC </w:instrText>
                      </w:r>
                      <w:r>
                        <w:fldChar w:fldCharType="separate"/>
                      </w:r>
                      <w:r w:rsidR="00C54A78">
                        <w:rPr>
                          <w:noProof/>
                        </w:rPr>
                        <w:t>7</w:t>
                      </w:r>
                      <w:r>
                        <w:rPr>
                          <w:noProof/>
                        </w:rPr>
                        <w:fldChar w:fldCharType="end"/>
                      </w:r>
                      <w:bookmarkEnd w:id="49"/>
                      <w:r>
                        <w:t>: The proposed grid in red and the NAM 12km grid in gray. Both have 12x12 km</w:t>
                      </w:r>
                      <w:r>
                        <w:rPr>
                          <w:vertAlign w:val="superscript"/>
                        </w:rPr>
                        <w:t>2</w:t>
                      </w:r>
                      <w:r>
                        <w:t xml:space="preserve"> resolution but are defined on different projections.</w:t>
                      </w:r>
                      <w:bookmarkEnd w:id="50"/>
                      <w:bookmarkEnd w:id="51"/>
                    </w:p>
                  </w:txbxContent>
                </v:textbox>
                <w10:wrap type="topAndBottom"/>
              </v:shape>
            </w:pict>
          </mc:Fallback>
        </mc:AlternateContent>
      </w:r>
      <w:r>
        <w:rPr>
          <w:rFonts w:cs="Times New Roman"/>
          <w:noProof/>
          <w:szCs w:val="24"/>
        </w:rPr>
        <w:drawing>
          <wp:anchor distT="0" distB="0" distL="114300" distR="114300" simplePos="0" relativeHeight="251658240" behindDoc="0" locked="0" layoutInCell="1" allowOverlap="1" wp14:anchorId="380BC1D7" wp14:editId="49E388DA">
            <wp:simplePos x="0" y="0"/>
            <wp:positionH relativeFrom="column">
              <wp:posOffset>38100</wp:posOffset>
            </wp:positionH>
            <wp:positionV relativeFrom="paragraph">
              <wp:posOffset>0</wp:posOffset>
            </wp:positionV>
            <wp:extent cx="5153025" cy="4133850"/>
            <wp:effectExtent l="0" t="0" r="9525" b="0"/>
            <wp:wrapTopAndBottom/>
            <wp:docPr id="2126020328" name="Picture 1" descr="A map of the united stat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6020328" name="Picture 1" descr="A map of the united states&#10;&#10;Description automatically generated"/>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153025" cy="4133850"/>
                    </a:xfrm>
                    <a:prstGeom prst="rect">
                      <a:avLst/>
                    </a:prstGeom>
                    <a:noFill/>
                    <a:ln>
                      <a:noFill/>
                    </a:ln>
                  </pic:spPr>
                </pic:pic>
              </a:graphicData>
            </a:graphic>
          </wp:anchor>
        </w:drawing>
      </w:r>
    </w:p>
    <w:p w14:paraId="069ED306" w14:textId="7175BA22" w:rsidR="008368C1" w:rsidRDefault="008368C1" w:rsidP="0087740B">
      <w:pPr>
        <w:pStyle w:val="Heading3"/>
      </w:pPr>
      <w:bookmarkStart w:id="52" w:name="_Toc161431094"/>
      <w:r w:rsidRPr="00601F10">
        <w:t>3.</w:t>
      </w:r>
      <w:r w:rsidR="00335CAA">
        <w:t>2</w:t>
      </w:r>
      <w:r w:rsidRPr="00601F10">
        <w:t>.2 Temporal Selection</w:t>
      </w:r>
      <w:bookmarkEnd w:id="52"/>
    </w:p>
    <w:p w14:paraId="504A9F31" w14:textId="3E7C7088" w:rsidR="009C3D45" w:rsidRDefault="0070479E" w:rsidP="009C3D45">
      <w:pPr>
        <w:rPr>
          <w:rFonts w:cs="Times New Roman"/>
          <w:szCs w:val="24"/>
        </w:rPr>
      </w:pPr>
      <w:r>
        <w:rPr>
          <w:rFonts w:cs="Times New Roman"/>
          <w:sz w:val="32"/>
          <w:szCs w:val="32"/>
        </w:rPr>
        <w:tab/>
      </w:r>
      <w:r w:rsidR="009C3D45">
        <w:rPr>
          <w:rFonts w:cs="Times New Roman"/>
          <w:szCs w:val="24"/>
        </w:rPr>
        <w:t xml:space="preserve">Much like with the spatial heterogeneity in the input data, the time of day measurements are made </w:t>
      </w:r>
      <w:r w:rsidR="00355A9E">
        <w:rPr>
          <w:rFonts w:cs="Times New Roman"/>
          <w:szCs w:val="24"/>
        </w:rPr>
        <w:t xml:space="preserve">is </w:t>
      </w:r>
      <w:r w:rsidR="009C3D45">
        <w:rPr>
          <w:rFonts w:cs="Times New Roman"/>
          <w:szCs w:val="24"/>
        </w:rPr>
        <w:t>similarly misaligned between the various models and instruments (</w:t>
      </w:r>
      <w:r w:rsidR="009C3D45" w:rsidRPr="00E50877">
        <w:rPr>
          <w:rFonts w:cs="Times New Roman"/>
          <w:szCs w:val="24"/>
        </w:rPr>
        <w:fldChar w:fldCharType="begin"/>
      </w:r>
      <w:r w:rsidR="009C3D45" w:rsidRPr="00E50877">
        <w:rPr>
          <w:rFonts w:cs="Times New Roman"/>
          <w:szCs w:val="24"/>
        </w:rPr>
        <w:instrText xml:space="preserve"> REF _Ref157906715 \h  \* MERGEFORMAT </w:instrText>
      </w:r>
      <w:r w:rsidR="009C3D45" w:rsidRPr="00E50877">
        <w:rPr>
          <w:rFonts w:cs="Times New Roman"/>
          <w:szCs w:val="24"/>
        </w:rPr>
      </w:r>
      <w:r w:rsidR="009C3D45" w:rsidRPr="00E50877">
        <w:rPr>
          <w:rFonts w:cs="Times New Roman"/>
          <w:szCs w:val="24"/>
        </w:rPr>
        <w:fldChar w:fldCharType="separate"/>
      </w:r>
      <w:r w:rsidR="00C54A78" w:rsidRPr="00C54A78">
        <w:rPr>
          <w:rFonts w:cs="Times New Roman"/>
          <w:szCs w:val="24"/>
        </w:rPr>
        <w:t xml:space="preserve">Table </w:t>
      </w:r>
      <w:r w:rsidR="00C54A78" w:rsidRPr="00C54A78">
        <w:rPr>
          <w:rFonts w:cs="Times New Roman"/>
          <w:noProof/>
          <w:szCs w:val="24"/>
        </w:rPr>
        <w:t>2</w:t>
      </w:r>
      <w:r w:rsidR="009C3D45" w:rsidRPr="00E50877">
        <w:rPr>
          <w:rFonts w:cs="Times New Roman"/>
          <w:szCs w:val="24"/>
        </w:rPr>
        <w:fldChar w:fldCharType="end"/>
      </w:r>
      <w:r w:rsidR="009C3D45">
        <w:rPr>
          <w:rFonts w:cs="Times New Roman"/>
          <w:szCs w:val="24"/>
        </w:rPr>
        <w:t>).</w:t>
      </w:r>
    </w:p>
    <w:tbl>
      <w:tblPr>
        <w:tblStyle w:val="TableGrid"/>
        <w:tblW w:w="0" w:type="auto"/>
        <w:tblLook w:val="04A0" w:firstRow="1" w:lastRow="0" w:firstColumn="1" w:lastColumn="0" w:noHBand="0" w:noVBand="1"/>
      </w:tblPr>
      <w:tblGrid>
        <w:gridCol w:w="2335"/>
        <w:gridCol w:w="4050"/>
      </w:tblGrid>
      <w:tr w:rsidR="009C3D45" w14:paraId="03C66B26" w14:textId="77777777" w:rsidTr="00595575">
        <w:tc>
          <w:tcPr>
            <w:tcW w:w="2335" w:type="dxa"/>
          </w:tcPr>
          <w:p w14:paraId="59C9FBD5" w14:textId="77777777" w:rsidR="009C3D45" w:rsidRPr="006A00A9" w:rsidRDefault="009C3D45" w:rsidP="00E025CB">
            <w:pPr>
              <w:jc w:val="center"/>
              <w:rPr>
                <w:rFonts w:cs="Times New Roman"/>
                <w:b/>
                <w:bCs/>
                <w:szCs w:val="24"/>
              </w:rPr>
            </w:pPr>
            <w:r w:rsidRPr="006A00A9">
              <w:rPr>
                <w:rFonts w:cs="Times New Roman"/>
                <w:b/>
                <w:bCs/>
                <w:szCs w:val="24"/>
              </w:rPr>
              <w:t>Source</w:t>
            </w:r>
          </w:p>
        </w:tc>
        <w:tc>
          <w:tcPr>
            <w:tcW w:w="4050" w:type="dxa"/>
          </w:tcPr>
          <w:p w14:paraId="34CEFCD6" w14:textId="77777777" w:rsidR="009C3D45" w:rsidRPr="006A00A9" w:rsidRDefault="009C3D45" w:rsidP="00E025CB">
            <w:pPr>
              <w:jc w:val="center"/>
              <w:rPr>
                <w:rFonts w:cs="Times New Roman"/>
                <w:b/>
                <w:bCs/>
                <w:szCs w:val="24"/>
              </w:rPr>
            </w:pPr>
            <w:r w:rsidRPr="006A00A9">
              <w:rPr>
                <w:rFonts w:cs="Times New Roman"/>
                <w:b/>
                <w:bCs/>
                <w:szCs w:val="24"/>
              </w:rPr>
              <w:t>Temporal Resolution</w:t>
            </w:r>
          </w:p>
        </w:tc>
      </w:tr>
      <w:tr w:rsidR="009C3D45" w14:paraId="5ECCF7ED" w14:textId="77777777" w:rsidTr="00595575">
        <w:tc>
          <w:tcPr>
            <w:tcW w:w="2335" w:type="dxa"/>
          </w:tcPr>
          <w:p w14:paraId="6E093644" w14:textId="77777777" w:rsidR="009C3D45" w:rsidRPr="00B164FD" w:rsidRDefault="009C3D45" w:rsidP="00595575">
            <w:pPr>
              <w:rPr>
                <w:rFonts w:cs="Times New Roman"/>
                <w:szCs w:val="24"/>
              </w:rPr>
            </w:pPr>
            <w:r w:rsidRPr="00B164FD">
              <w:rPr>
                <w:rFonts w:cs="Times New Roman"/>
                <w:szCs w:val="24"/>
              </w:rPr>
              <w:t>NAM 12km</w:t>
            </w:r>
          </w:p>
        </w:tc>
        <w:tc>
          <w:tcPr>
            <w:tcW w:w="4050" w:type="dxa"/>
          </w:tcPr>
          <w:p w14:paraId="7273C802" w14:textId="77777777" w:rsidR="009C3D45" w:rsidRDefault="009C3D45" w:rsidP="006A00A9">
            <w:pPr>
              <w:jc w:val="center"/>
              <w:rPr>
                <w:rFonts w:cs="Times New Roman"/>
                <w:szCs w:val="24"/>
              </w:rPr>
            </w:pPr>
            <w:r>
              <w:rPr>
                <w:rFonts w:cs="Times New Roman"/>
                <w:szCs w:val="24"/>
              </w:rPr>
              <w:t>0000, 0600, 1200, 1800 UTC daily</w:t>
            </w:r>
          </w:p>
        </w:tc>
      </w:tr>
      <w:tr w:rsidR="009C3D45" w14:paraId="49E4E666" w14:textId="77777777" w:rsidTr="00595575">
        <w:tc>
          <w:tcPr>
            <w:tcW w:w="2335" w:type="dxa"/>
          </w:tcPr>
          <w:p w14:paraId="78501B08" w14:textId="77777777" w:rsidR="009C3D45" w:rsidRPr="00B164FD" w:rsidRDefault="009C3D45" w:rsidP="00595575">
            <w:pPr>
              <w:rPr>
                <w:rFonts w:cs="Times New Roman"/>
                <w:szCs w:val="24"/>
              </w:rPr>
            </w:pPr>
            <w:r w:rsidRPr="00B164FD">
              <w:rPr>
                <w:rFonts w:cs="Times New Roman"/>
                <w:szCs w:val="24"/>
              </w:rPr>
              <w:t>MERRA-2</w:t>
            </w:r>
          </w:p>
        </w:tc>
        <w:tc>
          <w:tcPr>
            <w:tcW w:w="4050" w:type="dxa"/>
          </w:tcPr>
          <w:p w14:paraId="3429FD3D" w14:textId="77777777" w:rsidR="009C3D45" w:rsidRDefault="009C3D45" w:rsidP="006A00A9">
            <w:pPr>
              <w:jc w:val="center"/>
              <w:rPr>
                <w:rFonts w:cs="Times New Roman"/>
                <w:szCs w:val="24"/>
              </w:rPr>
            </w:pPr>
            <w:r>
              <w:rPr>
                <w:rFonts w:cs="Times New Roman"/>
                <w:szCs w:val="24"/>
              </w:rPr>
              <w:t>hourly</w:t>
            </w:r>
          </w:p>
        </w:tc>
      </w:tr>
      <w:tr w:rsidR="009C3D45" w14:paraId="66BB3D0D" w14:textId="77777777" w:rsidTr="00595575">
        <w:tc>
          <w:tcPr>
            <w:tcW w:w="2335" w:type="dxa"/>
          </w:tcPr>
          <w:p w14:paraId="6D67BDB4" w14:textId="77777777" w:rsidR="009C3D45" w:rsidRPr="00B164FD" w:rsidRDefault="009C3D45" w:rsidP="00595575">
            <w:pPr>
              <w:rPr>
                <w:rFonts w:cs="Times New Roman"/>
                <w:szCs w:val="24"/>
              </w:rPr>
            </w:pPr>
            <w:r w:rsidRPr="00B164FD">
              <w:rPr>
                <w:rFonts w:cs="Times New Roman"/>
                <w:szCs w:val="24"/>
              </w:rPr>
              <w:t>HMS</w:t>
            </w:r>
          </w:p>
        </w:tc>
        <w:tc>
          <w:tcPr>
            <w:tcW w:w="4050" w:type="dxa"/>
          </w:tcPr>
          <w:p w14:paraId="3FE59CC0" w14:textId="77777777" w:rsidR="009C3D45" w:rsidRDefault="009C3D45" w:rsidP="006A00A9">
            <w:pPr>
              <w:jc w:val="center"/>
              <w:rPr>
                <w:rFonts w:cs="Times New Roman"/>
                <w:szCs w:val="24"/>
              </w:rPr>
            </w:pPr>
            <w:r>
              <w:rPr>
                <w:rFonts w:cs="Times New Roman"/>
                <w:szCs w:val="24"/>
              </w:rPr>
              <w:t>daily</w:t>
            </w:r>
          </w:p>
        </w:tc>
      </w:tr>
      <w:tr w:rsidR="009C3D45" w14:paraId="0C83E637" w14:textId="77777777" w:rsidTr="00595575">
        <w:tc>
          <w:tcPr>
            <w:tcW w:w="2335" w:type="dxa"/>
          </w:tcPr>
          <w:p w14:paraId="38220A9E" w14:textId="77777777" w:rsidR="009C3D45" w:rsidRPr="00B164FD" w:rsidRDefault="009C3D45" w:rsidP="00595575">
            <w:pPr>
              <w:rPr>
                <w:rFonts w:cs="Times New Roman"/>
                <w:szCs w:val="24"/>
              </w:rPr>
            </w:pPr>
            <w:r w:rsidRPr="00B164FD">
              <w:rPr>
                <w:rFonts w:cs="Times New Roman"/>
                <w:szCs w:val="24"/>
              </w:rPr>
              <w:lastRenderedPageBreak/>
              <w:t>Terra</w:t>
            </w:r>
          </w:p>
        </w:tc>
        <w:tc>
          <w:tcPr>
            <w:tcW w:w="4050" w:type="dxa"/>
          </w:tcPr>
          <w:p w14:paraId="0CFE22A6" w14:textId="77777777" w:rsidR="009C3D45" w:rsidRDefault="009C3D45" w:rsidP="006A00A9">
            <w:pPr>
              <w:jc w:val="center"/>
              <w:rPr>
                <w:rFonts w:cs="Times New Roman"/>
                <w:szCs w:val="24"/>
              </w:rPr>
            </w:pPr>
            <w:r>
              <w:rPr>
                <w:rFonts w:cs="Times New Roman"/>
                <w:szCs w:val="24"/>
              </w:rPr>
              <w:t>10:30 a.m. local time daily</w:t>
            </w:r>
          </w:p>
        </w:tc>
      </w:tr>
      <w:tr w:rsidR="009C3D45" w14:paraId="35417C07" w14:textId="77777777" w:rsidTr="00595575">
        <w:tc>
          <w:tcPr>
            <w:tcW w:w="2335" w:type="dxa"/>
          </w:tcPr>
          <w:p w14:paraId="3B239064" w14:textId="77777777" w:rsidR="009C3D45" w:rsidRPr="00B164FD" w:rsidRDefault="009C3D45" w:rsidP="00595575">
            <w:pPr>
              <w:rPr>
                <w:rFonts w:cs="Times New Roman"/>
                <w:szCs w:val="24"/>
              </w:rPr>
            </w:pPr>
            <w:r w:rsidRPr="00B164FD">
              <w:rPr>
                <w:rFonts w:cs="Times New Roman"/>
                <w:szCs w:val="24"/>
              </w:rPr>
              <w:t>Aqua/S-NPP</w:t>
            </w:r>
          </w:p>
        </w:tc>
        <w:tc>
          <w:tcPr>
            <w:tcW w:w="4050" w:type="dxa"/>
          </w:tcPr>
          <w:p w14:paraId="5E671FF2" w14:textId="77777777" w:rsidR="009C3D45" w:rsidRDefault="009C3D45" w:rsidP="006A00A9">
            <w:pPr>
              <w:keepNext/>
              <w:jc w:val="center"/>
              <w:rPr>
                <w:rFonts w:cs="Times New Roman"/>
                <w:szCs w:val="24"/>
              </w:rPr>
            </w:pPr>
            <w:r>
              <w:rPr>
                <w:rFonts w:cs="Times New Roman"/>
                <w:szCs w:val="24"/>
              </w:rPr>
              <w:t>1:30 p.m. local time daily</w:t>
            </w:r>
          </w:p>
        </w:tc>
      </w:tr>
    </w:tbl>
    <w:p w14:paraId="2C3FEEB6" w14:textId="7CE0CE60" w:rsidR="009C3D45" w:rsidRPr="0070479E" w:rsidRDefault="009C3D45" w:rsidP="00D52313">
      <w:pPr>
        <w:pStyle w:val="Caption"/>
        <w:rPr>
          <w:rFonts w:cs="Times New Roman"/>
        </w:rPr>
      </w:pPr>
      <w:bookmarkStart w:id="53" w:name="_Ref157906715"/>
      <w:bookmarkStart w:id="54" w:name="_Ref157906705"/>
      <w:bookmarkStart w:id="55" w:name="_Toc159825958"/>
      <w:r>
        <w:t xml:space="preserve">Table </w:t>
      </w:r>
      <w:r>
        <w:fldChar w:fldCharType="begin"/>
      </w:r>
      <w:r>
        <w:instrText xml:space="preserve"> SEQ Table \* ARABIC </w:instrText>
      </w:r>
      <w:r>
        <w:fldChar w:fldCharType="separate"/>
      </w:r>
      <w:r w:rsidR="00C54A78">
        <w:rPr>
          <w:noProof/>
        </w:rPr>
        <w:t>2</w:t>
      </w:r>
      <w:r>
        <w:rPr>
          <w:noProof/>
        </w:rPr>
        <w:fldChar w:fldCharType="end"/>
      </w:r>
      <w:bookmarkEnd w:id="53"/>
      <w:r>
        <w:t>: Temporal resolution of various input data.</w:t>
      </w:r>
      <w:bookmarkEnd w:id="54"/>
      <w:bookmarkEnd w:id="55"/>
    </w:p>
    <w:p w14:paraId="2BB5919D" w14:textId="1FAB5FDA" w:rsidR="009C3D45" w:rsidRDefault="009C3D45" w:rsidP="009C3D45">
      <w:pPr>
        <w:rPr>
          <w:rFonts w:cs="Times New Roman"/>
          <w:szCs w:val="24"/>
        </w:rPr>
      </w:pPr>
      <w:r>
        <w:rPr>
          <w:rFonts w:cs="Times New Roman"/>
          <w:sz w:val="32"/>
          <w:szCs w:val="32"/>
        </w:rPr>
        <w:tab/>
      </w:r>
      <w:r>
        <w:rPr>
          <w:rFonts w:cs="Times New Roman"/>
          <w:szCs w:val="24"/>
        </w:rPr>
        <w:t xml:space="preserve">Since the AOD retrievals from S-NPP, Terra, and Aqua were the primary </w:t>
      </w:r>
      <w:r w:rsidR="009D6878">
        <w:rPr>
          <w:rFonts w:cs="Times New Roman"/>
          <w:szCs w:val="24"/>
        </w:rPr>
        <w:t xml:space="preserve">training </w:t>
      </w:r>
      <w:r>
        <w:rPr>
          <w:rFonts w:cs="Times New Roman"/>
          <w:szCs w:val="24"/>
        </w:rPr>
        <w:t xml:space="preserve">targets </w:t>
      </w:r>
      <w:r w:rsidR="009D6878">
        <w:rPr>
          <w:rFonts w:cs="Times New Roman"/>
          <w:szCs w:val="24"/>
        </w:rPr>
        <w:t xml:space="preserve">for </w:t>
      </w:r>
      <w:r>
        <w:rPr>
          <w:rFonts w:cs="Times New Roman"/>
          <w:szCs w:val="24"/>
        </w:rPr>
        <w:t>our mode</w:t>
      </w:r>
      <w:r w:rsidR="009D6878">
        <w:rPr>
          <w:rFonts w:cs="Times New Roman"/>
          <w:szCs w:val="24"/>
        </w:rPr>
        <w:t>l</w:t>
      </w:r>
      <w:r>
        <w:rPr>
          <w:rFonts w:cs="Times New Roman"/>
          <w:szCs w:val="24"/>
        </w:rPr>
        <w:t xml:space="preserve">, we </w:t>
      </w:r>
      <w:r w:rsidR="00D96C7F">
        <w:rPr>
          <w:rFonts w:cs="Times New Roman"/>
          <w:szCs w:val="24"/>
        </w:rPr>
        <w:t xml:space="preserve">selected </w:t>
      </w:r>
      <w:r>
        <w:rPr>
          <w:rFonts w:cs="Times New Roman"/>
          <w:szCs w:val="24"/>
        </w:rPr>
        <w:t>from each dataset the daily data points that fell around 10:30 a.m. local time to 1:30 p.m. local time across CONUS. This corresponds to 18</w:t>
      </w:r>
      <w:r w:rsidR="00141183">
        <w:rPr>
          <w:rFonts w:cs="Times New Roman"/>
          <w:szCs w:val="24"/>
        </w:rPr>
        <w:t>:</w:t>
      </w:r>
      <w:r>
        <w:rPr>
          <w:rFonts w:cs="Times New Roman"/>
          <w:szCs w:val="24"/>
        </w:rPr>
        <w:t>30-21</w:t>
      </w:r>
      <w:r w:rsidR="00141183">
        <w:rPr>
          <w:rFonts w:cs="Times New Roman"/>
          <w:szCs w:val="24"/>
        </w:rPr>
        <w:t>:</w:t>
      </w:r>
      <w:r>
        <w:rPr>
          <w:rFonts w:cs="Times New Roman"/>
          <w:szCs w:val="24"/>
        </w:rPr>
        <w:t xml:space="preserve">30 UTC </w:t>
      </w:r>
      <w:r w:rsidR="009D6878">
        <w:rPr>
          <w:rFonts w:cs="Times New Roman"/>
          <w:szCs w:val="24"/>
        </w:rPr>
        <w:t>i</w:t>
      </w:r>
      <w:r>
        <w:rPr>
          <w:rFonts w:cs="Times New Roman"/>
          <w:szCs w:val="24"/>
        </w:rPr>
        <w:t xml:space="preserve">n </w:t>
      </w:r>
      <w:r w:rsidR="00A209AD">
        <w:rPr>
          <w:rFonts w:cs="Times New Roman"/>
          <w:szCs w:val="24"/>
        </w:rPr>
        <w:t>PST</w:t>
      </w:r>
      <w:r>
        <w:rPr>
          <w:rFonts w:cs="Times New Roman"/>
          <w:szCs w:val="24"/>
        </w:rPr>
        <w:t xml:space="preserve"> and 15</w:t>
      </w:r>
      <w:r w:rsidR="009D6878">
        <w:rPr>
          <w:rFonts w:cs="Times New Roman"/>
          <w:szCs w:val="24"/>
        </w:rPr>
        <w:t>:</w:t>
      </w:r>
      <w:r>
        <w:rPr>
          <w:rFonts w:cs="Times New Roman"/>
          <w:szCs w:val="24"/>
        </w:rPr>
        <w:t>30-18</w:t>
      </w:r>
      <w:r w:rsidR="009D6878">
        <w:rPr>
          <w:rFonts w:cs="Times New Roman"/>
          <w:szCs w:val="24"/>
        </w:rPr>
        <w:t>:</w:t>
      </w:r>
      <w:r>
        <w:rPr>
          <w:rFonts w:cs="Times New Roman"/>
          <w:szCs w:val="24"/>
        </w:rPr>
        <w:t xml:space="preserve">30 UTC </w:t>
      </w:r>
      <w:r w:rsidR="00A209AD">
        <w:rPr>
          <w:rFonts w:cs="Times New Roman"/>
          <w:szCs w:val="24"/>
        </w:rPr>
        <w:t>i</w:t>
      </w:r>
      <w:r>
        <w:rPr>
          <w:rFonts w:cs="Times New Roman"/>
          <w:szCs w:val="24"/>
        </w:rPr>
        <w:t xml:space="preserve">n </w:t>
      </w:r>
      <w:r w:rsidR="00A209AD">
        <w:rPr>
          <w:rFonts w:cs="Times New Roman"/>
          <w:szCs w:val="24"/>
        </w:rPr>
        <w:t>EST</w:t>
      </w:r>
      <w:r>
        <w:rPr>
          <w:rFonts w:cs="Times New Roman"/>
          <w:szCs w:val="24"/>
        </w:rPr>
        <w:t>.</w:t>
      </w:r>
    </w:p>
    <w:p w14:paraId="6F9FF12D" w14:textId="6A19EECB" w:rsidR="009C3D45" w:rsidRDefault="009C3D45" w:rsidP="009C3D45">
      <w:pPr>
        <w:rPr>
          <w:rFonts w:cs="Times New Roman"/>
          <w:szCs w:val="24"/>
        </w:rPr>
      </w:pPr>
      <w:r>
        <w:rPr>
          <w:rFonts w:cs="Times New Roman"/>
          <w:szCs w:val="24"/>
        </w:rPr>
        <w:tab/>
        <w:t>At the start of the project, we worked only with the western U.S. and S-NPP, and thus decided to create a daily NAM dataset by averaging the 18</w:t>
      </w:r>
      <w:r w:rsidR="00E14A2B">
        <w:rPr>
          <w:rFonts w:cs="Times New Roman"/>
          <w:szCs w:val="24"/>
        </w:rPr>
        <w:t>:</w:t>
      </w:r>
      <w:r>
        <w:rPr>
          <w:rFonts w:cs="Times New Roman"/>
          <w:szCs w:val="24"/>
        </w:rPr>
        <w:t>00 and 00</w:t>
      </w:r>
      <w:r w:rsidR="00E14A2B">
        <w:rPr>
          <w:rFonts w:cs="Times New Roman"/>
          <w:szCs w:val="24"/>
        </w:rPr>
        <w:t>:</w:t>
      </w:r>
      <w:r>
        <w:rPr>
          <w:rFonts w:cs="Times New Roman"/>
          <w:szCs w:val="24"/>
        </w:rPr>
        <w:t>00</w:t>
      </w:r>
      <w:r w:rsidR="00E14A2B">
        <w:rPr>
          <w:rFonts w:cs="Times New Roman"/>
          <w:szCs w:val="24"/>
        </w:rPr>
        <w:t xml:space="preserve"> UTC</w:t>
      </w:r>
      <w:r>
        <w:rPr>
          <w:rFonts w:cs="Times New Roman"/>
          <w:szCs w:val="24"/>
        </w:rPr>
        <w:t xml:space="preserve"> datasets for each day. Since expanding to CONUS, we have not adjusted this averaging to account for the additional time zones and kept the same scheme. Further investigation into model performance and NAM averaging will be done in future work (see </w:t>
      </w:r>
      <w:r w:rsidR="00E14A2B">
        <w:rPr>
          <w:rFonts w:cs="Times New Roman"/>
          <w:szCs w:val="24"/>
        </w:rPr>
        <w:t>S</w:t>
      </w:r>
      <w:r>
        <w:rPr>
          <w:rFonts w:cs="Times New Roman"/>
          <w:szCs w:val="24"/>
        </w:rPr>
        <w:t>ection 4.</w:t>
      </w:r>
      <w:r w:rsidR="00E14A2B">
        <w:rPr>
          <w:rFonts w:cs="Times New Roman"/>
          <w:szCs w:val="24"/>
        </w:rPr>
        <w:t>3</w:t>
      </w:r>
      <w:r>
        <w:rPr>
          <w:rFonts w:cs="Times New Roman"/>
          <w:szCs w:val="24"/>
        </w:rPr>
        <w:t>).</w:t>
      </w:r>
    </w:p>
    <w:p w14:paraId="638565B3" w14:textId="54D542CF" w:rsidR="009C3D45" w:rsidRDefault="009C3D45" w:rsidP="009C3D45">
      <w:pPr>
        <w:rPr>
          <w:rFonts w:cs="Times New Roman"/>
          <w:szCs w:val="24"/>
        </w:rPr>
      </w:pPr>
      <w:r>
        <w:rPr>
          <w:rFonts w:cs="Times New Roman"/>
          <w:szCs w:val="24"/>
        </w:rPr>
        <w:tab/>
        <w:t xml:space="preserve">The  </w:t>
      </w:r>
      <w:r w:rsidR="00132E81">
        <w:rPr>
          <w:rFonts w:cs="Times New Roman"/>
          <w:szCs w:val="24"/>
        </w:rPr>
        <w:t>2</w:t>
      </w:r>
      <w:r w:rsidR="00A06D8E">
        <w:rPr>
          <w:rFonts w:cs="Times New Roman"/>
          <w:szCs w:val="24"/>
        </w:rPr>
        <w:t>-</w:t>
      </w:r>
      <w:r w:rsidR="00132E81">
        <w:rPr>
          <w:rFonts w:cs="Times New Roman"/>
          <w:szCs w:val="24"/>
        </w:rPr>
        <w:t xml:space="preserve">dimensional </w:t>
      </w:r>
      <w:r>
        <w:rPr>
          <w:rFonts w:cs="Times New Roman"/>
          <w:szCs w:val="24"/>
        </w:rPr>
        <w:t xml:space="preserve">aerosol dataset from MERRA-2 that we included is hourly, </w:t>
      </w:r>
      <w:r w:rsidR="00220713">
        <w:rPr>
          <w:rFonts w:cs="Times New Roman"/>
          <w:szCs w:val="24"/>
        </w:rPr>
        <w:t xml:space="preserve">but </w:t>
      </w:r>
      <w:r w:rsidR="001A1639">
        <w:rPr>
          <w:rFonts w:cs="Times New Roman"/>
          <w:szCs w:val="24"/>
        </w:rPr>
        <w:t>the output selected corresponds to</w:t>
      </w:r>
      <w:r>
        <w:rPr>
          <w:rFonts w:cs="Times New Roman"/>
          <w:szCs w:val="24"/>
        </w:rPr>
        <w:t xml:space="preserve"> 19</w:t>
      </w:r>
      <w:r w:rsidR="001A1639">
        <w:rPr>
          <w:rFonts w:cs="Times New Roman"/>
          <w:szCs w:val="24"/>
        </w:rPr>
        <w:t>:</w:t>
      </w:r>
      <w:r>
        <w:rPr>
          <w:rFonts w:cs="Times New Roman"/>
          <w:szCs w:val="24"/>
        </w:rPr>
        <w:t>30 UTC. This was again motivated by the preliminary constraints of the western U.S. and S-NPP</w:t>
      </w:r>
      <w:r w:rsidR="00C827F1">
        <w:rPr>
          <w:rFonts w:cs="Times New Roman"/>
          <w:szCs w:val="24"/>
        </w:rPr>
        <w:t>.</w:t>
      </w:r>
      <w:r w:rsidR="001A1639">
        <w:rPr>
          <w:rFonts w:cs="Times New Roman"/>
          <w:szCs w:val="24"/>
        </w:rPr>
        <w:t xml:space="preserve"> </w:t>
      </w:r>
      <w:r>
        <w:rPr>
          <w:rFonts w:cs="Times New Roman"/>
          <w:szCs w:val="24"/>
        </w:rPr>
        <w:t>HMS data is already in a daily format and focused on fires and smoke over CONUS, so no additional modifications were needed.</w:t>
      </w:r>
    </w:p>
    <w:p w14:paraId="772F4D99" w14:textId="16105E75" w:rsidR="00E50877" w:rsidRPr="002D3A50" w:rsidRDefault="009C3D45" w:rsidP="009C3D45">
      <w:pPr>
        <w:rPr>
          <w:rFonts w:cs="Times New Roman"/>
          <w:szCs w:val="24"/>
        </w:rPr>
      </w:pPr>
      <w:r>
        <w:rPr>
          <w:rFonts w:cs="Times New Roman"/>
          <w:szCs w:val="24"/>
        </w:rPr>
        <w:tab/>
        <w:t>To create a singular DB AOD target for the model to train against, we average</w:t>
      </w:r>
      <w:r w:rsidR="00C4712E">
        <w:rPr>
          <w:rFonts w:cs="Times New Roman"/>
          <w:szCs w:val="24"/>
        </w:rPr>
        <w:t>d</w:t>
      </w:r>
      <w:r>
        <w:rPr>
          <w:rFonts w:cs="Times New Roman"/>
          <w:szCs w:val="24"/>
        </w:rPr>
        <w:t xml:space="preserve"> DB AOD retrievals from S-NPP, Terra, and Aqua. In this case, pixels with no retrieval for a particular satellite were not included in the averaging, and pixels with no retrievals from any satellites were assigned NaN. The goal of creating this DB AOD composite was to provide a more coherent and cohesive signal to the model, </w:t>
      </w:r>
      <w:r w:rsidR="00C4712E">
        <w:rPr>
          <w:rFonts w:cs="Times New Roman"/>
          <w:szCs w:val="24"/>
        </w:rPr>
        <w:t xml:space="preserve">instead of </w:t>
      </w:r>
      <w:r>
        <w:rPr>
          <w:rFonts w:cs="Times New Roman"/>
          <w:szCs w:val="24"/>
        </w:rPr>
        <w:t>three separate lossier signals.</w:t>
      </w:r>
    </w:p>
    <w:p w14:paraId="76F8BCD8" w14:textId="56588CCD" w:rsidR="00EC50BB" w:rsidRPr="00601F10" w:rsidRDefault="00EC50BB" w:rsidP="0087740B">
      <w:pPr>
        <w:pStyle w:val="Heading3"/>
      </w:pPr>
      <w:bookmarkStart w:id="56" w:name="_Toc161431095"/>
      <w:r w:rsidRPr="00601F10">
        <w:t>3.</w:t>
      </w:r>
      <w:r w:rsidR="00335CAA">
        <w:t>2</w:t>
      </w:r>
      <w:r w:rsidR="008368C1" w:rsidRPr="00601F10">
        <w:t>.3</w:t>
      </w:r>
      <w:r w:rsidRPr="00601F10">
        <w:t xml:space="preserve"> Regridding</w:t>
      </w:r>
      <w:bookmarkEnd w:id="56"/>
    </w:p>
    <w:p w14:paraId="3F71B23D" w14:textId="6F3ED94C" w:rsidR="00EC50BB" w:rsidRPr="002B1293" w:rsidRDefault="00EC50BB" w:rsidP="00582302">
      <w:pPr>
        <w:pStyle w:val="NormalWeb"/>
        <w:spacing w:before="0" w:beforeAutospacing="0" w:after="0" w:afterAutospacing="0" w:line="480" w:lineRule="auto"/>
        <w:ind w:firstLine="720"/>
      </w:pPr>
      <w:r w:rsidRPr="002B1293">
        <w:rPr>
          <w:color w:val="000000"/>
        </w:rPr>
        <w:lastRenderedPageBreak/>
        <w:t xml:space="preserve">Regridding was performed by first creating buffers around the data points of interest. These buffers were sized roughly </w:t>
      </w:r>
      <w:r w:rsidR="00C4712E">
        <w:rPr>
          <w:color w:val="000000"/>
        </w:rPr>
        <w:t xml:space="preserve">following </w:t>
      </w:r>
      <w:r w:rsidRPr="002B1293">
        <w:rPr>
          <w:color w:val="000000"/>
        </w:rPr>
        <w:t>the documented resolutions of their respective data. Next, the buffered data was overlaid on the grid</w:t>
      </w:r>
      <w:r w:rsidR="00292737">
        <w:rPr>
          <w:color w:val="000000"/>
        </w:rPr>
        <w:t>,</w:t>
      </w:r>
      <w:r w:rsidRPr="002B1293">
        <w:rPr>
          <w:color w:val="000000"/>
        </w:rPr>
        <w:t xml:space="preserve"> and the intersections between the two were calculated</w:t>
      </w:r>
      <w:r w:rsidR="00A05248">
        <w:rPr>
          <w:color w:val="000000"/>
        </w:rPr>
        <w:t xml:space="preserve"> (Figure 9)</w:t>
      </w:r>
      <w:r w:rsidRPr="002B1293">
        <w:rPr>
          <w:color w:val="000000"/>
        </w:rPr>
        <w:t xml:space="preserve">. Finally, the intersections were grouped by their respective grid cells and their relative areas were compared to determine the weights. For continuous data variables, the value assigned to a grid cell after regridding is equal to the weighted average of all contributing intersections. </w:t>
      </w:r>
      <w:r w:rsidR="008B7C0E">
        <w:rPr>
          <w:color w:val="000000"/>
        </w:rPr>
        <w:t>T</w:t>
      </w:r>
      <w:r w:rsidRPr="002B1293">
        <w:rPr>
          <w:color w:val="000000"/>
        </w:rPr>
        <w:t>he value associated with the intersection with the highest weight is chosen</w:t>
      </w:r>
      <w:r w:rsidR="008B7C0E">
        <w:rPr>
          <w:color w:val="000000"/>
        </w:rPr>
        <w:t xml:space="preserve"> f</w:t>
      </w:r>
      <w:r w:rsidR="008B7C0E" w:rsidRPr="002B1293">
        <w:rPr>
          <w:color w:val="000000"/>
        </w:rPr>
        <w:t>or categorical data variables</w:t>
      </w:r>
      <w:r w:rsidRPr="002B1293">
        <w:rPr>
          <w:color w:val="000000"/>
        </w:rPr>
        <w:t xml:space="preserve">. To illustrate this, </w:t>
      </w:r>
      <w:r w:rsidR="008B7C0E">
        <w:rPr>
          <w:color w:val="000000"/>
        </w:rPr>
        <w:t xml:space="preserve">Figure 8 </w:t>
      </w:r>
      <w:r w:rsidRPr="002B1293">
        <w:rPr>
          <w:color w:val="000000"/>
        </w:rPr>
        <w:t xml:space="preserve">shows a particular grid cell along with all of the NAM data buffers that intersect it. </w:t>
      </w:r>
      <w:r w:rsidR="008B7C0E">
        <w:rPr>
          <w:color w:val="000000"/>
        </w:rPr>
        <w:t>T</w:t>
      </w:r>
      <w:r w:rsidRPr="002B1293">
        <w:rPr>
          <w:color w:val="000000"/>
        </w:rPr>
        <w:t xml:space="preserve">he two NAM buffers on the right would have high weights since they have </w:t>
      </w:r>
      <w:r w:rsidR="006F2206">
        <w:rPr>
          <w:color w:val="000000"/>
        </w:rPr>
        <w:t>significant</w:t>
      </w:r>
      <w:r w:rsidR="006F2206" w:rsidRPr="002B1293">
        <w:rPr>
          <w:color w:val="000000"/>
        </w:rPr>
        <w:t xml:space="preserve"> </w:t>
      </w:r>
      <w:r w:rsidRPr="002B1293">
        <w:rPr>
          <w:color w:val="000000"/>
        </w:rPr>
        <w:t xml:space="preserve">intersections with the grid cell. </w:t>
      </w:r>
      <w:r w:rsidR="008A4FAA">
        <w:rPr>
          <w:color w:val="000000"/>
        </w:rPr>
        <w:t xml:space="preserve">However, </w:t>
      </w:r>
      <w:r w:rsidR="0037775A">
        <w:rPr>
          <w:color w:val="000000"/>
        </w:rPr>
        <w:t>t</w:t>
      </w:r>
      <w:r w:rsidR="0037775A" w:rsidRPr="002B1293">
        <w:rPr>
          <w:color w:val="000000"/>
        </w:rPr>
        <w:t xml:space="preserve">he two buffers on the left </w:t>
      </w:r>
      <w:r w:rsidRPr="002B1293">
        <w:rPr>
          <w:color w:val="000000"/>
        </w:rPr>
        <w:t>would have much smaller contributions. The value in the lower right buffer would be chosen for categorical variables since it has the largest intersection.</w:t>
      </w:r>
    </w:p>
    <w:p w14:paraId="33512646" w14:textId="77777777" w:rsidR="0079528C" w:rsidRDefault="00EC50BB" w:rsidP="0079528C">
      <w:pPr>
        <w:pStyle w:val="NormalWeb"/>
        <w:keepNext/>
        <w:spacing w:before="0" w:beforeAutospacing="0" w:after="0" w:afterAutospacing="0" w:line="480" w:lineRule="auto"/>
      </w:pPr>
      <w:r w:rsidRPr="002B1293">
        <w:rPr>
          <w:noProof/>
          <w:color w:val="000000"/>
          <w:bdr w:val="none" w:sz="0" w:space="0" w:color="auto" w:frame="1"/>
        </w:rPr>
        <w:drawing>
          <wp:inline distT="0" distB="0" distL="0" distR="0" wp14:anchorId="10C0D164" wp14:editId="60D74E0B">
            <wp:extent cx="3037529" cy="3200400"/>
            <wp:effectExtent l="0" t="0" r="0" b="0"/>
            <wp:docPr id="1703181615" name="Picture 1" descr="A diagram of blue circ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3181615" name="Picture 1" descr="A diagram of blue circles&#10;&#10;Description automatically generated"/>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039415" cy="3202387"/>
                    </a:xfrm>
                    <a:prstGeom prst="rect">
                      <a:avLst/>
                    </a:prstGeom>
                    <a:noFill/>
                    <a:ln>
                      <a:noFill/>
                    </a:ln>
                  </pic:spPr>
                </pic:pic>
              </a:graphicData>
            </a:graphic>
          </wp:inline>
        </w:drawing>
      </w:r>
    </w:p>
    <w:p w14:paraId="07CFAD19" w14:textId="0D2015FA" w:rsidR="00EC50BB" w:rsidRPr="002B1293" w:rsidRDefault="0079528C" w:rsidP="00D52313">
      <w:pPr>
        <w:pStyle w:val="Caption"/>
      </w:pPr>
      <w:bookmarkStart w:id="57" w:name="_Ref158210235"/>
      <w:bookmarkStart w:id="58" w:name="_Toc159825970"/>
      <w:r>
        <w:t xml:space="preserve">Figure </w:t>
      </w:r>
      <w:r>
        <w:fldChar w:fldCharType="begin"/>
      </w:r>
      <w:r>
        <w:instrText xml:space="preserve"> SEQ Figure \* ARABIC </w:instrText>
      </w:r>
      <w:r>
        <w:fldChar w:fldCharType="separate"/>
      </w:r>
      <w:r w:rsidR="00C54A78">
        <w:rPr>
          <w:noProof/>
        </w:rPr>
        <w:t>8</w:t>
      </w:r>
      <w:r>
        <w:rPr>
          <w:noProof/>
        </w:rPr>
        <w:fldChar w:fldCharType="end"/>
      </w:r>
      <w:bookmarkEnd w:id="57"/>
      <w:r>
        <w:t>: An example of how NAM data buffers (blue) may overlie a grid cell (red).</w:t>
      </w:r>
      <w:bookmarkEnd w:id="58"/>
    </w:p>
    <w:p w14:paraId="2D6B20AE" w14:textId="77777777" w:rsidR="00894308" w:rsidRDefault="00EC50BB" w:rsidP="00582302">
      <w:pPr>
        <w:pStyle w:val="NormalWeb"/>
        <w:spacing w:before="0" w:beforeAutospacing="0" w:after="0" w:afterAutospacing="0" w:line="480" w:lineRule="auto"/>
        <w:rPr>
          <w:color w:val="000000"/>
        </w:rPr>
      </w:pPr>
      <w:r w:rsidRPr="002B1293">
        <w:rPr>
          <w:color w:val="000000"/>
        </w:rPr>
        <w:lastRenderedPageBreak/>
        <w:t>Expressed mathematically, if the intersections between the top left, top right, bottom left, and bottom right data buffers with the grid cell were</w:t>
      </w:r>
      <w:r w:rsidR="0079528C">
        <w:rPr>
          <w:color w:val="000000"/>
        </w:rPr>
        <w:t xml:space="preserve"> </w:t>
      </w:r>
      <m:oMath>
        <m:sSub>
          <m:sSubPr>
            <m:ctrlPr>
              <w:rPr>
                <w:rFonts w:ascii="Cambria Math" w:hAnsi="Cambria Math"/>
                <w:i/>
                <w:color w:val="000000"/>
              </w:rPr>
            </m:ctrlPr>
          </m:sSubPr>
          <m:e>
            <m:r>
              <w:rPr>
                <w:rFonts w:ascii="Cambria Math" w:hAnsi="Cambria Math"/>
                <w:color w:val="000000"/>
              </w:rPr>
              <m:t>a</m:t>
            </m:r>
          </m:e>
          <m:sub>
            <m:r>
              <w:rPr>
                <w:rFonts w:ascii="Cambria Math" w:hAnsi="Cambria Math"/>
                <w:color w:val="000000"/>
              </w:rPr>
              <m:t>1</m:t>
            </m:r>
          </m:sub>
        </m:sSub>
      </m:oMath>
      <w:r w:rsidR="004F34A6">
        <w:rPr>
          <w:color w:val="000000"/>
        </w:rPr>
        <w:t xml:space="preserve">, </w:t>
      </w:r>
      <m:oMath>
        <m:sSub>
          <m:sSubPr>
            <m:ctrlPr>
              <w:rPr>
                <w:rFonts w:ascii="Cambria Math" w:hAnsi="Cambria Math"/>
                <w:i/>
                <w:color w:val="000000"/>
              </w:rPr>
            </m:ctrlPr>
          </m:sSubPr>
          <m:e>
            <m:r>
              <w:rPr>
                <w:rFonts w:ascii="Cambria Math" w:hAnsi="Cambria Math"/>
                <w:color w:val="000000"/>
              </w:rPr>
              <m:t>a</m:t>
            </m:r>
          </m:e>
          <m:sub>
            <m:r>
              <w:rPr>
                <w:rFonts w:ascii="Cambria Math" w:hAnsi="Cambria Math"/>
                <w:color w:val="000000"/>
              </w:rPr>
              <m:t>2</m:t>
            </m:r>
          </m:sub>
        </m:sSub>
      </m:oMath>
      <w:r w:rsidR="004F34A6">
        <w:rPr>
          <w:color w:val="000000"/>
        </w:rPr>
        <w:t xml:space="preserve">, </w:t>
      </w:r>
      <m:oMath>
        <m:sSub>
          <m:sSubPr>
            <m:ctrlPr>
              <w:rPr>
                <w:rFonts w:ascii="Cambria Math" w:hAnsi="Cambria Math"/>
                <w:i/>
                <w:color w:val="000000"/>
              </w:rPr>
            </m:ctrlPr>
          </m:sSubPr>
          <m:e>
            <m:r>
              <w:rPr>
                <w:rFonts w:ascii="Cambria Math" w:hAnsi="Cambria Math"/>
                <w:color w:val="000000"/>
              </w:rPr>
              <m:t>a</m:t>
            </m:r>
          </m:e>
          <m:sub>
            <m:r>
              <w:rPr>
                <w:rFonts w:ascii="Cambria Math" w:hAnsi="Cambria Math"/>
                <w:color w:val="000000"/>
              </w:rPr>
              <m:t>3</m:t>
            </m:r>
          </m:sub>
        </m:sSub>
      </m:oMath>
      <w:r w:rsidR="004F34A6">
        <w:rPr>
          <w:color w:val="000000"/>
        </w:rPr>
        <w:t xml:space="preserve">, and </w:t>
      </w:r>
      <m:oMath>
        <m:sSub>
          <m:sSubPr>
            <m:ctrlPr>
              <w:rPr>
                <w:rFonts w:ascii="Cambria Math" w:hAnsi="Cambria Math"/>
                <w:i/>
                <w:color w:val="000000"/>
              </w:rPr>
            </m:ctrlPr>
          </m:sSubPr>
          <m:e>
            <m:r>
              <w:rPr>
                <w:rFonts w:ascii="Cambria Math" w:hAnsi="Cambria Math"/>
                <w:color w:val="000000"/>
              </w:rPr>
              <m:t>a</m:t>
            </m:r>
          </m:e>
          <m:sub>
            <m:r>
              <w:rPr>
                <w:rFonts w:ascii="Cambria Math" w:hAnsi="Cambria Math"/>
                <w:color w:val="000000"/>
              </w:rPr>
              <m:t>4</m:t>
            </m:r>
          </m:sub>
        </m:sSub>
      </m:oMath>
      <w:r w:rsidRPr="002B1293">
        <w:rPr>
          <w:color w:val="000000"/>
        </w:rPr>
        <w:t xml:space="preserve">, respectively, the value for a continuous NAM variable </w:t>
      </w:r>
      <m:oMath>
        <m:r>
          <w:rPr>
            <w:rFonts w:ascii="Cambria Math" w:hAnsi="Cambria Math"/>
            <w:color w:val="000000"/>
          </w:rPr>
          <m:t>x</m:t>
        </m:r>
      </m:oMath>
      <w:r w:rsidRPr="002B1293">
        <w:rPr>
          <w:color w:val="000000"/>
        </w:rPr>
        <w:t xml:space="preserve"> assigned to the grid cell would be </w:t>
      </w:r>
    </w:p>
    <w:p w14:paraId="5C1AA00D" w14:textId="228893D4" w:rsidR="00894308" w:rsidRPr="002E1C88" w:rsidRDefault="00000000" w:rsidP="000F159D">
      <w:pPr>
        <w:pStyle w:val="NormalWeb"/>
        <w:spacing w:before="0" w:beforeAutospacing="0" w:after="0" w:afterAutospacing="0" w:line="480" w:lineRule="auto"/>
        <w:jc w:val="center"/>
        <w:rPr>
          <w:color w:val="000000"/>
        </w:rPr>
      </w:pPr>
      <m:oMath>
        <m:nary>
          <m:naryPr>
            <m:chr m:val="∑"/>
            <m:ctrlPr>
              <w:rPr>
                <w:rFonts w:ascii="Cambria Math" w:hAnsi="Cambria Math"/>
                <w:color w:val="000000"/>
              </w:rPr>
            </m:ctrlPr>
          </m:naryPr>
          <m:sub>
            <m:r>
              <m:rPr>
                <m:sty m:val="p"/>
              </m:rPr>
              <w:rPr>
                <w:rFonts w:ascii="Cambria Math" w:hAnsi="Cambria Math"/>
                <w:color w:val="000000"/>
              </w:rPr>
              <m:t>i=1</m:t>
            </m:r>
          </m:sub>
          <m:sup>
            <m:r>
              <m:rPr>
                <m:sty m:val="p"/>
              </m:rPr>
              <w:rPr>
                <w:rFonts w:ascii="Cambria Math" w:hAnsi="Cambria Math"/>
                <w:color w:val="000000"/>
              </w:rPr>
              <m:t>4</m:t>
            </m:r>
          </m:sup>
          <m:e>
            <m:f>
              <m:fPr>
                <m:ctrlPr>
                  <w:rPr>
                    <w:rFonts w:ascii="Cambria Math" w:hAnsi="Cambria Math"/>
                    <w:color w:val="000000"/>
                  </w:rPr>
                </m:ctrlPr>
              </m:fPr>
              <m:num>
                <m:sSub>
                  <m:sSubPr>
                    <m:ctrlPr>
                      <w:rPr>
                        <w:rFonts w:ascii="Cambria Math" w:hAnsi="Cambria Math"/>
                        <w:color w:val="000000"/>
                      </w:rPr>
                    </m:ctrlPr>
                  </m:sSubPr>
                  <m:e>
                    <m:r>
                      <m:rPr>
                        <m:sty m:val="p"/>
                      </m:rPr>
                      <w:rPr>
                        <w:rFonts w:ascii="Cambria Math" w:hAnsi="Cambria Math"/>
                        <w:color w:val="000000"/>
                      </w:rPr>
                      <m:t>a</m:t>
                    </m:r>
                  </m:e>
                  <m:sub>
                    <m:r>
                      <m:rPr>
                        <m:sty m:val="p"/>
                      </m:rPr>
                      <w:rPr>
                        <w:rFonts w:ascii="Cambria Math" w:hAnsi="Cambria Math"/>
                        <w:color w:val="000000"/>
                      </w:rPr>
                      <m:t>i</m:t>
                    </m:r>
                  </m:sub>
                </m:sSub>
                <m:sSub>
                  <m:sSubPr>
                    <m:ctrlPr>
                      <w:rPr>
                        <w:rFonts w:ascii="Cambria Math" w:hAnsi="Cambria Math"/>
                        <w:color w:val="000000"/>
                      </w:rPr>
                    </m:ctrlPr>
                  </m:sSubPr>
                  <m:e>
                    <m:r>
                      <m:rPr>
                        <m:sty m:val="p"/>
                      </m:rPr>
                      <w:rPr>
                        <w:rFonts w:ascii="Cambria Math" w:hAnsi="Cambria Math"/>
                        <w:color w:val="000000"/>
                      </w:rPr>
                      <m:t>x</m:t>
                    </m:r>
                  </m:e>
                  <m:sub>
                    <m:r>
                      <m:rPr>
                        <m:sty m:val="p"/>
                      </m:rPr>
                      <w:rPr>
                        <w:rFonts w:ascii="Cambria Math" w:hAnsi="Cambria Math"/>
                        <w:color w:val="000000"/>
                      </w:rPr>
                      <m:t>i</m:t>
                    </m:r>
                  </m:sub>
                </m:sSub>
              </m:num>
              <m:den>
                <m:sSub>
                  <m:sSubPr>
                    <m:ctrlPr>
                      <w:rPr>
                        <w:rFonts w:ascii="Cambria Math" w:hAnsi="Cambria Math"/>
                        <w:color w:val="000000"/>
                      </w:rPr>
                    </m:ctrlPr>
                  </m:sSubPr>
                  <m:e>
                    <m:r>
                      <m:rPr>
                        <m:sty m:val="p"/>
                      </m:rPr>
                      <w:rPr>
                        <w:rFonts w:ascii="Cambria Math" w:hAnsi="Cambria Math"/>
                        <w:color w:val="000000"/>
                      </w:rPr>
                      <m:t>a</m:t>
                    </m:r>
                  </m:e>
                  <m:sub>
                    <m:r>
                      <m:rPr>
                        <m:nor/>
                      </m:rPr>
                      <w:rPr>
                        <w:rFonts w:ascii="Cambria Math" w:hAnsi="Cambria Math"/>
                        <w:color w:val="000000"/>
                      </w:rPr>
                      <m:t>total</m:t>
                    </m:r>
                  </m:sub>
                </m:sSub>
              </m:den>
            </m:f>
          </m:e>
        </m:nary>
      </m:oMath>
      <w:r w:rsidR="006F35D9">
        <w:rPr>
          <w:color w:val="000000"/>
        </w:rPr>
        <w:t xml:space="preserve">                                </w:t>
      </w:r>
      <w:r w:rsidR="000F159D">
        <w:rPr>
          <w:color w:val="000000"/>
        </w:rPr>
        <w:t xml:space="preserve">(Eq. </w:t>
      </w:r>
      <w:r w:rsidR="00154056">
        <w:rPr>
          <w:color w:val="000000"/>
        </w:rPr>
        <w:t>2</w:t>
      </w:r>
      <w:r w:rsidR="000F159D">
        <w:rPr>
          <w:color w:val="000000"/>
        </w:rPr>
        <w:t>)</w:t>
      </w:r>
    </w:p>
    <w:p w14:paraId="140C59B3" w14:textId="77777777" w:rsidR="00E129CB" w:rsidRDefault="00EC50BB" w:rsidP="00582302">
      <w:pPr>
        <w:pStyle w:val="NormalWeb"/>
        <w:spacing w:before="0" w:beforeAutospacing="0" w:after="0" w:afterAutospacing="0" w:line="480" w:lineRule="auto"/>
        <w:rPr>
          <w:color w:val="000000"/>
        </w:rPr>
      </w:pPr>
      <w:r w:rsidRPr="002B1293">
        <w:rPr>
          <w:color w:val="000000"/>
        </w:rPr>
        <w:t xml:space="preserve">where </w:t>
      </w:r>
      <m:oMath>
        <m:sSub>
          <m:sSubPr>
            <m:ctrlPr>
              <w:rPr>
                <w:rFonts w:ascii="Cambria Math" w:hAnsi="Cambria Math"/>
                <w:i/>
                <w:color w:val="000000"/>
              </w:rPr>
            </m:ctrlPr>
          </m:sSubPr>
          <m:e>
            <m:r>
              <w:rPr>
                <w:rFonts w:ascii="Cambria Math" w:hAnsi="Cambria Math"/>
                <w:color w:val="000000"/>
              </w:rPr>
              <m:t>x</m:t>
            </m:r>
          </m:e>
          <m:sub>
            <m:r>
              <w:rPr>
                <w:rFonts w:ascii="Cambria Math" w:hAnsi="Cambria Math"/>
                <w:color w:val="000000"/>
              </w:rPr>
              <m:t>i</m:t>
            </m:r>
          </m:sub>
        </m:sSub>
      </m:oMath>
      <w:r w:rsidRPr="002B1293">
        <w:rPr>
          <w:color w:val="000000"/>
        </w:rPr>
        <w:t xml:space="preserve"> is the value of that variable within data buffer </w:t>
      </w:r>
      <m:oMath>
        <m:r>
          <w:rPr>
            <w:rFonts w:ascii="Cambria Math" w:hAnsi="Cambria Math"/>
            <w:color w:val="000000"/>
          </w:rPr>
          <m:t>i</m:t>
        </m:r>
      </m:oMath>
      <w:r w:rsidRPr="002B1293">
        <w:rPr>
          <w:color w:val="000000"/>
        </w:rPr>
        <w:t xml:space="preserve"> and </w:t>
      </w:r>
      <m:oMath>
        <m:sSub>
          <m:sSubPr>
            <m:ctrlPr>
              <w:rPr>
                <w:rFonts w:ascii="Cambria Math" w:hAnsi="Cambria Math"/>
                <w:i/>
                <w:color w:val="000000"/>
              </w:rPr>
            </m:ctrlPr>
          </m:sSubPr>
          <m:e>
            <m:r>
              <w:rPr>
                <w:rFonts w:ascii="Cambria Math" w:hAnsi="Cambria Math"/>
                <w:color w:val="000000"/>
              </w:rPr>
              <m:t>a</m:t>
            </m:r>
          </m:e>
          <m:sub>
            <m:r>
              <m:rPr>
                <m:nor/>
              </m:rPr>
              <w:rPr>
                <w:rFonts w:ascii="Cambria Math" w:hAnsi="Cambria Math"/>
                <w:color w:val="000000"/>
              </w:rPr>
              <m:t>total</m:t>
            </m:r>
          </m:sub>
        </m:sSub>
      </m:oMath>
      <w:r w:rsidRPr="002B1293">
        <w:rPr>
          <w:color w:val="000000"/>
        </w:rPr>
        <w:t xml:space="preserve"> is the sum of all </w:t>
      </w:r>
      <m:oMath>
        <m:sSub>
          <m:sSubPr>
            <m:ctrlPr>
              <w:rPr>
                <w:rFonts w:ascii="Cambria Math" w:hAnsi="Cambria Math"/>
                <w:i/>
                <w:color w:val="000000"/>
              </w:rPr>
            </m:ctrlPr>
          </m:sSubPr>
          <m:e>
            <m:r>
              <w:rPr>
                <w:rFonts w:ascii="Cambria Math" w:hAnsi="Cambria Math"/>
                <w:color w:val="000000"/>
              </w:rPr>
              <m:t>a</m:t>
            </m:r>
          </m:e>
          <m:sub>
            <m:r>
              <w:rPr>
                <w:rFonts w:ascii="Cambria Math" w:hAnsi="Cambria Math"/>
                <w:color w:val="000000"/>
              </w:rPr>
              <m:t>i</m:t>
            </m:r>
          </m:sub>
        </m:sSub>
      </m:oMath>
      <w:r w:rsidRPr="002B1293">
        <w:rPr>
          <w:color w:val="000000"/>
        </w:rPr>
        <w:t xml:space="preserve">. The value for a categorical NAM variable </w:t>
      </w:r>
      <m:oMath>
        <m:r>
          <w:rPr>
            <w:rFonts w:ascii="Cambria Math" w:hAnsi="Cambria Math"/>
            <w:color w:val="000000"/>
          </w:rPr>
          <m:t>c</m:t>
        </m:r>
      </m:oMath>
      <w:r w:rsidRPr="002B1293">
        <w:rPr>
          <w:color w:val="000000"/>
        </w:rPr>
        <w:t xml:space="preserve"> assigned to the grid cell would be </w:t>
      </w:r>
    </w:p>
    <w:p w14:paraId="1A30E53E" w14:textId="332A32D3" w:rsidR="00E129CB" w:rsidRDefault="00000000" w:rsidP="00E129CB">
      <w:pPr>
        <w:pStyle w:val="NormalWeb"/>
        <w:spacing w:before="0" w:beforeAutospacing="0" w:after="0" w:afterAutospacing="0" w:line="480" w:lineRule="auto"/>
        <w:jc w:val="center"/>
        <w:rPr>
          <w:color w:val="000000"/>
        </w:rPr>
      </w:pPr>
      <m:oMath>
        <m:sSub>
          <m:sSubPr>
            <m:ctrlPr>
              <w:rPr>
                <w:rFonts w:ascii="Cambria Math" w:hAnsi="Cambria Math"/>
                <w:color w:val="000000"/>
              </w:rPr>
            </m:ctrlPr>
          </m:sSubPr>
          <m:e>
            <m:r>
              <m:rPr>
                <m:sty m:val="p"/>
              </m:rPr>
              <w:rPr>
                <w:rFonts w:ascii="Cambria Math" w:hAnsi="Cambria Math"/>
                <w:color w:val="000000"/>
              </w:rPr>
              <m:t>c</m:t>
            </m:r>
          </m:e>
          <m:sub>
            <m:r>
              <m:rPr>
                <m:sty m:val="p"/>
              </m:rPr>
              <w:rPr>
                <w:rFonts w:ascii="Cambria Math" w:hAnsi="Cambria Math"/>
                <w:color w:val="000000"/>
              </w:rPr>
              <m:t>argmax</m:t>
            </m:r>
            <m:d>
              <m:dPr>
                <m:ctrlPr>
                  <w:rPr>
                    <w:rFonts w:ascii="Cambria Math" w:hAnsi="Cambria Math"/>
                    <w:color w:val="000000"/>
                  </w:rPr>
                </m:ctrlPr>
              </m:dPr>
              <m:e>
                <m:sSub>
                  <m:sSubPr>
                    <m:ctrlPr>
                      <w:rPr>
                        <w:rFonts w:ascii="Cambria Math" w:hAnsi="Cambria Math"/>
                        <w:color w:val="000000"/>
                      </w:rPr>
                    </m:ctrlPr>
                  </m:sSubPr>
                  <m:e>
                    <m:r>
                      <m:rPr>
                        <m:sty m:val="p"/>
                      </m:rPr>
                      <w:rPr>
                        <w:rFonts w:ascii="Cambria Math" w:hAnsi="Cambria Math"/>
                        <w:color w:val="000000"/>
                      </w:rPr>
                      <m:t>a</m:t>
                    </m:r>
                  </m:e>
                  <m:sub>
                    <m:r>
                      <m:rPr>
                        <m:sty m:val="p"/>
                      </m:rPr>
                      <w:rPr>
                        <w:rFonts w:ascii="Cambria Math" w:hAnsi="Cambria Math"/>
                        <w:color w:val="000000"/>
                      </w:rPr>
                      <m:t>i</m:t>
                    </m:r>
                  </m:sub>
                </m:sSub>
              </m:e>
            </m:d>
          </m:sub>
        </m:sSub>
        <m:r>
          <m:rPr>
            <m:sty m:val="p"/>
          </m:rPr>
          <w:rPr>
            <w:rFonts w:ascii="Cambria Math" w:hAnsi="Cambria Math"/>
            <w:color w:val="000000"/>
          </w:rPr>
          <m:t>=</m:t>
        </m:r>
        <m:sSub>
          <m:sSubPr>
            <m:ctrlPr>
              <w:rPr>
                <w:rFonts w:ascii="Cambria Math" w:hAnsi="Cambria Math"/>
                <w:color w:val="000000"/>
              </w:rPr>
            </m:ctrlPr>
          </m:sSubPr>
          <m:e>
            <m:r>
              <m:rPr>
                <m:sty m:val="p"/>
              </m:rPr>
              <w:rPr>
                <w:rFonts w:ascii="Cambria Math" w:hAnsi="Cambria Math"/>
                <w:color w:val="000000"/>
              </w:rPr>
              <m:t>c</m:t>
            </m:r>
          </m:e>
          <m:sub>
            <m:r>
              <m:rPr>
                <m:sty m:val="p"/>
              </m:rPr>
              <w:rPr>
                <w:rFonts w:ascii="Cambria Math" w:hAnsi="Cambria Math"/>
                <w:color w:val="000000"/>
              </w:rPr>
              <m:t>2</m:t>
            </m:r>
          </m:sub>
        </m:sSub>
      </m:oMath>
      <w:r w:rsidR="00E129CB">
        <w:rPr>
          <w:color w:val="000000"/>
        </w:rPr>
        <w:t xml:space="preserve">                                (Eq. </w:t>
      </w:r>
      <w:r w:rsidR="00154056">
        <w:rPr>
          <w:color w:val="000000"/>
        </w:rPr>
        <w:t>3</w:t>
      </w:r>
      <w:r w:rsidR="00E129CB">
        <w:rPr>
          <w:color w:val="000000"/>
        </w:rPr>
        <w:t>)</w:t>
      </w:r>
    </w:p>
    <w:p w14:paraId="453050E1" w14:textId="19C31A4D" w:rsidR="00EC50BB" w:rsidRPr="0000062B" w:rsidRDefault="00EC50BB" w:rsidP="00582302">
      <w:pPr>
        <w:pStyle w:val="NormalWeb"/>
        <w:spacing w:before="0" w:beforeAutospacing="0" w:after="0" w:afterAutospacing="0" w:line="480" w:lineRule="auto"/>
        <w:rPr>
          <w:color w:val="000000"/>
        </w:rPr>
      </w:pPr>
      <w:r w:rsidRPr="002B1293">
        <w:rPr>
          <w:color w:val="000000"/>
        </w:rPr>
        <w:t xml:space="preserve">where </w:t>
      </w:r>
      <m:oMath>
        <m:sSub>
          <m:sSubPr>
            <m:ctrlPr>
              <w:rPr>
                <w:rFonts w:ascii="Cambria Math" w:hAnsi="Cambria Math"/>
                <w:i/>
                <w:color w:val="000000"/>
              </w:rPr>
            </m:ctrlPr>
          </m:sSubPr>
          <m:e>
            <m:r>
              <w:rPr>
                <w:rFonts w:ascii="Cambria Math" w:hAnsi="Cambria Math"/>
                <w:color w:val="000000"/>
              </w:rPr>
              <m:t>c</m:t>
            </m:r>
          </m:e>
          <m:sub>
            <m:r>
              <w:rPr>
                <w:rFonts w:ascii="Cambria Math" w:hAnsi="Cambria Math"/>
                <w:color w:val="000000"/>
              </w:rPr>
              <m:t>i</m:t>
            </m:r>
          </m:sub>
        </m:sSub>
      </m:oMath>
      <w:r w:rsidR="00E129CB">
        <w:rPr>
          <w:color w:val="000000"/>
        </w:rPr>
        <w:t xml:space="preserve"> </w:t>
      </w:r>
      <w:r w:rsidRPr="002B1293">
        <w:rPr>
          <w:color w:val="000000"/>
        </w:rPr>
        <w:t xml:space="preserve">is the value of the </w:t>
      </w:r>
      <m:oMath>
        <m:r>
          <w:rPr>
            <w:rFonts w:ascii="Cambria Math" w:hAnsi="Cambria Math"/>
            <w:color w:val="000000"/>
          </w:rPr>
          <m:t>c</m:t>
        </m:r>
      </m:oMath>
      <w:r w:rsidRPr="002B1293">
        <w:rPr>
          <w:color w:val="000000"/>
        </w:rPr>
        <w:t xml:space="preserve"> within data buffer </w:t>
      </w:r>
      <m:oMath>
        <m:r>
          <w:rPr>
            <w:rFonts w:ascii="Cambria Math" w:hAnsi="Cambria Math"/>
            <w:color w:val="000000"/>
          </w:rPr>
          <m:t>i</m:t>
        </m:r>
      </m:oMath>
      <w:r w:rsidRPr="002B1293">
        <w:rPr>
          <w:color w:val="000000"/>
        </w:rPr>
        <w:t>.</w:t>
      </w:r>
    </w:p>
    <w:p w14:paraId="68B0EC16" w14:textId="15698ACF" w:rsidR="008368C1" w:rsidRDefault="008368C1" w:rsidP="0087740B">
      <w:pPr>
        <w:pStyle w:val="Heading2"/>
      </w:pPr>
      <w:bookmarkStart w:id="59" w:name="_Toc161431096"/>
      <w:r w:rsidRPr="00601F10">
        <w:t>3.</w:t>
      </w:r>
      <w:r w:rsidR="00CD3454">
        <w:t>3</w:t>
      </w:r>
      <w:r w:rsidRPr="00601F10">
        <w:t xml:space="preserve"> Data Preprocessing</w:t>
      </w:r>
      <w:bookmarkEnd w:id="59"/>
    </w:p>
    <w:p w14:paraId="02552FF4" w14:textId="7E5D27BD" w:rsidR="002755F3" w:rsidRDefault="002755F3" w:rsidP="0087740B">
      <w:pPr>
        <w:pStyle w:val="Heading3"/>
      </w:pPr>
      <w:bookmarkStart w:id="60" w:name="_Toc161431097"/>
      <w:r w:rsidRPr="00EF1DF1">
        <w:t>3.</w:t>
      </w:r>
      <w:r w:rsidR="00CD3454">
        <w:t>3</w:t>
      </w:r>
      <w:r w:rsidRPr="00EF1DF1">
        <w:t xml:space="preserve">.1 </w:t>
      </w:r>
      <w:r w:rsidR="00EF1DF1">
        <w:t>Log Transform</w:t>
      </w:r>
      <w:bookmarkEnd w:id="60"/>
    </w:p>
    <w:p w14:paraId="413BE2D3" w14:textId="23EF5BB5" w:rsidR="00842665" w:rsidRDefault="00842665" w:rsidP="00582302">
      <w:pPr>
        <w:pStyle w:val="NormalWeb"/>
        <w:spacing w:before="0" w:beforeAutospacing="0" w:after="0" w:afterAutospacing="0" w:line="480" w:lineRule="auto"/>
        <w:rPr>
          <w:color w:val="000000"/>
        </w:rPr>
      </w:pPr>
      <w:r>
        <w:rPr>
          <w:color w:val="000000"/>
        </w:rPr>
        <w:tab/>
      </w:r>
      <w:r w:rsidR="00D74E74">
        <w:rPr>
          <w:color w:val="000000"/>
        </w:rPr>
        <w:t xml:space="preserve">A </w:t>
      </w:r>
      <w:r w:rsidR="00DF163F">
        <w:rPr>
          <w:color w:val="000000"/>
        </w:rPr>
        <w:t xml:space="preserve">significant challenge </w:t>
      </w:r>
      <w:r w:rsidR="00374ABC">
        <w:rPr>
          <w:color w:val="000000"/>
        </w:rPr>
        <w:t xml:space="preserve">with training a model directly on AOD data </w:t>
      </w:r>
      <w:r w:rsidR="00692A1A">
        <w:rPr>
          <w:color w:val="000000"/>
        </w:rPr>
        <w:t xml:space="preserve">is the </w:t>
      </w:r>
      <w:r w:rsidR="00DF163F">
        <w:rPr>
          <w:color w:val="000000"/>
        </w:rPr>
        <w:t xml:space="preserve">highly </w:t>
      </w:r>
      <w:r w:rsidR="00692A1A">
        <w:rPr>
          <w:color w:val="000000"/>
        </w:rPr>
        <w:t xml:space="preserve">imbalanced </w:t>
      </w:r>
      <w:r w:rsidR="00A968C1">
        <w:rPr>
          <w:color w:val="000000"/>
        </w:rPr>
        <w:t xml:space="preserve">nature of the dataset. </w:t>
      </w:r>
      <w:r w:rsidR="00B72C7E">
        <w:rPr>
          <w:color w:val="000000"/>
        </w:rPr>
        <w:t>(Thankfully,) the vast majority of AOD samples collected</w:t>
      </w:r>
      <w:r w:rsidR="004C1A60">
        <w:rPr>
          <w:color w:val="000000"/>
        </w:rPr>
        <w:t xml:space="preserve"> from </w:t>
      </w:r>
      <w:r w:rsidR="001B65D9">
        <w:rPr>
          <w:color w:val="000000"/>
        </w:rPr>
        <w:t xml:space="preserve">AERONET and satellites </w:t>
      </w:r>
      <w:r w:rsidR="001A3554">
        <w:rPr>
          <w:color w:val="000000"/>
        </w:rPr>
        <w:t>are</w:t>
      </w:r>
      <w:r w:rsidR="006F19E2">
        <w:rPr>
          <w:color w:val="000000"/>
        </w:rPr>
        <w:t xml:space="preserve"> heavily skewed towards the lower values</w:t>
      </w:r>
      <w:r w:rsidR="005B12F7">
        <w:rPr>
          <w:color w:val="000000"/>
        </w:rPr>
        <w:t xml:space="preserve"> (AOD &lt; 0.1)</w:t>
      </w:r>
      <w:r w:rsidR="006F19E2">
        <w:rPr>
          <w:color w:val="000000"/>
        </w:rPr>
        <w:t xml:space="preserve">. However, from a modeling perspective, this </w:t>
      </w:r>
      <w:r w:rsidR="00161AFC">
        <w:rPr>
          <w:color w:val="000000"/>
        </w:rPr>
        <w:t xml:space="preserve">presents a very severe class imbalance problem. </w:t>
      </w:r>
      <w:r w:rsidR="0004515D">
        <w:rPr>
          <w:color w:val="000000"/>
        </w:rPr>
        <w:t>T</w:t>
      </w:r>
      <w:r w:rsidR="00542B0D">
        <w:rPr>
          <w:color w:val="000000"/>
        </w:rPr>
        <w:t xml:space="preserve">he class imbalance problem is where the training dataset </w:t>
      </w:r>
      <w:r w:rsidR="00243EE6">
        <w:rPr>
          <w:color w:val="000000"/>
        </w:rPr>
        <w:t xml:space="preserve">contains more of a particular sample </w:t>
      </w:r>
      <w:r w:rsidR="00AD2BC1">
        <w:rPr>
          <w:color w:val="000000"/>
        </w:rPr>
        <w:t xml:space="preserve">type </w:t>
      </w:r>
      <w:r w:rsidR="00243EE6">
        <w:rPr>
          <w:color w:val="000000"/>
        </w:rPr>
        <w:t xml:space="preserve">than others. </w:t>
      </w:r>
      <w:r w:rsidR="00990B42">
        <w:rPr>
          <w:color w:val="000000"/>
        </w:rPr>
        <w:t xml:space="preserve">This can be a problem even if this skewed training distribution is representative of the </w:t>
      </w:r>
      <w:r w:rsidR="00FF1BA2">
        <w:rPr>
          <w:color w:val="000000"/>
        </w:rPr>
        <w:t>“</w:t>
      </w:r>
      <w:r w:rsidR="00990B42">
        <w:rPr>
          <w:color w:val="000000"/>
        </w:rPr>
        <w:t>true</w:t>
      </w:r>
      <w:r w:rsidR="00FF1BA2">
        <w:rPr>
          <w:color w:val="000000"/>
        </w:rPr>
        <w:t>”</w:t>
      </w:r>
      <w:r w:rsidR="00990B42">
        <w:rPr>
          <w:color w:val="000000"/>
        </w:rPr>
        <w:t xml:space="preserve"> data distribution. </w:t>
      </w:r>
      <w:r w:rsidR="00AD2BC1">
        <w:rPr>
          <w:color w:val="000000"/>
        </w:rPr>
        <w:t>I</w:t>
      </w:r>
      <w:r w:rsidR="00B73531">
        <w:rPr>
          <w:color w:val="000000"/>
        </w:rPr>
        <w:t xml:space="preserve">n working </w:t>
      </w:r>
      <w:r w:rsidR="00C65EA5">
        <w:rPr>
          <w:color w:val="000000"/>
        </w:rPr>
        <w:t xml:space="preserve">with a model trained with some form of gradient descent and </w:t>
      </w:r>
      <w:r w:rsidR="005553C3">
        <w:rPr>
          <w:color w:val="000000"/>
        </w:rPr>
        <w:t>mean squared error (MSE)</w:t>
      </w:r>
      <w:r w:rsidR="00C65EA5">
        <w:rPr>
          <w:color w:val="000000"/>
        </w:rPr>
        <w:t xml:space="preserve"> loss, </w:t>
      </w:r>
      <w:r w:rsidR="00B520BD">
        <w:rPr>
          <w:color w:val="000000"/>
        </w:rPr>
        <w:t>most</w:t>
      </w:r>
      <w:r w:rsidR="009B5F57">
        <w:rPr>
          <w:color w:val="000000"/>
        </w:rPr>
        <w:t xml:space="preserve"> gradient descent steps will optimize </w:t>
      </w:r>
      <w:r w:rsidR="00C36B19">
        <w:rPr>
          <w:color w:val="000000"/>
        </w:rPr>
        <w:t>for</w:t>
      </w:r>
      <w:r w:rsidR="009B5F57">
        <w:rPr>
          <w:color w:val="000000"/>
        </w:rPr>
        <w:t xml:space="preserve"> </w:t>
      </w:r>
      <w:r w:rsidR="00C36B19">
        <w:rPr>
          <w:color w:val="000000"/>
        </w:rPr>
        <w:t xml:space="preserve">the </w:t>
      </w:r>
      <w:r w:rsidR="003F5B33">
        <w:rPr>
          <w:color w:val="000000"/>
        </w:rPr>
        <w:t>more</w:t>
      </w:r>
      <w:r w:rsidR="00C36B19">
        <w:rPr>
          <w:color w:val="000000"/>
        </w:rPr>
        <w:t xml:space="preserve"> frequent sample class</w:t>
      </w:r>
      <w:r w:rsidR="003F5B33">
        <w:rPr>
          <w:color w:val="000000"/>
        </w:rPr>
        <w:t>es</w:t>
      </w:r>
      <w:r w:rsidR="00C36B19">
        <w:rPr>
          <w:color w:val="000000"/>
        </w:rPr>
        <w:t xml:space="preserve"> and </w:t>
      </w:r>
      <w:r w:rsidR="003F5B33">
        <w:rPr>
          <w:color w:val="000000"/>
        </w:rPr>
        <w:t xml:space="preserve">can </w:t>
      </w:r>
      <w:r w:rsidR="00C36B19">
        <w:rPr>
          <w:color w:val="000000"/>
        </w:rPr>
        <w:t xml:space="preserve">end up </w:t>
      </w:r>
      <w:r w:rsidR="002272FE">
        <w:rPr>
          <w:color w:val="000000"/>
        </w:rPr>
        <w:t xml:space="preserve">“drowning out” </w:t>
      </w:r>
      <w:r w:rsidR="00C36B19">
        <w:rPr>
          <w:color w:val="000000"/>
        </w:rPr>
        <w:t xml:space="preserve">the </w:t>
      </w:r>
      <w:r w:rsidR="003F5B33">
        <w:rPr>
          <w:color w:val="000000"/>
        </w:rPr>
        <w:t>infrequent sample classes</w:t>
      </w:r>
      <w:r w:rsidR="00C36B19">
        <w:rPr>
          <w:color w:val="000000"/>
        </w:rPr>
        <w:t>.</w:t>
      </w:r>
    </w:p>
    <w:p w14:paraId="6FB7E5D1" w14:textId="154319D6" w:rsidR="00534348" w:rsidRDefault="00534348" w:rsidP="00582302">
      <w:pPr>
        <w:pStyle w:val="NormalWeb"/>
        <w:spacing w:before="0" w:beforeAutospacing="0" w:after="0" w:afterAutospacing="0" w:line="480" w:lineRule="auto"/>
        <w:rPr>
          <w:color w:val="000000"/>
        </w:rPr>
      </w:pPr>
      <w:r>
        <w:rPr>
          <w:color w:val="000000"/>
        </w:rPr>
        <w:tab/>
      </w:r>
      <w:r w:rsidR="006550AD">
        <w:rPr>
          <w:color w:val="000000"/>
        </w:rPr>
        <w:t>Preliminary testing with</w:t>
      </w:r>
      <w:r w:rsidR="000E23BB">
        <w:rPr>
          <w:color w:val="000000"/>
        </w:rPr>
        <w:t xml:space="preserve"> </w:t>
      </w:r>
      <w:r w:rsidR="006550AD">
        <w:rPr>
          <w:color w:val="000000"/>
        </w:rPr>
        <w:t xml:space="preserve">training </w:t>
      </w:r>
      <w:r w:rsidR="000E23BB">
        <w:rPr>
          <w:color w:val="000000"/>
        </w:rPr>
        <w:t xml:space="preserve">the gap-filling model directly on </w:t>
      </w:r>
      <w:r w:rsidR="000A1C31">
        <w:rPr>
          <w:color w:val="000000"/>
        </w:rPr>
        <w:t>AOD</w:t>
      </w:r>
      <w:r w:rsidR="009C3049">
        <w:rPr>
          <w:color w:val="000000"/>
        </w:rPr>
        <w:t xml:space="preserve"> retrievals</w:t>
      </w:r>
      <w:r w:rsidR="006550AD">
        <w:rPr>
          <w:color w:val="000000"/>
        </w:rPr>
        <w:t xml:space="preserve"> resulted in</w:t>
      </w:r>
      <w:r w:rsidR="00171F10">
        <w:rPr>
          <w:color w:val="000000"/>
        </w:rPr>
        <w:t xml:space="preserve"> a model that only </w:t>
      </w:r>
      <w:r w:rsidR="006550AD">
        <w:rPr>
          <w:color w:val="000000"/>
        </w:rPr>
        <w:t>output</w:t>
      </w:r>
      <w:r w:rsidR="00171F10">
        <w:rPr>
          <w:color w:val="000000"/>
        </w:rPr>
        <w:t xml:space="preserve"> low AOD values. </w:t>
      </w:r>
      <w:r w:rsidR="00B010A5">
        <w:rPr>
          <w:color w:val="000000"/>
        </w:rPr>
        <w:t xml:space="preserve">One </w:t>
      </w:r>
      <w:r w:rsidR="006E0A38">
        <w:rPr>
          <w:color w:val="000000"/>
        </w:rPr>
        <w:t xml:space="preserve">method </w:t>
      </w:r>
      <w:r w:rsidR="00B010A5">
        <w:rPr>
          <w:color w:val="000000"/>
        </w:rPr>
        <w:t xml:space="preserve">to </w:t>
      </w:r>
      <w:r w:rsidR="00A630E3">
        <w:rPr>
          <w:color w:val="000000"/>
        </w:rPr>
        <w:t xml:space="preserve">mitigate this issue is to add </w:t>
      </w:r>
      <w:r w:rsidR="00A630E3">
        <w:rPr>
          <w:color w:val="000000"/>
        </w:rPr>
        <w:lastRenderedPageBreak/>
        <w:t xml:space="preserve">greater distinctions between the </w:t>
      </w:r>
      <w:r w:rsidR="00C73013">
        <w:rPr>
          <w:color w:val="000000"/>
        </w:rPr>
        <w:t xml:space="preserve">different </w:t>
      </w:r>
      <w:r w:rsidR="00E439E0">
        <w:rPr>
          <w:color w:val="000000"/>
        </w:rPr>
        <w:t>types of samples by taking the log transform of the data before fee</w:t>
      </w:r>
      <w:r w:rsidR="00860937">
        <w:rPr>
          <w:color w:val="000000"/>
        </w:rPr>
        <w:t xml:space="preserve">ding it into the model. The </w:t>
      </w:r>
      <w:r w:rsidR="00FE3A24">
        <w:rPr>
          <w:color w:val="000000"/>
        </w:rPr>
        <w:t>log transform</w:t>
      </w:r>
      <w:r w:rsidR="00B403B3">
        <w:rPr>
          <w:color w:val="000000"/>
        </w:rPr>
        <w:t>,</w:t>
      </w:r>
      <w:r w:rsidR="00FE3A24">
        <w:rPr>
          <w:color w:val="000000"/>
        </w:rPr>
        <w:t xml:space="preserve"> in this case</w:t>
      </w:r>
      <w:r w:rsidR="004F1056">
        <w:rPr>
          <w:color w:val="000000"/>
        </w:rPr>
        <w:t>,</w:t>
      </w:r>
      <w:r w:rsidR="00FE3A24">
        <w:rPr>
          <w:color w:val="000000"/>
        </w:rPr>
        <w:t xml:space="preserve"> </w:t>
      </w:r>
      <w:r w:rsidR="00C268F4">
        <w:rPr>
          <w:color w:val="000000"/>
        </w:rPr>
        <w:t>widens the distribution in the low-end</w:t>
      </w:r>
      <w:r w:rsidR="00382480">
        <w:rPr>
          <w:color w:val="000000"/>
        </w:rPr>
        <w:t xml:space="preserve"> where most of the samples are concentrated, giving the model a chance to learn a more dynamic range of outputs</w:t>
      </w:r>
      <w:r w:rsidR="001D5A85">
        <w:rPr>
          <w:color w:val="000000"/>
        </w:rPr>
        <w:t xml:space="preserve"> (</w:t>
      </w:r>
      <w:r w:rsidR="006550AD">
        <w:rPr>
          <w:color w:val="000000"/>
        </w:rPr>
        <w:t xml:space="preserve">Figure </w:t>
      </w:r>
      <w:r w:rsidR="00B1009C">
        <w:rPr>
          <w:color w:val="000000"/>
        </w:rPr>
        <w:t>9</w:t>
      </w:r>
      <w:r w:rsidR="001D5A85">
        <w:rPr>
          <w:color w:val="000000"/>
        </w:rPr>
        <w:t>)</w:t>
      </w:r>
      <w:r w:rsidR="00382480">
        <w:rPr>
          <w:color w:val="000000"/>
        </w:rPr>
        <w:t xml:space="preserve">. </w:t>
      </w:r>
    </w:p>
    <w:p w14:paraId="4FC8F3B4" w14:textId="77777777" w:rsidR="00B77203" w:rsidRDefault="006D69E3" w:rsidP="00582302">
      <w:pPr>
        <w:pStyle w:val="NormalWeb"/>
        <w:keepNext/>
        <w:spacing w:before="0" w:beforeAutospacing="0" w:after="0" w:afterAutospacing="0" w:line="480" w:lineRule="auto"/>
      </w:pPr>
      <w:r>
        <w:rPr>
          <w:noProof/>
          <w:color w:val="000000"/>
        </w:rPr>
        <w:drawing>
          <wp:inline distT="0" distB="0" distL="0" distR="0" wp14:anchorId="22F389FA" wp14:editId="60162FE2">
            <wp:extent cx="5935980" cy="4640580"/>
            <wp:effectExtent l="0" t="0" r="7620" b="7620"/>
            <wp:docPr id="5841778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35980" cy="4640580"/>
                    </a:xfrm>
                    <a:prstGeom prst="rect">
                      <a:avLst/>
                    </a:prstGeom>
                    <a:noFill/>
                    <a:ln>
                      <a:noFill/>
                    </a:ln>
                  </pic:spPr>
                </pic:pic>
              </a:graphicData>
            </a:graphic>
          </wp:inline>
        </w:drawing>
      </w:r>
    </w:p>
    <w:p w14:paraId="67C10552" w14:textId="07199CB8" w:rsidR="00C268F4" w:rsidRDefault="00B77203" w:rsidP="00D52313">
      <w:pPr>
        <w:pStyle w:val="Caption"/>
        <w:rPr>
          <w:color w:val="000000"/>
        </w:rPr>
      </w:pPr>
      <w:bookmarkStart w:id="61" w:name="_Ref158166132"/>
      <w:bookmarkStart w:id="62" w:name="_Toc159825971"/>
      <w:r>
        <w:t xml:space="preserve">Figure </w:t>
      </w:r>
      <w:r>
        <w:fldChar w:fldCharType="begin"/>
      </w:r>
      <w:r>
        <w:instrText xml:space="preserve"> SEQ Figure \* ARABIC </w:instrText>
      </w:r>
      <w:r>
        <w:fldChar w:fldCharType="separate"/>
      </w:r>
      <w:r w:rsidR="00C54A78">
        <w:rPr>
          <w:noProof/>
        </w:rPr>
        <w:t>9</w:t>
      </w:r>
      <w:r>
        <w:rPr>
          <w:noProof/>
        </w:rPr>
        <w:fldChar w:fldCharType="end"/>
      </w:r>
      <w:bookmarkEnd w:id="61"/>
      <w:r>
        <w:t>: A histogram of all log AOD values from satellite and some auxiliary MERRA-2</w:t>
      </w:r>
      <w:r>
        <w:rPr>
          <w:noProof/>
        </w:rPr>
        <w:t xml:space="preserve"> values (discussed in section 3.</w:t>
      </w:r>
      <w:r w:rsidR="00B403B3">
        <w:rPr>
          <w:noProof/>
        </w:rPr>
        <w:t>3</w:t>
      </w:r>
      <w:r>
        <w:rPr>
          <w:noProof/>
        </w:rPr>
        <w:t>.</w:t>
      </w:r>
      <w:r w:rsidR="00B403B3">
        <w:rPr>
          <w:noProof/>
        </w:rPr>
        <w:t>5</w:t>
      </w:r>
      <w:r>
        <w:rPr>
          <w:noProof/>
        </w:rPr>
        <w:t>).</w:t>
      </w:r>
      <w:bookmarkEnd w:id="62"/>
    </w:p>
    <w:p w14:paraId="246E655D" w14:textId="1A3E98C6" w:rsidR="005E78D1" w:rsidRPr="00EF1DF1" w:rsidRDefault="005E78D1" w:rsidP="00582302">
      <w:pPr>
        <w:pStyle w:val="NormalWeb"/>
        <w:spacing w:before="0" w:beforeAutospacing="0" w:after="0" w:afterAutospacing="0" w:line="480" w:lineRule="auto"/>
        <w:rPr>
          <w:color w:val="000000"/>
        </w:rPr>
      </w:pPr>
      <w:r>
        <w:rPr>
          <w:color w:val="000000"/>
        </w:rPr>
        <w:tab/>
        <w:t xml:space="preserve">Hence, </w:t>
      </w:r>
      <w:r w:rsidR="00B6372A">
        <w:rPr>
          <w:color w:val="000000"/>
        </w:rPr>
        <w:t>all AOD data</w:t>
      </w:r>
      <w:r w:rsidR="009F24F4">
        <w:rPr>
          <w:color w:val="000000"/>
        </w:rPr>
        <w:t xml:space="preserve"> that is given to the model </w:t>
      </w:r>
      <w:r w:rsidR="006E0A38">
        <w:rPr>
          <w:color w:val="000000"/>
        </w:rPr>
        <w:t>(</w:t>
      </w:r>
      <w:r w:rsidR="009F24F4">
        <w:rPr>
          <w:color w:val="000000"/>
        </w:rPr>
        <w:t>i.e.</w:t>
      </w:r>
      <w:r w:rsidR="006E0A38">
        <w:rPr>
          <w:color w:val="000000"/>
        </w:rPr>
        <w:t>,</w:t>
      </w:r>
      <w:r w:rsidR="009F24F4">
        <w:rPr>
          <w:color w:val="000000"/>
        </w:rPr>
        <w:t xml:space="preserve"> satellite retrievals and MERRA-2</w:t>
      </w:r>
      <w:r w:rsidR="006E0A38">
        <w:rPr>
          <w:color w:val="000000"/>
        </w:rPr>
        <w:t xml:space="preserve"> AOD)</w:t>
      </w:r>
      <w:r w:rsidR="009F24F4">
        <w:rPr>
          <w:color w:val="000000"/>
        </w:rPr>
        <w:t xml:space="preserve"> are put through a log transform first.</w:t>
      </w:r>
      <w:r>
        <w:rPr>
          <w:color w:val="000000"/>
        </w:rPr>
        <w:tab/>
      </w:r>
    </w:p>
    <w:p w14:paraId="06C1FDB9" w14:textId="477DB705" w:rsidR="008368C1" w:rsidRDefault="008368C1" w:rsidP="0087740B">
      <w:pPr>
        <w:pStyle w:val="Heading3"/>
      </w:pPr>
      <w:bookmarkStart w:id="63" w:name="_Toc161431098"/>
      <w:r w:rsidRPr="00601F10">
        <w:t>3.</w:t>
      </w:r>
      <w:r w:rsidR="00CD3454">
        <w:t>3</w:t>
      </w:r>
      <w:r w:rsidRPr="00601F10">
        <w:t>.</w:t>
      </w:r>
      <w:r w:rsidR="00EF1DF1">
        <w:t>2</w:t>
      </w:r>
      <w:r w:rsidRPr="00601F10">
        <w:t xml:space="preserve"> </w:t>
      </w:r>
      <w:r w:rsidR="00601F10" w:rsidRPr="00601F10">
        <w:t>Normalization</w:t>
      </w:r>
      <w:bookmarkEnd w:id="63"/>
    </w:p>
    <w:p w14:paraId="6EBB633A" w14:textId="7CDE900B" w:rsidR="003F0759" w:rsidRDefault="003F0759" w:rsidP="00CF7340">
      <w:pPr>
        <w:pStyle w:val="NormalWeb"/>
        <w:spacing w:before="0" w:beforeAutospacing="0" w:after="0" w:afterAutospacing="0" w:line="480" w:lineRule="auto"/>
        <w:rPr>
          <w:color w:val="000000"/>
        </w:rPr>
      </w:pPr>
      <w:r>
        <w:rPr>
          <w:color w:val="000000"/>
        </w:rPr>
        <w:lastRenderedPageBreak/>
        <w:tab/>
      </w:r>
      <w:r w:rsidR="001E50C9">
        <w:rPr>
          <w:color w:val="000000"/>
        </w:rPr>
        <w:t xml:space="preserve">Another common </w:t>
      </w:r>
      <w:r w:rsidR="00E5756A">
        <w:rPr>
          <w:color w:val="000000"/>
        </w:rPr>
        <w:t xml:space="preserve">challenge </w:t>
      </w:r>
      <w:r w:rsidR="001E50C9">
        <w:rPr>
          <w:color w:val="000000"/>
        </w:rPr>
        <w:t xml:space="preserve">with </w:t>
      </w:r>
      <w:r w:rsidR="005E78D1">
        <w:rPr>
          <w:color w:val="000000"/>
        </w:rPr>
        <w:t>training machine learning model</w:t>
      </w:r>
      <w:r w:rsidR="009F24F4">
        <w:rPr>
          <w:color w:val="000000"/>
        </w:rPr>
        <w:t xml:space="preserve">s on a diverse set of input data is </w:t>
      </w:r>
      <w:r w:rsidR="006C04DF">
        <w:rPr>
          <w:color w:val="000000"/>
        </w:rPr>
        <w:t xml:space="preserve">sometimes different elements in the </w:t>
      </w:r>
      <w:r w:rsidR="00AF4F77">
        <w:rPr>
          <w:color w:val="000000"/>
        </w:rPr>
        <w:t>data</w:t>
      </w:r>
      <w:r w:rsidR="00D84530">
        <w:rPr>
          <w:color w:val="000000"/>
        </w:rPr>
        <w:t xml:space="preserve"> have different expressive ranges</w:t>
      </w:r>
      <w:r w:rsidR="00EF5AF0">
        <w:rPr>
          <w:color w:val="000000"/>
        </w:rPr>
        <w:t>, which</w:t>
      </w:r>
      <w:r w:rsidR="0091545C">
        <w:rPr>
          <w:color w:val="000000"/>
        </w:rPr>
        <w:t xml:space="preserve"> can </w:t>
      </w:r>
      <w:r w:rsidR="006565BA">
        <w:rPr>
          <w:color w:val="000000"/>
        </w:rPr>
        <w:t xml:space="preserve">lead to convergence issues because </w:t>
      </w:r>
      <w:r w:rsidR="000E69D3">
        <w:rPr>
          <w:color w:val="000000"/>
        </w:rPr>
        <w:t xml:space="preserve">it is difficult to </w:t>
      </w:r>
      <w:r w:rsidR="00D02C59">
        <w:rPr>
          <w:color w:val="000000"/>
        </w:rPr>
        <w:t xml:space="preserve">accurately calculate the gradient at each step of the gradient descent algorithm if all the inputs going into the model </w:t>
      </w:r>
      <w:r w:rsidR="002C7BB9">
        <w:rPr>
          <w:color w:val="000000"/>
        </w:rPr>
        <w:t xml:space="preserve">have different scales. </w:t>
      </w:r>
      <w:r w:rsidR="00E5756A">
        <w:rPr>
          <w:color w:val="000000"/>
        </w:rPr>
        <w:t xml:space="preserve">Therefore, a </w:t>
      </w:r>
      <w:r w:rsidR="000A7172">
        <w:rPr>
          <w:color w:val="000000"/>
        </w:rPr>
        <w:t xml:space="preserve">necessary preprocessing step </w:t>
      </w:r>
      <w:r w:rsidR="00E5756A">
        <w:rPr>
          <w:color w:val="000000"/>
        </w:rPr>
        <w:t>is the normalization of the</w:t>
      </w:r>
      <w:r w:rsidR="002C7BB9">
        <w:rPr>
          <w:color w:val="000000"/>
        </w:rPr>
        <w:t xml:space="preserve"> data</w:t>
      </w:r>
      <w:r w:rsidR="00E5756A">
        <w:rPr>
          <w:color w:val="000000"/>
        </w:rPr>
        <w:t>set</w:t>
      </w:r>
      <w:r w:rsidR="00F64003">
        <w:rPr>
          <w:color w:val="000000"/>
        </w:rPr>
        <w:t xml:space="preserve"> </w:t>
      </w:r>
      <w:r w:rsidR="00602794">
        <w:rPr>
          <w:color w:val="000000"/>
        </w:rPr>
        <w:t>prior to</w:t>
      </w:r>
      <w:r w:rsidR="00F64003">
        <w:rPr>
          <w:color w:val="000000"/>
        </w:rPr>
        <w:t xml:space="preserve"> </w:t>
      </w:r>
      <w:r w:rsidR="00D7255C">
        <w:rPr>
          <w:color w:val="000000"/>
        </w:rPr>
        <w:t>input</w:t>
      </w:r>
      <w:r w:rsidR="00602794">
        <w:rPr>
          <w:color w:val="000000"/>
        </w:rPr>
        <w:t>ting</w:t>
      </w:r>
      <w:r w:rsidR="00D7255C">
        <w:rPr>
          <w:color w:val="000000"/>
        </w:rPr>
        <w:t xml:space="preserve"> </w:t>
      </w:r>
      <w:r w:rsidR="00F64003">
        <w:rPr>
          <w:color w:val="000000"/>
        </w:rPr>
        <w:t xml:space="preserve">it </w:t>
      </w:r>
      <w:r w:rsidR="00602794">
        <w:rPr>
          <w:color w:val="000000"/>
        </w:rPr>
        <w:t>in</w:t>
      </w:r>
      <w:r w:rsidR="00F64003">
        <w:rPr>
          <w:color w:val="000000"/>
        </w:rPr>
        <w:t>to the model</w:t>
      </w:r>
      <w:r w:rsidR="00E5756A">
        <w:rPr>
          <w:color w:val="000000"/>
        </w:rPr>
        <w:t xml:space="preserve"> </w:t>
      </w:r>
      <w:r w:rsidR="00B77DB1">
        <w:rPr>
          <w:color w:val="000000"/>
        </w:rPr>
        <w:fldChar w:fldCharType="begin"/>
      </w:r>
      <w:r w:rsidR="00BB6527">
        <w:rPr>
          <w:color w:val="000000"/>
        </w:rPr>
        <w:instrText xml:space="preserve"> ADDIN ZOTERO_ITEM CSL_CITATION {"citationID":"edGY75wo","properties":{"formattedCitation":"(Jo, 2019; D. Singh &amp; Singh, 2020)","plainCitation":"(Jo, 2019; D. Singh &amp; Singh, 2020)","dontUpdate":true,"noteIndex":0},"citationItems":[{"id":514,"uris":["http://zotero.org/groups/4584967/items/MDY7AG5R"],"itemData":{"id":514,"type":"article-journal","abstract":"</w:instrText>
      </w:r>
      <w:r w:rsidR="00BB6527">
        <w:rPr>
          <w:rFonts w:ascii="Batang" w:eastAsia="Batang" w:hAnsi="Batang" w:cs="Batang" w:hint="eastAsia"/>
          <w:color w:val="000000"/>
        </w:rPr>
        <w:instrText>최근</w:instrText>
      </w:r>
      <w:r w:rsidR="00BB6527">
        <w:rPr>
          <w:color w:val="000000"/>
        </w:rPr>
        <w:instrText xml:space="preserve">, </w:instrText>
      </w:r>
      <w:r w:rsidR="00BB6527">
        <w:rPr>
          <w:rFonts w:ascii="Batang" w:eastAsia="Batang" w:hAnsi="Batang" w:cs="Batang" w:hint="eastAsia"/>
          <w:color w:val="000000"/>
        </w:rPr>
        <w:instrText>빅데이터</w:instrText>
      </w:r>
      <w:r w:rsidR="00BB6527">
        <w:rPr>
          <w:color w:val="000000"/>
        </w:rPr>
        <w:instrText xml:space="preserve"> </w:instrText>
      </w:r>
      <w:r w:rsidR="00BB6527">
        <w:rPr>
          <w:rFonts w:ascii="Batang" w:eastAsia="Batang" w:hAnsi="Batang" w:cs="Batang" w:hint="eastAsia"/>
          <w:color w:val="000000"/>
        </w:rPr>
        <w:instrText>분야에서는</w:instrText>
      </w:r>
      <w:r w:rsidR="00BB6527">
        <w:rPr>
          <w:color w:val="000000"/>
        </w:rPr>
        <w:instrText xml:space="preserve"> </w:instrText>
      </w:r>
      <w:r w:rsidR="00BB6527">
        <w:rPr>
          <w:rFonts w:ascii="Batang" w:eastAsia="Batang" w:hAnsi="Batang" w:cs="Batang" w:hint="eastAsia"/>
          <w:color w:val="000000"/>
        </w:rPr>
        <w:instrText>빅</w:instrText>
      </w:r>
      <w:r w:rsidR="00BB6527">
        <w:rPr>
          <w:color w:val="000000"/>
        </w:rPr>
        <w:instrText xml:space="preserve"> </w:instrText>
      </w:r>
      <w:r w:rsidR="00BB6527">
        <w:rPr>
          <w:rFonts w:ascii="Batang" w:eastAsia="Batang" w:hAnsi="Batang" w:cs="Batang" w:hint="eastAsia"/>
          <w:color w:val="000000"/>
        </w:rPr>
        <w:instrText>데이터의</w:instrText>
      </w:r>
      <w:r w:rsidR="00BB6527">
        <w:rPr>
          <w:color w:val="000000"/>
        </w:rPr>
        <w:instrText xml:space="preserve"> </w:instrText>
      </w:r>
      <w:r w:rsidR="00BB6527">
        <w:rPr>
          <w:rFonts w:ascii="Batang" w:eastAsia="Batang" w:hAnsi="Batang" w:cs="Batang" w:hint="eastAsia"/>
          <w:color w:val="000000"/>
        </w:rPr>
        <w:instrText>양적</w:instrText>
      </w:r>
      <w:r w:rsidR="00BB6527">
        <w:rPr>
          <w:color w:val="000000"/>
        </w:rPr>
        <w:instrText xml:space="preserve"> </w:instrText>
      </w:r>
      <w:r w:rsidR="00BB6527">
        <w:rPr>
          <w:rFonts w:ascii="Batang" w:eastAsia="Batang" w:hAnsi="Batang" w:cs="Batang" w:hint="eastAsia"/>
          <w:color w:val="000000"/>
        </w:rPr>
        <w:instrText>팽창이</w:instrText>
      </w:r>
      <w:r w:rsidR="00BB6527">
        <w:rPr>
          <w:color w:val="000000"/>
        </w:rPr>
        <w:instrText xml:space="preserve"> </w:instrText>
      </w:r>
      <w:r w:rsidR="00BB6527">
        <w:rPr>
          <w:rFonts w:ascii="Batang" w:eastAsia="Batang" w:hAnsi="Batang" w:cs="Batang" w:hint="eastAsia"/>
          <w:color w:val="000000"/>
        </w:rPr>
        <w:instrText>주요</w:instrText>
      </w:r>
      <w:r w:rsidR="00BB6527">
        <w:rPr>
          <w:color w:val="000000"/>
        </w:rPr>
        <w:instrText xml:space="preserve"> </w:instrText>
      </w:r>
      <w:r w:rsidR="00BB6527">
        <w:rPr>
          <w:rFonts w:ascii="Batang" w:eastAsia="Batang" w:hAnsi="Batang" w:cs="Batang" w:hint="eastAsia"/>
          <w:color w:val="000000"/>
        </w:rPr>
        <w:instrText>이슈로</w:instrText>
      </w:r>
      <w:r w:rsidR="00BB6527">
        <w:rPr>
          <w:color w:val="000000"/>
        </w:rPr>
        <w:instrText xml:space="preserve"> </w:instrText>
      </w:r>
      <w:r w:rsidR="00BB6527">
        <w:rPr>
          <w:rFonts w:ascii="Batang" w:eastAsia="Batang" w:hAnsi="Batang" w:cs="Batang" w:hint="eastAsia"/>
          <w:color w:val="000000"/>
        </w:rPr>
        <w:instrText>떠오르고</w:instrText>
      </w:r>
      <w:r w:rsidR="00BB6527">
        <w:rPr>
          <w:color w:val="000000"/>
        </w:rPr>
        <w:instrText xml:space="preserve"> </w:instrText>
      </w:r>
      <w:r w:rsidR="00BB6527">
        <w:rPr>
          <w:rFonts w:ascii="Batang" w:eastAsia="Batang" w:hAnsi="Batang" w:cs="Batang" w:hint="eastAsia"/>
          <w:color w:val="000000"/>
        </w:rPr>
        <w:instrText>있다</w:instrText>
      </w:r>
      <w:r w:rsidR="00BB6527">
        <w:rPr>
          <w:color w:val="000000"/>
        </w:rPr>
        <w:instrText xml:space="preserve">. </w:instrText>
      </w:r>
      <w:r w:rsidR="00BB6527">
        <w:rPr>
          <w:rFonts w:ascii="Batang" w:eastAsia="Batang" w:hAnsi="Batang" w:cs="Batang" w:hint="eastAsia"/>
          <w:color w:val="000000"/>
        </w:rPr>
        <w:instrText>더군다나</w:instrText>
      </w:r>
      <w:r w:rsidR="00BB6527">
        <w:rPr>
          <w:color w:val="000000"/>
        </w:rPr>
        <w:instrText xml:space="preserve"> </w:instrText>
      </w:r>
      <w:r w:rsidR="00BB6527">
        <w:rPr>
          <w:rFonts w:ascii="Batang" w:eastAsia="Batang" w:hAnsi="Batang" w:cs="Batang" w:hint="eastAsia"/>
          <w:color w:val="000000"/>
        </w:rPr>
        <w:instrText>이러한</w:instrText>
      </w:r>
      <w:r w:rsidR="00BB6527">
        <w:rPr>
          <w:color w:val="000000"/>
        </w:rPr>
        <w:instrText xml:space="preserve"> </w:instrText>
      </w:r>
      <w:r w:rsidR="00BB6527">
        <w:rPr>
          <w:rFonts w:ascii="Batang" w:eastAsia="Batang" w:hAnsi="Batang" w:cs="Batang" w:hint="eastAsia"/>
          <w:color w:val="000000"/>
        </w:rPr>
        <w:instrText>빅데이터는</w:instrText>
      </w:r>
      <w:r w:rsidR="00BB6527">
        <w:rPr>
          <w:color w:val="000000"/>
        </w:rPr>
        <w:instrText xml:space="preserve"> </w:instrText>
      </w:r>
      <w:r w:rsidR="00BB6527">
        <w:rPr>
          <w:rFonts w:ascii="Batang" w:eastAsia="Batang" w:hAnsi="Batang" w:cs="Batang" w:hint="eastAsia"/>
          <w:color w:val="000000"/>
        </w:rPr>
        <w:instrText>기계학습의</w:instrText>
      </w:r>
      <w:r w:rsidR="00BB6527">
        <w:rPr>
          <w:color w:val="000000"/>
        </w:rPr>
        <w:instrText xml:space="preserve"> </w:instrText>
      </w:r>
      <w:r w:rsidR="00BB6527">
        <w:rPr>
          <w:rFonts w:ascii="Batang" w:eastAsia="Batang" w:hAnsi="Batang" w:cs="Batang" w:hint="eastAsia"/>
          <w:color w:val="000000"/>
        </w:rPr>
        <w:instrText>입력값으로</w:instrText>
      </w:r>
      <w:r w:rsidR="00BB6527">
        <w:rPr>
          <w:color w:val="000000"/>
        </w:rPr>
        <w:instrText xml:space="preserve"> </w:instrText>
      </w:r>
      <w:r w:rsidR="00BB6527">
        <w:rPr>
          <w:rFonts w:ascii="Batang" w:eastAsia="Batang" w:hAnsi="Batang" w:cs="Batang" w:hint="eastAsia"/>
          <w:color w:val="000000"/>
        </w:rPr>
        <w:instrText>사용되어지고</w:instrText>
      </w:r>
      <w:r w:rsidR="00BB6527">
        <w:rPr>
          <w:color w:val="000000"/>
        </w:rPr>
        <w:instrText xml:space="preserve"> </w:instrText>
      </w:r>
      <w:r w:rsidR="00BB6527">
        <w:rPr>
          <w:rFonts w:ascii="Batang" w:eastAsia="Batang" w:hAnsi="Batang" w:cs="Batang" w:hint="eastAsia"/>
          <w:color w:val="000000"/>
        </w:rPr>
        <w:instrText>있으며</w:instrText>
      </w:r>
      <w:r w:rsidR="00BB6527">
        <w:rPr>
          <w:color w:val="000000"/>
        </w:rPr>
        <w:instrText xml:space="preserve"> </w:instrText>
      </w:r>
      <w:r w:rsidR="00BB6527">
        <w:rPr>
          <w:rFonts w:ascii="Batang" w:eastAsia="Batang" w:hAnsi="Batang" w:cs="Batang" w:hint="eastAsia"/>
          <w:color w:val="000000"/>
        </w:rPr>
        <w:instrText>이들의</w:instrText>
      </w:r>
      <w:r w:rsidR="00BB6527">
        <w:rPr>
          <w:color w:val="000000"/>
        </w:rPr>
        <w:instrText xml:space="preserve"> </w:instrText>
      </w:r>
      <w:r w:rsidR="00BB6527">
        <w:rPr>
          <w:rFonts w:ascii="Batang" w:eastAsia="Batang" w:hAnsi="Batang" w:cs="Batang" w:hint="eastAsia"/>
          <w:color w:val="000000"/>
        </w:rPr>
        <w:instrText>성능을</w:instrText>
      </w:r>
      <w:r w:rsidR="00BB6527">
        <w:rPr>
          <w:color w:val="000000"/>
        </w:rPr>
        <w:instrText xml:space="preserve"> </w:instrText>
      </w:r>
      <w:r w:rsidR="00BB6527">
        <w:rPr>
          <w:rFonts w:ascii="Batang" w:eastAsia="Batang" w:hAnsi="Batang" w:cs="Batang" w:hint="eastAsia"/>
          <w:color w:val="000000"/>
        </w:rPr>
        <w:instrText>향상시키기</w:instrText>
      </w:r>
      <w:r w:rsidR="00BB6527">
        <w:rPr>
          <w:color w:val="000000"/>
        </w:rPr>
        <w:instrText xml:space="preserve"> </w:instrText>
      </w:r>
      <w:r w:rsidR="00BB6527">
        <w:rPr>
          <w:rFonts w:ascii="Batang" w:eastAsia="Batang" w:hAnsi="Batang" w:cs="Batang" w:hint="eastAsia"/>
          <w:color w:val="000000"/>
        </w:rPr>
        <w:instrText>위해</w:instrText>
      </w:r>
      <w:r w:rsidR="00BB6527">
        <w:rPr>
          <w:color w:val="000000"/>
        </w:rPr>
        <w:instrText xml:space="preserve"> </w:instrText>
      </w:r>
      <w:r w:rsidR="00BB6527">
        <w:rPr>
          <w:rFonts w:ascii="Batang" w:eastAsia="Batang" w:hAnsi="Batang" w:cs="Batang" w:hint="eastAsia"/>
          <w:color w:val="000000"/>
        </w:rPr>
        <w:instrText>정규화</w:instrText>
      </w:r>
      <w:r w:rsidR="00BB6527">
        <w:rPr>
          <w:color w:val="000000"/>
        </w:rPr>
        <w:instrText xml:space="preserve"> </w:instrText>
      </w:r>
      <w:r w:rsidR="00BB6527">
        <w:rPr>
          <w:rFonts w:ascii="Batang" w:eastAsia="Batang" w:hAnsi="Batang" w:cs="Batang" w:hint="eastAsia"/>
          <w:color w:val="000000"/>
        </w:rPr>
        <w:instrText>전처리가</w:instrText>
      </w:r>
      <w:r w:rsidR="00BB6527">
        <w:rPr>
          <w:color w:val="000000"/>
        </w:rPr>
        <w:instrText xml:space="preserve"> </w:instrText>
      </w:r>
      <w:r w:rsidR="00BB6527">
        <w:rPr>
          <w:rFonts w:ascii="Batang" w:eastAsia="Batang" w:hAnsi="Batang" w:cs="Batang" w:hint="eastAsia"/>
          <w:color w:val="000000"/>
        </w:rPr>
        <w:instrText>필요하다</w:instrText>
      </w:r>
      <w:r w:rsidR="00BB6527">
        <w:rPr>
          <w:color w:val="000000"/>
        </w:rPr>
        <w:instrText xml:space="preserve">. </w:instrText>
      </w:r>
      <w:r w:rsidR="00BB6527">
        <w:rPr>
          <w:rFonts w:ascii="Batang" w:eastAsia="Batang" w:hAnsi="Batang" w:cs="Batang" w:hint="eastAsia"/>
          <w:color w:val="000000"/>
        </w:rPr>
        <w:instrText>이러한</w:instrText>
      </w:r>
      <w:r w:rsidR="00BB6527">
        <w:rPr>
          <w:color w:val="000000"/>
        </w:rPr>
        <w:instrText xml:space="preserve"> </w:instrText>
      </w:r>
      <w:r w:rsidR="00BB6527">
        <w:rPr>
          <w:rFonts w:ascii="Batang" w:eastAsia="Batang" w:hAnsi="Batang" w:cs="Batang" w:hint="eastAsia"/>
          <w:color w:val="000000"/>
        </w:rPr>
        <w:instrText>성능은</w:instrText>
      </w:r>
      <w:r w:rsidR="00BB6527">
        <w:rPr>
          <w:color w:val="000000"/>
        </w:rPr>
        <w:instrText xml:space="preserve"> </w:instrText>
      </w:r>
      <w:r w:rsidR="00BB6527">
        <w:rPr>
          <w:rFonts w:ascii="Batang" w:eastAsia="Batang" w:hAnsi="Batang" w:cs="Batang" w:hint="eastAsia"/>
          <w:color w:val="000000"/>
        </w:rPr>
        <w:instrText>빅데이터</w:instrText>
      </w:r>
      <w:r w:rsidR="00BB6527">
        <w:rPr>
          <w:color w:val="000000"/>
        </w:rPr>
        <w:instrText xml:space="preserve"> </w:instrText>
      </w:r>
      <w:r w:rsidR="00BB6527">
        <w:rPr>
          <w:rFonts w:ascii="Batang" w:eastAsia="Batang" w:hAnsi="Batang" w:cs="Batang" w:hint="eastAsia"/>
          <w:color w:val="000000"/>
        </w:rPr>
        <w:instrText>컬럼의</w:instrText>
      </w:r>
      <w:r w:rsidR="00BB6527">
        <w:rPr>
          <w:color w:val="000000"/>
        </w:rPr>
        <w:instrText xml:space="preserve"> </w:instrText>
      </w:r>
      <w:r w:rsidR="00BB6527">
        <w:rPr>
          <w:rFonts w:ascii="Batang" w:eastAsia="Batang" w:hAnsi="Batang" w:cs="Batang" w:hint="eastAsia"/>
          <w:color w:val="000000"/>
        </w:rPr>
        <w:instrText>범위나</w:instrText>
      </w:r>
      <w:r w:rsidR="00BB6527">
        <w:rPr>
          <w:color w:val="000000"/>
        </w:rPr>
        <w:instrText xml:space="preserve"> </w:instrText>
      </w:r>
      <w:r w:rsidR="00BB6527">
        <w:rPr>
          <w:rFonts w:ascii="Batang" w:eastAsia="Batang" w:hAnsi="Batang" w:cs="Batang" w:hint="eastAsia"/>
          <w:color w:val="000000"/>
        </w:rPr>
        <w:instrText>정규화</w:instrText>
      </w:r>
      <w:r w:rsidR="00BB6527">
        <w:rPr>
          <w:color w:val="000000"/>
        </w:rPr>
        <w:instrText xml:space="preserve"> </w:instrText>
      </w:r>
      <w:r w:rsidR="00BB6527">
        <w:rPr>
          <w:rFonts w:ascii="Batang" w:eastAsia="Batang" w:hAnsi="Batang" w:cs="Batang" w:hint="eastAsia"/>
          <w:color w:val="000000"/>
        </w:rPr>
        <w:instrText>전처리</w:instrText>
      </w:r>
      <w:r w:rsidR="00BB6527">
        <w:rPr>
          <w:color w:val="000000"/>
        </w:rPr>
        <w:instrText xml:space="preserve"> </w:instrText>
      </w:r>
      <w:r w:rsidR="00BB6527">
        <w:rPr>
          <w:rFonts w:ascii="Batang" w:eastAsia="Batang" w:hAnsi="Batang" w:cs="Batang" w:hint="eastAsia"/>
          <w:color w:val="000000"/>
        </w:rPr>
        <w:instrText>방식에</w:instrText>
      </w:r>
      <w:r w:rsidR="00BB6527">
        <w:rPr>
          <w:color w:val="000000"/>
        </w:rPr>
        <w:instrText xml:space="preserve"> </w:instrText>
      </w:r>
      <w:r w:rsidR="00BB6527">
        <w:rPr>
          <w:rFonts w:ascii="Batang" w:eastAsia="Batang" w:hAnsi="Batang" w:cs="Batang" w:hint="eastAsia"/>
          <w:color w:val="000000"/>
        </w:rPr>
        <w:instrText>따라</w:instrText>
      </w:r>
      <w:r w:rsidR="00BB6527">
        <w:rPr>
          <w:color w:val="000000"/>
        </w:rPr>
        <w:instrText xml:space="preserve"> </w:instrText>
      </w:r>
      <w:r w:rsidR="00BB6527">
        <w:rPr>
          <w:rFonts w:ascii="Batang" w:eastAsia="Batang" w:hAnsi="Batang" w:cs="Batang" w:hint="eastAsia"/>
          <w:color w:val="000000"/>
        </w:rPr>
        <w:instrText>크게</w:instrText>
      </w:r>
      <w:r w:rsidR="00BB6527">
        <w:rPr>
          <w:color w:val="000000"/>
        </w:rPr>
        <w:instrText xml:space="preserve"> </w:instrText>
      </w:r>
      <w:r w:rsidR="00BB6527">
        <w:rPr>
          <w:rFonts w:ascii="Batang" w:eastAsia="Batang" w:hAnsi="Batang" w:cs="Batang" w:hint="eastAsia"/>
          <w:color w:val="000000"/>
        </w:rPr>
        <w:instrText>좌우된다</w:instrText>
      </w:r>
      <w:r w:rsidR="00BB6527">
        <w:rPr>
          <w:color w:val="000000"/>
        </w:rPr>
        <w:instrText xml:space="preserve">. </w:instrText>
      </w:r>
      <w:r w:rsidR="00BB6527">
        <w:rPr>
          <w:rFonts w:ascii="Batang" w:eastAsia="Batang" w:hAnsi="Batang" w:cs="Batang" w:hint="eastAsia"/>
          <w:color w:val="000000"/>
        </w:rPr>
        <w:instrText>본</w:instrText>
      </w:r>
      <w:r w:rsidR="00BB6527">
        <w:rPr>
          <w:color w:val="000000"/>
        </w:rPr>
        <w:instrText xml:space="preserve"> </w:instrText>
      </w:r>
      <w:r w:rsidR="00BB6527">
        <w:rPr>
          <w:rFonts w:ascii="Batang" w:eastAsia="Batang" w:hAnsi="Batang" w:cs="Batang" w:hint="eastAsia"/>
          <w:color w:val="000000"/>
        </w:rPr>
        <w:instrText>논문에서는</w:instrText>
      </w:r>
      <w:r w:rsidR="00BB6527">
        <w:rPr>
          <w:color w:val="000000"/>
        </w:rPr>
        <w:instrText xml:space="preserve"> </w:instrText>
      </w:r>
      <w:r w:rsidR="00BB6527">
        <w:rPr>
          <w:rFonts w:ascii="Batang" w:eastAsia="Batang" w:hAnsi="Batang" w:cs="Batang" w:hint="eastAsia"/>
          <w:color w:val="000000"/>
        </w:rPr>
        <w:instrText>다양한</w:instrText>
      </w:r>
      <w:r w:rsidR="00BB6527">
        <w:rPr>
          <w:color w:val="000000"/>
        </w:rPr>
        <w:instrText xml:space="preserve"> </w:instrText>
      </w:r>
      <w:r w:rsidR="00BB6527">
        <w:rPr>
          <w:rFonts w:ascii="Batang" w:eastAsia="Batang" w:hAnsi="Batang" w:cs="Batang" w:hint="eastAsia"/>
          <w:color w:val="000000"/>
        </w:rPr>
        <w:instrText>종류의</w:instrText>
      </w:r>
      <w:r w:rsidR="00BB6527">
        <w:rPr>
          <w:color w:val="000000"/>
        </w:rPr>
        <w:instrText xml:space="preserve"> </w:instrText>
      </w:r>
      <w:r w:rsidR="00BB6527">
        <w:rPr>
          <w:rFonts w:ascii="Batang" w:eastAsia="Batang" w:hAnsi="Batang" w:cs="Batang" w:hint="eastAsia"/>
          <w:color w:val="000000"/>
        </w:rPr>
        <w:instrText>정규화</w:instrText>
      </w:r>
      <w:r w:rsidR="00BB6527">
        <w:rPr>
          <w:color w:val="000000"/>
        </w:rPr>
        <w:instrText xml:space="preserve"> </w:instrText>
      </w:r>
      <w:r w:rsidR="00BB6527">
        <w:rPr>
          <w:rFonts w:ascii="Batang" w:eastAsia="Batang" w:hAnsi="Batang" w:cs="Batang" w:hint="eastAsia"/>
          <w:color w:val="000000"/>
        </w:rPr>
        <w:instrText>전처리</w:instrText>
      </w:r>
      <w:r w:rsidR="00BB6527">
        <w:rPr>
          <w:color w:val="000000"/>
        </w:rPr>
        <w:instrText xml:space="preserve"> </w:instrText>
      </w:r>
      <w:r w:rsidR="00BB6527">
        <w:rPr>
          <w:rFonts w:ascii="Batang" w:eastAsia="Batang" w:hAnsi="Batang" w:cs="Batang" w:hint="eastAsia"/>
          <w:color w:val="000000"/>
        </w:rPr>
        <w:instrText>방식과</w:instrText>
      </w:r>
      <w:r w:rsidR="00BB6527">
        <w:rPr>
          <w:color w:val="000000"/>
        </w:rPr>
        <w:instrText xml:space="preserve"> </w:instrText>
      </w:r>
      <w:r w:rsidR="00BB6527">
        <w:rPr>
          <w:rFonts w:ascii="Batang" w:eastAsia="Batang" w:hAnsi="Batang" w:cs="Batang" w:hint="eastAsia"/>
          <w:color w:val="000000"/>
        </w:rPr>
        <w:instrText>빅데이터</w:instrText>
      </w:r>
      <w:r w:rsidR="00BB6527">
        <w:rPr>
          <w:color w:val="000000"/>
        </w:rPr>
        <w:instrText xml:space="preserve"> </w:instrText>
      </w:r>
      <w:r w:rsidR="00BB6527">
        <w:rPr>
          <w:rFonts w:ascii="Batang" w:eastAsia="Batang" w:hAnsi="Batang" w:cs="Batang" w:hint="eastAsia"/>
          <w:color w:val="000000"/>
        </w:rPr>
        <w:instrText>컬럼의</w:instrText>
      </w:r>
      <w:r w:rsidR="00BB6527">
        <w:rPr>
          <w:color w:val="000000"/>
        </w:rPr>
        <w:instrText xml:space="preserve"> </w:instrText>
      </w:r>
      <w:r w:rsidR="00BB6527">
        <w:rPr>
          <w:rFonts w:ascii="Batang" w:eastAsia="Batang" w:hAnsi="Batang" w:cs="Batang" w:hint="eastAsia"/>
          <w:color w:val="000000"/>
        </w:rPr>
        <w:instrText>범위를</w:instrText>
      </w:r>
      <w:r w:rsidR="00BB6527">
        <w:rPr>
          <w:color w:val="000000"/>
        </w:rPr>
        <w:instrText xml:space="preserve"> </w:instrText>
      </w:r>
      <w:r w:rsidR="00BB6527">
        <w:rPr>
          <w:rFonts w:ascii="Batang" w:eastAsia="Batang" w:hAnsi="Batang" w:cs="Batang" w:hint="eastAsia"/>
          <w:color w:val="000000"/>
        </w:rPr>
        <w:instrText>조절하면서</w:instrText>
      </w:r>
      <w:r w:rsidR="00BB6527">
        <w:rPr>
          <w:color w:val="000000"/>
        </w:rPr>
        <w:instrText xml:space="preserve"> </w:instrText>
      </w:r>
      <w:r w:rsidR="00BB6527">
        <w:rPr>
          <w:rFonts w:ascii="Batang" w:eastAsia="Batang" w:hAnsi="Batang" w:cs="Batang" w:hint="eastAsia"/>
          <w:color w:val="000000"/>
        </w:rPr>
        <w:instrText>서포트벡터머신</w:instrText>
      </w:r>
      <w:r w:rsidR="00BB6527">
        <w:rPr>
          <w:color w:val="000000"/>
        </w:rPr>
        <w:instrText>(SVM)</w:instrText>
      </w:r>
      <w:r w:rsidR="00BB6527">
        <w:rPr>
          <w:rFonts w:ascii="Batang" w:eastAsia="Batang" w:hAnsi="Batang" w:cs="Batang" w:hint="eastAsia"/>
          <w:color w:val="000000"/>
        </w:rPr>
        <w:instrText>의</w:instrText>
      </w:r>
      <w:r w:rsidR="00BB6527">
        <w:rPr>
          <w:color w:val="000000"/>
        </w:rPr>
        <w:instrText xml:space="preserve"> </w:instrText>
      </w:r>
      <w:r w:rsidR="00BB6527">
        <w:rPr>
          <w:rFonts w:ascii="Batang" w:eastAsia="Batang" w:hAnsi="Batang" w:cs="Batang" w:hint="eastAsia"/>
          <w:color w:val="000000"/>
        </w:rPr>
        <w:instrText>기계학습방식에</w:instrText>
      </w:r>
      <w:r w:rsidR="00BB6527">
        <w:rPr>
          <w:color w:val="000000"/>
        </w:rPr>
        <w:instrText xml:space="preserve"> </w:instrText>
      </w:r>
      <w:r w:rsidR="00BB6527">
        <w:rPr>
          <w:rFonts w:ascii="Batang" w:eastAsia="Batang" w:hAnsi="Batang" w:cs="Batang" w:hint="eastAsia"/>
          <w:color w:val="000000"/>
        </w:rPr>
        <w:instrText>적용함으로써</w:instrText>
      </w:r>
      <w:r w:rsidR="00BB6527">
        <w:rPr>
          <w:color w:val="000000"/>
        </w:rPr>
        <w:instrText xml:space="preserve"> </w:instrText>
      </w:r>
      <w:r w:rsidR="00BB6527">
        <w:rPr>
          <w:rFonts w:ascii="Batang" w:eastAsia="Batang" w:hAnsi="Batang" w:cs="Batang" w:hint="eastAsia"/>
          <w:color w:val="000000"/>
        </w:rPr>
        <w:instrText>더욱</w:instrText>
      </w:r>
      <w:r w:rsidR="00BB6527">
        <w:rPr>
          <w:color w:val="000000"/>
        </w:rPr>
        <w:instrText xml:space="preserve"> </w:instrText>
      </w:r>
      <w:r w:rsidR="00BB6527">
        <w:rPr>
          <w:rFonts w:ascii="Batang" w:eastAsia="Batang" w:hAnsi="Batang" w:cs="Batang" w:hint="eastAsia"/>
          <w:color w:val="000000"/>
        </w:rPr>
        <w:instrText>효과적인</w:instrText>
      </w:r>
      <w:r w:rsidR="00BB6527">
        <w:rPr>
          <w:color w:val="000000"/>
        </w:rPr>
        <w:instrText xml:space="preserve"> </w:instrText>
      </w:r>
      <w:r w:rsidR="00BB6527">
        <w:rPr>
          <w:rFonts w:ascii="Batang" w:eastAsia="Batang" w:hAnsi="Batang" w:cs="Batang" w:hint="eastAsia"/>
          <w:color w:val="000000"/>
        </w:rPr>
        <w:instrText>정규화</w:instrText>
      </w:r>
      <w:r w:rsidR="00BB6527">
        <w:rPr>
          <w:color w:val="000000"/>
        </w:rPr>
        <w:instrText xml:space="preserve"> </w:instrText>
      </w:r>
      <w:r w:rsidR="00BB6527">
        <w:rPr>
          <w:rFonts w:ascii="Batang" w:eastAsia="Batang" w:hAnsi="Batang" w:cs="Batang" w:hint="eastAsia"/>
          <w:color w:val="000000"/>
        </w:rPr>
        <w:instrText>전처리</w:instrText>
      </w:r>
      <w:r w:rsidR="00BB6527">
        <w:rPr>
          <w:color w:val="000000"/>
        </w:rPr>
        <w:instrText xml:space="preserve"> </w:instrText>
      </w:r>
      <w:r w:rsidR="00BB6527">
        <w:rPr>
          <w:rFonts w:ascii="Batang" w:eastAsia="Batang" w:hAnsi="Batang" w:cs="Batang" w:hint="eastAsia"/>
          <w:color w:val="000000"/>
        </w:rPr>
        <w:instrText>방식을</w:instrText>
      </w:r>
      <w:r w:rsidR="00BB6527">
        <w:rPr>
          <w:color w:val="000000"/>
        </w:rPr>
        <w:instrText xml:space="preserve"> </w:instrText>
      </w:r>
      <w:r w:rsidR="00BB6527">
        <w:rPr>
          <w:rFonts w:ascii="Batang" w:eastAsia="Batang" w:hAnsi="Batang" w:cs="Batang" w:hint="eastAsia"/>
          <w:color w:val="000000"/>
        </w:rPr>
        <w:instrText>파악하고자</w:instrText>
      </w:r>
      <w:r w:rsidR="00BB6527">
        <w:rPr>
          <w:color w:val="000000"/>
        </w:rPr>
        <w:instrText xml:space="preserve"> </w:instrText>
      </w:r>
      <w:r w:rsidR="00BB6527">
        <w:rPr>
          <w:rFonts w:ascii="Batang" w:eastAsia="Batang" w:hAnsi="Batang" w:cs="Batang" w:hint="eastAsia"/>
          <w:color w:val="000000"/>
        </w:rPr>
        <w:instrText>하였다</w:instrText>
      </w:r>
      <w:r w:rsidR="00BB6527">
        <w:rPr>
          <w:color w:val="000000"/>
        </w:rPr>
        <w:instrText xml:space="preserve">. </w:instrText>
      </w:r>
      <w:r w:rsidR="00BB6527">
        <w:rPr>
          <w:rFonts w:ascii="Batang" w:eastAsia="Batang" w:hAnsi="Batang" w:cs="Batang" w:hint="eastAsia"/>
          <w:color w:val="000000"/>
        </w:rPr>
        <w:instrText>이를</w:instrText>
      </w:r>
      <w:r w:rsidR="00BB6527">
        <w:rPr>
          <w:color w:val="000000"/>
        </w:rPr>
        <w:instrText xml:space="preserve"> </w:instrText>
      </w:r>
      <w:r w:rsidR="00BB6527">
        <w:rPr>
          <w:rFonts w:ascii="Batang" w:eastAsia="Batang" w:hAnsi="Batang" w:cs="Batang" w:hint="eastAsia"/>
          <w:color w:val="000000"/>
        </w:rPr>
        <w:instrText>위하여</w:instrText>
      </w:r>
      <w:r w:rsidR="00BB6527">
        <w:rPr>
          <w:color w:val="000000"/>
        </w:rPr>
        <w:instrText xml:space="preserve"> </w:instrText>
      </w:r>
      <w:r w:rsidR="00BB6527">
        <w:rPr>
          <w:rFonts w:ascii="Batang" w:eastAsia="Batang" w:hAnsi="Batang" w:cs="Batang" w:hint="eastAsia"/>
          <w:color w:val="000000"/>
        </w:rPr>
        <w:instrText>파이썬언어와</w:instrText>
      </w:r>
      <w:r w:rsidR="00BB6527">
        <w:rPr>
          <w:color w:val="000000"/>
        </w:rPr>
        <w:instrText xml:space="preserve"> </w:instrText>
      </w:r>
      <w:r w:rsidR="00BB6527">
        <w:rPr>
          <w:rFonts w:ascii="Batang" w:eastAsia="Batang" w:hAnsi="Batang" w:cs="Batang" w:hint="eastAsia"/>
          <w:color w:val="000000"/>
        </w:rPr>
        <w:instrText>주피터</w:instrText>
      </w:r>
      <w:r w:rsidR="00BB6527">
        <w:rPr>
          <w:color w:val="000000"/>
        </w:rPr>
        <w:instrText xml:space="preserve"> </w:instrText>
      </w:r>
      <w:r w:rsidR="00BB6527">
        <w:rPr>
          <w:rFonts w:ascii="Batang" w:eastAsia="Batang" w:hAnsi="Batang" w:cs="Batang" w:hint="eastAsia"/>
          <w:color w:val="000000"/>
        </w:rPr>
        <w:instrText>노트북</w:instrText>
      </w:r>
      <w:r w:rsidR="00BB6527">
        <w:rPr>
          <w:color w:val="000000"/>
        </w:rPr>
        <w:instrText xml:space="preserve"> </w:instrText>
      </w:r>
      <w:r w:rsidR="00BB6527">
        <w:rPr>
          <w:rFonts w:ascii="Batang" w:eastAsia="Batang" w:hAnsi="Batang" w:cs="Batang" w:hint="eastAsia"/>
          <w:color w:val="000000"/>
        </w:rPr>
        <w:instrText>환경에서</w:instrText>
      </w:r>
      <w:r w:rsidR="00BB6527">
        <w:rPr>
          <w:color w:val="000000"/>
        </w:rPr>
        <w:instrText xml:space="preserve"> </w:instrText>
      </w:r>
      <w:r w:rsidR="00BB6527">
        <w:rPr>
          <w:rFonts w:ascii="Batang" w:eastAsia="Batang" w:hAnsi="Batang" w:cs="Batang" w:hint="eastAsia"/>
          <w:color w:val="000000"/>
        </w:rPr>
        <w:instrText>기계학습을</w:instrText>
      </w:r>
      <w:r w:rsidR="00BB6527">
        <w:rPr>
          <w:color w:val="000000"/>
        </w:rPr>
        <w:instrText xml:space="preserve"> </w:instrText>
      </w:r>
      <w:r w:rsidR="00BB6527">
        <w:rPr>
          <w:rFonts w:ascii="Batang" w:eastAsia="Batang" w:hAnsi="Batang" w:cs="Batang" w:hint="eastAsia"/>
          <w:color w:val="000000"/>
        </w:rPr>
        <w:instrText>수행하고</w:instrText>
      </w:r>
      <w:r w:rsidR="00BB6527">
        <w:rPr>
          <w:color w:val="000000"/>
        </w:rPr>
        <w:instrText xml:space="preserve"> </w:instrText>
      </w:r>
      <w:r w:rsidR="00BB6527">
        <w:rPr>
          <w:rFonts w:ascii="Batang" w:eastAsia="Batang" w:hAnsi="Batang" w:cs="Batang" w:hint="eastAsia"/>
          <w:color w:val="000000"/>
        </w:rPr>
        <w:instrText>분석하였다</w:instrText>
      </w:r>
      <w:r w:rsidR="00BB6527">
        <w:rPr>
          <w:color w:val="000000"/>
        </w:rPr>
        <w:instrText xml:space="preserve">. Recently, the massive growth in the scale of data has been observed as a major issue in the Big Data. Furthermore, the Big Data should be preprocessed for normalization to get a high performance of the Machine learning since the Big Data is also an input of Machine Learning. The performance varies by many factors such as the scope of the columns in a Big Data or the methods of normalization preprocessing. In this paper, the various types of normalization preprocessing methods and the scopes of the Big Data columns will be applied to the SVM(: Support Vector Machine) as a Machine Learning method to get the efficient environment for the normalization preprocessing. The Machine Learning experiment has been programmed in Python and the Jupyter Notebook.","container-title":"The Journal of the Korea institute of electronic communication sciences","DOI":"10.13067/JKIECS.2019.14.3.547","ISSN":"1975-8170","issue":"3","language":"eng","note":"publisher: Korea Institute of Electronic Communication Science","page":"547-552","source":"koreascience.kr","title":"Effectiveness of Normalization Pre-Processing of Big Data to the Machine Learning Performance","volume":"14","author":[{"family":"Jo","given":"Jun-Mo"}],"issued":{"date-parts":[["2019"]]},"citation-key":"joEffectivenessNormalizationPreProcessing2019"}},{"id":512,"uris":["http://zotero.org/groups/4584967/items/LPBPX4GU"],"itemData":{"id":512,"type":"article-journal","abstract":"Data normalization is one of the pre-processing approaches where the data is either scaled or transformed to make an equal contribution of each feature. The success of machine learning algorithms depends upon the quality of the data to obtain a generalized predictive model of the classification problem. The importance of data normalization for improving data quality and subsequently the performance of machine learning algorithms has been presented in many studies. But, the work lacks for the feature selection and feature weighting approaches, a current research trend in machine learning for improving performance. Therefore, this study aims to investigate the impact of fourteen data normalization methods on classification performance considering full feature set, feature selection, and feature weighting. In this paper, we also present a modified Ant Lion optimization that search feature subsets and the best feature weights along with the parameter of Nearest Neighbor Classifier. Experiments are performed on 21 publicly available real and synthetic datasets, and results are analyzed based on the accuracy, the percentage of feature reduced and runtime. It has been observed from the results that no single method outperforms others. Therefore, we have suggested a set of the best and the worst methods combining the normalization procedure and empirical analysis of results. The better performers are z-Score and Pareto Scaling for the full feature set and feature selection, and tanh and its variant for feature weighting. The worst performers are Mean Centered, Variable Stability Scaling and Median and Median Absolute Deviation methods along with un-normalized data.","container-title":"Applied Soft Computing","DOI":"10.1016/j.asoc.2019.105524","ISSN":"1568-4946","journalAbbreviation":"Applied Soft Computing","page":"105524","source":"ScienceDirect","title":"Investigating the impact of data normalization on classification performance","volume":"97","author":[{"family":"Singh","given":"Dalwinder"},{"family":"Singh","given":"Birmohan"}],"issued":{"date-parts":[["2020",12,1]]},"citation-key":"singhInvestigatingImpactData2020"}}],"schema":"https://github.com/citation-style-language/schema/raw/master/csl-citation.json"} </w:instrText>
      </w:r>
      <w:r w:rsidR="00B77DB1">
        <w:rPr>
          <w:color w:val="000000"/>
        </w:rPr>
        <w:fldChar w:fldCharType="separate"/>
      </w:r>
      <w:r w:rsidR="00250201" w:rsidRPr="00250201">
        <w:t>(Jo, 2019; Singh &amp; Singh, 2020)</w:t>
      </w:r>
      <w:r w:rsidR="00B77DB1">
        <w:rPr>
          <w:color w:val="000000"/>
        </w:rPr>
        <w:fldChar w:fldCharType="end"/>
      </w:r>
      <w:r w:rsidR="00F64003">
        <w:rPr>
          <w:color w:val="000000"/>
        </w:rPr>
        <w:t>.</w:t>
      </w:r>
      <w:r w:rsidR="00CD4544">
        <w:rPr>
          <w:color w:val="000000"/>
        </w:rPr>
        <w:t xml:space="preserve"> In our case, we chose to normalize to a range of 0 to </w:t>
      </w:r>
      <w:r w:rsidR="000A4CC3">
        <w:rPr>
          <w:color w:val="000000"/>
        </w:rPr>
        <w:t>1</w:t>
      </w:r>
      <w:r w:rsidR="00455913">
        <w:rPr>
          <w:color w:val="000000"/>
        </w:rPr>
        <w:t xml:space="preserve"> </w:t>
      </w:r>
      <w:r w:rsidR="00B502C4">
        <w:rPr>
          <w:color w:val="000000"/>
        </w:rPr>
        <w:fldChar w:fldCharType="begin"/>
      </w:r>
      <w:r w:rsidR="00BB6527">
        <w:rPr>
          <w:color w:val="000000"/>
        </w:rPr>
        <w:instrText xml:space="preserve"> ADDIN ZOTERO_ITEM CSL_CITATION {"citationID":"9Fe5vtlx","properties":{"formattedCitation":"(Muhammad Ali &amp; Faraj, Rezhna H., 2014)","plainCitation":"(Muhammad Ali &amp; Faraj, Rezhna H., 2014)","dontUpdate":true,"noteIndex":0},"citationItems":[{"id":513,"uris":["http://zotero.org/groups/4584967/items/YT6GPMJE"],"itemData":{"id":513,"type":"article-journal","container-title":"Machine Learning Technical Reports","page":"1-6","title":"Data Normalization and Standardization: A Technical Report","author":[{"family":"Muhammad Ali","given":"Peshawa J."},{"family":"Faraj, Rezhna H.","given":""}],"issued":{"date-parts":[["2014"]]},"citation-key":"muhammadaliDataNormalizationStandardization2014"}}],"schema":"https://github.com/citation-style-language/schema/raw/master/csl-citation.json"} </w:instrText>
      </w:r>
      <w:r w:rsidR="00B502C4">
        <w:rPr>
          <w:color w:val="000000"/>
        </w:rPr>
        <w:fldChar w:fldCharType="separate"/>
      </w:r>
      <w:r w:rsidR="001E0537" w:rsidRPr="001E0537">
        <w:t>(Ali &amp; Faraj, 2014)</w:t>
      </w:r>
      <w:r w:rsidR="00B502C4">
        <w:rPr>
          <w:color w:val="000000"/>
        </w:rPr>
        <w:fldChar w:fldCharType="end"/>
      </w:r>
      <w:r w:rsidR="00EA4513">
        <w:rPr>
          <w:color w:val="000000"/>
        </w:rPr>
        <w:t xml:space="preserve"> Normalizing to a range of 0 to 1 is accomplished </w:t>
      </w:r>
      <w:r w:rsidR="001E0267">
        <w:rPr>
          <w:color w:val="000000"/>
        </w:rPr>
        <w:t xml:space="preserve">using the </w:t>
      </w:r>
      <w:r w:rsidR="00C501FA">
        <w:rPr>
          <w:color w:val="000000"/>
        </w:rPr>
        <w:t>equation</w:t>
      </w:r>
    </w:p>
    <w:p w14:paraId="7AA93273" w14:textId="350B8E7B" w:rsidR="001E0267" w:rsidRPr="001127A5" w:rsidRDefault="00000000" w:rsidP="00455913">
      <w:pPr>
        <w:pStyle w:val="NormalWeb"/>
        <w:spacing w:before="0" w:beforeAutospacing="0" w:after="0" w:afterAutospacing="0" w:line="480" w:lineRule="auto"/>
        <w:jc w:val="center"/>
        <w:rPr>
          <w:color w:val="000000"/>
        </w:rPr>
      </w:pPr>
      <m:oMath>
        <m:sSub>
          <m:sSubPr>
            <m:ctrlPr>
              <w:rPr>
                <w:rFonts w:ascii="Cambria Math" w:hAnsi="Cambria Math"/>
                <w:i/>
                <w:color w:val="000000"/>
              </w:rPr>
            </m:ctrlPr>
          </m:sSubPr>
          <m:e>
            <m:r>
              <w:rPr>
                <w:rFonts w:ascii="Cambria Math" w:hAnsi="Cambria Math"/>
                <w:color w:val="000000"/>
              </w:rPr>
              <m:t>x</m:t>
            </m:r>
          </m:e>
          <m:sub>
            <m:r>
              <m:rPr>
                <m:nor/>
              </m:rPr>
              <w:rPr>
                <w:rFonts w:ascii="Cambria Math" w:hAnsi="Cambria Math"/>
                <w:color w:val="000000"/>
              </w:rPr>
              <m:t>norm</m:t>
            </m:r>
          </m:sub>
        </m:sSub>
        <m:r>
          <w:rPr>
            <w:rFonts w:ascii="Cambria Math" w:hAnsi="Cambria Math"/>
            <w:color w:val="000000"/>
          </w:rPr>
          <m:t>=</m:t>
        </m:r>
        <m:f>
          <m:fPr>
            <m:ctrlPr>
              <w:rPr>
                <w:rFonts w:ascii="Cambria Math" w:hAnsi="Cambria Math"/>
                <w:color w:val="000000"/>
              </w:rPr>
            </m:ctrlPr>
          </m:fPr>
          <m:num>
            <m:sSub>
              <m:sSubPr>
                <m:ctrlPr>
                  <w:rPr>
                    <w:rFonts w:ascii="Cambria Math" w:hAnsi="Cambria Math"/>
                    <w:i/>
                    <w:color w:val="000000"/>
                  </w:rPr>
                </m:ctrlPr>
              </m:sSubPr>
              <m:e>
                <m:r>
                  <w:rPr>
                    <w:rFonts w:ascii="Cambria Math" w:hAnsi="Cambria Math"/>
                    <w:color w:val="000000"/>
                  </w:rPr>
                  <m:t>x</m:t>
                </m:r>
              </m:e>
              <m:sub>
                <m:r>
                  <m:rPr>
                    <m:nor/>
                  </m:rPr>
                  <w:rPr>
                    <w:rFonts w:ascii="Cambria Math" w:hAnsi="Cambria Math"/>
                    <w:color w:val="000000"/>
                  </w:rPr>
                  <m:t>true</m:t>
                </m:r>
              </m:sub>
            </m:sSub>
            <m:r>
              <w:rPr>
                <w:rFonts w:ascii="Cambria Math" w:hAnsi="Cambria Math"/>
                <w:color w:val="000000"/>
              </w:rPr>
              <m:t>-</m:t>
            </m:r>
            <m:sSub>
              <m:sSubPr>
                <m:ctrlPr>
                  <w:rPr>
                    <w:rFonts w:ascii="Cambria Math" w:hAnsi="Cambria Math"/>
                    <w:i/>
                    <w:color w:val="000000"/>
                  </w:rPr>
                </m:ctrlPr>
              </m:sSubPr>
              <m:e>
                <m:r>
                  <w:rPr>
                    <w:rFonts w:ascii="Cambria Math" w:hAnsi="Cambria Math"/>
                    <w:color w:val="000000"/>
                  </w:rPr>
                  <m:t>x</m:t>
                </m:r>
              </m:e>
              <m:sub>
                <m:r>
                  <m:rPr>
                    <m:nor/>
                  </m:rPr>
                  <w:rPr>
                    <w:rFonts w:ascii="Cambria Math" w:hAnsi="Cambria Math"/>
                    <w:color w:val="000000"/>
                  </w:rPr>
                  <m:t>min</m:t>
                </m:r>
              </m:sub>
            </m:sSub>
            <m:ctrlPr>
              <w:rPr>
                <w:rFonts w:ascii="Cambria Math" w:hAnsi="Cambria Math"/>
                <w:i/>
                <w:color w:val="000000"/>
              </w:rPr>
            </m:ctrlPr>
          </m:num>
          <m:den>
            <m:sSub>
              <m:sSubPr>
                <m:ctrlPr>
                  <w:rPr>
                    <w:rFonts w:ascii="Cambria Math" w:hAnsi="Cambria Math"/>
                    <w:i/>
                    <w:color w:val="000000"/>
                  </w:rPr>
                </m:ctrlPr>
              </m:sSubPr>
              <m:e>
                <m:r>
                  <w:rPr>
                    <w:rFonts w:ascii="Cambria Math" w:hAnsi="Cambria Math"/>
                    <w:color w:val="000000"/>
                  </w:rPr>
                  <m:t>x</m:t>
                </m:r>
              </m:e>
              <m:sub>
                <m:r>
                  <m:rPr>
                    <m:nor/>
                  </m:rPr>
                  <w:rPr>
                    <w:rFonts w:ascii="Cambria Math" w:hAnsi="Cambria Math"/>
                    <w:color w:val="000000"/>
                  </w:rPr>
                  <m:t>max</m:t>
                </m:r>
              </m:sub>
            </m:sSub>
            <m:r>
              <w:rPr>
                <w:rFonts w:ascii="Cambria Math" w:hAnsi="Cambria Math"/>
                <w:color w:val="000000"/>
              </w:rPr>
              <m:t>-</m:t>
            </m:r>
            <m:sSub>
              <m:sSubPr>
                <m:ctrlPr>
                  <w:rPr>
                    <w:rFonts w:ascii="Cambria Math" w:hAnsi="Cambria Math"/>
                    <w:i/>
                    <w:color w:val="000000"/>
                  </w:rPr>
                </m:ctrlPr>
              </m:sSubPr>
              <m:e>
                <m:r>
                  <w:rPr>
                    <w:rFonts w:ascii="Cambria Math" w:hAnsi="Cambria Math"/>
                    <w:color w:val="000000"/>
                  </w:rPr>
                  <m:t>x</m:t>
                </m:r>
              </m:e>
              <m:sub>
                <m:r>
                  <m:rPr>
                    <m:nor/>
                  </m:rPr>
                  <w:rPr>
                    <w:rFonts w:ascii="Cambria Math" w:hAnsi="Cambria Math"/>
                    <w:color w:val="000000"/>
                  </w:rPr>
                  <m:t>min</m:t>
                </m:r>
              </m:sub>
            </m:sSub>
            <m:ctrlPr>
              <w:rPr>
                <w:rFonts w:ascii="Cambria Math" w:hAnsi="Cambria Math"/>
                <w:i/>
                <w:color w:val="000000"/>
              </w:rPr>
            </m:ctrlPr>
          </m:den>
        </m:f>
        <m:r>
          <w:rPr>
            <w:rFonts w:ascii="Cambria Math" w:hAnsi="Cambria Math"/>
            <w:color w:val="000000"/>
          </w:rPr>
          <m:t>.</m:t>
        </m:r>
      </m:oMath>
      <w:r w:rsidR="00455913">
        <w:rPr>
          <w:color w:val="000000"/>
        </w:rPr>
        <w:t xml:space="preserve">                                (Eq. </w:t>
      </w:r>
      <w:r w:rsidR="00154056">
        <w:rPr>
          <w:color w:val="000000"/>
        </w:rPr>
        <w:t>4</w:t>
      </w:r>
      <w:r w:rsidR="00455913">
        <w:rPr>
          <w:color w:val="000000"/>
        </w:rPr>
        <w:t>)</w:t>
      </w:r>
    </w:p>
    <w:p w14:paraId="08ED6542" w14:textId="1A3BA8BE" w:rsidR="001E50C9" w:rsidRPr="003F0759" w:rsidRDefault="004C6F37" w:rsidP="00582302">
      <w:pPr>
        <w:pStyle w:val="NormalWeb"/>
        <w:spacing w:before="0" w:beforeAutospacing="0" w:after="0" w:afterAutospacing="0" w:line="480" w:lineRule="auto"/>
        <w:rPr>
          <w:color w:val="000000"/>
        </w:rPr>
      </w:pPr>
      <w:r>
        <w:rPr>
          <w:color w:val="000000"/>
        </w:rPr>
        <w:tab/>
        <w:t xml:space="preserve">All </w:t>
      </w:r>
      <w:r w:rsidR="000C7223">
        <w:rPr>
          <w:color w:val="000000"/>
        </w:rPr>
        <w:t xml:space="preserve">continuous </w:t>
      </w:r>
      <w:r>
        <w:rPr>
          <w:color w:val="000000"/>
        </w:rPr>
        <w:t>data</w:t>
      </w:r>
      <w:r w:rsidR="00631690">
        <w:rPr>
          <w:color w:val="000000"/>
        </w:rPr>
        <w:t>, both</w:t>
      </w:r>
      <w:r w:rsidR="007470A5">
        <w:rPr>
          <w:color w:val="000000"/>
        </w:rPr>
        <w:t xml:space="preserve"> for</w:t>
      </w:r>
      <w:r w:rsidR="00631690">
        <w:rPr>
          <w:color w:val="000000"/>
        </w:rPr>
        <w:t xml:space="preserve"> inputs and training targets, </w:t>
      </w:r>
      <w:r w:rsidR="006E5969">
        <w:rPr>
          <w:color w:val="000000"/>
        </w:rPr>
        <w:t>are normalized in this way</w:t>
      </w:r>
      <w:r w:rsidR="00EA04AA">
        <w:rPr>
          <w:color w:val="000000"/>
        </w:rPr>
        <w:t xml:space="preserve"> before </w:t>
      </w:r>
      <w:r w:rsidR="00B1009C">
        <w:rPr>
          <w:color w:val="000000"/>
        </w:rPr>
        <w:t xml:space="preserve">being </w:t>
      </w:r>
      <w:r w:rsidR="00EA04AA">
        <w:rPr>
          <w:color w:val="000000"/>
        </w:rPr>
        <w:t>given to the model.</w:t>
      </w:r>
      <w:r w:rsidR="007470A5">
        <w:rPr>
          <w:color w:val="000000"/>
        </w:rPr>
        <w:t xml:space="preserve"> These consist of </w:t>
      </w:r>
      <w:r w:rsidR="00606080">
        <w:rPr>
          <w:color w:val="000000"/>
        </w:rPr>
        <w:t xml:space="preserve">FRP, </w:t>
      </w:r>
      <w:r w:rsidR="00B302AD">
        <w:rPr>
          <w:color w:val="000000"/>
        </w:rPr>
        <w:t xml:space="preserve">MERRA-2 AOD, satellite DB AOD, </w:t>
      </w:r>
      <w:r w:rsidR="007F7920" w:rsidRPr="002B1293">
        <w:t>P</w:t>
      </w:r>
      <w:r w:rsidR="007F7920" w:rsidRPr="002B1293">
        <w:rPr>
          <w:vertAlign w:val="subscript"/>
        </w:rPr>
        <w:t>surf</w:t>
      </w:r>
      <w:r w:rsidR="007F7920" w:rsidRPr="002B1293">
        <w:t>, P</w:t>
      </w:r>
      <w:r w:rsidR="007F7920" w:rsidRPr="002B1293">
        <w:rPr>
          <w:vertAlign w:val="subscript"/>
        </w:rPr>
        <w:t>msl</w:t>
      </w:r>
      <w:r w:rsidR="007F7920" w:rsidRPr="002B1293">
        <w:t>, T</w:t>
      </w:r>
      <w:r w:rsidR="007F7920" w:rsidRPr="002B1293">
        <w:rPr>
          <w:vertAlign w:val="subscript"/>
        </w:rPr>
        <w:t>surf</w:t>
      </w:r>
      <w:r w:rsidR="007F7920" w:rsidRPr="002B1293">
        <w:t>, T</w:t>
      </w:r>
      <w:r w:rsidR="007F7920" w:rsidRPr="002B1293">
        <w:softHyphen/>
      </w:r>
      <w:r w:rsidR="007F7920" w:rsidRPr="002B1293">
        <w:rPr>
          <w:vertAlign w:val="subscript"/>
        </w:rPr>
        <w:t>2m</w:t>
      </w:r>
      <w:r w:rsidR="007F7920" w:rsidRPr="002B1293">
        <w:t>, DWT</w:t>
      </w:r>
      <w:r w:rsidR="007F7920" w:rsidRPr="002B1293">
        <w:rPr>
          <w:vertAlign w:val="subscript"/>
        </w:rPr>
        <w:t>2m</w:t>
      </w:r>
      <w:r w:rsidR="007F7920" w:rsidRPr="002B1293">
        <w:t>, orography, RH</w:t>
      </w:r>
      <w:r w:rsidR="007F7920" w:rsidRPr="002B1293">
        <w:softHyphen/>
      </w:r>
      <w:r w:rsidR="007F7920" w:rsidRPr="002B1293">
        <w:rPr>
          <w:vertAlign w:val="subscript"/>
        </w:rPr>
        <w:t>2m</w:t>
      </w:r>
      <w:r w:rsidR="007F7920" w:rsidRPr="002B1293">
        <w:t>, U</w:t>
      </w:r>
      <w:r w:rsidR="007F7920" w:rsidRPr="002B1293">
        <w:rPr>
          <w:vertAlign w:val="subscript"/>
        </w:rPr>
        <w:t>10m</w:t>
      </w:r>
      <w:r w:rsidR="007F7920" w:rsidRPr="002B1293">
        <w:t>, V</w:t>
      </w:r>
      <w:r w:rsidR="007F7920" w:rsidRPr="002B1293">
        <w:rPr>
          <w:vertAlign w:val="subscript"/>
        </w:rPr>
        <w:t>10m</w:t>
      </w:r>
      <w:r w:rsidR="007F7920">
        <w:t xml:space="preserve">, </w:t>
      </w:r>
      <w:r w:rsidR="007F7920" w:rsidRPr="002B1293">
        <w:t xml:space="preserve">vegetation, </w:t>
      </w:r>
      <w:r w:rsidR="00371A0F">
        <w:t xml:space="preserve">and </w:t>
      </w:r>
      <w:r w:rsidR="007F7920" w:rsidRPr="002B1293">
        <w:t>PBLH</w:t>
      </w:r>
      <w:r w:rsidR="00371A0F">
        <w:t>.</w:t>
      </w:r>
      <w:r w:rsidR="00EA04AA">
        <w:rPr>
          <w:color w:val="000000"/>
        </w:rPr>
        <w:t xml:space="preserve"> For the AOD values, this occurs after the log transform</w:t>
      </w:r>
      <w:r w:rsidR="00D5360F">
        <w:rPr>
          <w:color w:val="000000"/>
        </w:rPr>
        <w:t>, using maximums and minimums of the log</w:t>
      </w:r>
      <w:r w:rsidR="00B529BB">
        <w:rPr>
          <w:color w:val="000000"/>
        </w:rPr>
        <w:t xml:space="preserve"> </w:t>
      </w:r>
      <w:r w:rsidR="000C7223">
        <w:rPr>
          <w:color w:val="000000"/>
        </w:rPr>
        <w:t>AOD values.</w:t>
      </w:r>
    </w:p>
    <w:p w14:paraId="051DF756" w14:textId="7750D240" w:rsidR="00601F10" w:rsidRDefault="00601F10" w:rsidP="0087740B">
      <w:pPr>
        <w:pStyle w:val="Heading3"/>
      </w:pPr>
      <w:bookmarkStart w:id="64" w:name="_Toc161431099"/>
      <w:r w:rsidRPr="00601F10">
        <w:t>3.</w:t>
      </w:r>
      <w:r w:rsidR="00CD3454">
        <w:t>3</w:t>
      </w:r>
      <w:r w:rsidRPr="00601F10">
        <w:t>.</w:t>
      </w:r>
      <w:r w:rsidR="00EF1DF1">
        <w:t>3</w:t>
      </w:r>
      <w:r w:rsidRPr="00601F10">
        <w:t xml:space="preserve"> One-Hot Encoding</w:t>
      </w:r>
      <w:bookmarkEnd w:id="64"/>
    </w:p>
    <w:p w14:paraId="1695F705" w14:textId="3BEBF34B" w:rsidR="0042077D" w:rsidRPr="00B43D46" w:rsidRDefault="001C212F" w:rsidP="00582302">
      <w:pPr>
        <w:pStyle w:val="NormalWeb"/>
        <w:spacing w:before="0" w:beforeAutospacing="0" w:after="0" w:afterAutospacing="0" w:line="480" w:lineRule="auto"/>
        <w:rPr>
          <w:color w:val="000000"/>
        </w:rPr>
      </w:pPr>
      <w:r>
        <w:rPr>
          <w:color w:val="000000"/>
        </w:rPr>
        <w:tab/>
        <w:t>The remaining variables</w:t>
      </w:r>
      <w:r w:rsidR="00AA37A6">
        <w:rPr>
          <w:color w:val="000000"/>
        </w:rPr>
        <w:t xml:space="preserve"> </w:t>
      </w:r>
      <w:r w:rsidR="00BF460C">
        <w:rPr>
          <w:color w:val="000000"/>
        </w:rPr>
        <w:t>(</w:t>
      </w:r>
      <w:r>
        <w:rPr>
          <w:color w:val="000000"/>
        </w:rPr>
        <w:t>i.e.</w:t>
      </w:r>
      <w:r w:rsidR="00BF460C">
        <w:rPr>
          <w:color w:val="000000"/>
        </w:rPr>
        <w:t>,</w:t>
      </w:r>
      <w:r>
        <w:rPr>
          <w:color w:val="000000"/>
        </w:rPr>
        <w:t xml:space="preserve"> </w:t>
      </w:r>
      <w:r w:rsidR="001D6E2A">
        <w:rPr>
          <w:color w:val="000000"/>
        </w:rPr>
        <w:t xml:space="preserve">smoke density, </w:t>
      </w:r>
      <w:r w:rsidR="005870D4">
        <w:rPr>
          <w:color w:val="000000"/>
        </w:rPr>
        <w:t xml:space="preserve">aerosol type, </w:t>
      </w:r>
      <w:r w:rsidR="00DD2928">
        <w:rPr>
          <w:color w:val="000000"/>
        </w:rPr>
        <w:t xml:space="preserve">and </w:t>
      </w:r>
      <w:r w:rsidR="005870D4">
        <w:rPr>
          <w:color w:val="000000"/>
        </w:rPr>
        <w:t>DB algorithm flag</w:t>
      </w:r>
      <w:r w:rsidR="00DD2928">
        <w:rPr>
          <w:color w:val="000000"/>
        </w:rPr>
        <w:t xml:space="preserve"> for land/ocean</w:t>
      </w:r>
      <w:r w:rsidR="00BF460C">
        <w:rPr>
          <w:color w:val="000000"/>
        </w:rPr>
        <w:t>)</w:t>
      </w:r>
      <w:r w:rsidR="00DD2928">
        <w:rPr>
          <w:color w:val="000000"/>
        </w:rPr>
        <w:t xml:space="preserve"> are categorical variables and </w:t>
      </w:r>
      <w:r w:rsidR="004B1067">
        <w:rPr>
          <w:color w:val="000000"/>
        </w:rPr>
        <w:t xml:space="preserve">cannot be meaningfully normalized. </w:t>
      </w:r>
      <w:r w:rsidR="00823A87">
        <w:rPr>
          <w:color w:val="000000"/>
        </w:rPr>
        <w:t>However, as these variables are all stored as integer values from a predefined set</w:t>
      </w:r>
      <w:r w:rsidR="00397D07">
        <w:rPr>
          <w:color w:val="000000"/>
        </w:rPr>
        <w:t xml:space="preserve"> (</w:t>
      </w:r>
      <w:r w:rsidR="00823A87">
        <w:rPr>
          <w:color w:val="000000"/>
        </w:rPr>
        <w:t>i.e.</w:t>
      </w:r>
      <w:r w:rsidR="00397D07">
        <w:rPr>
          <w:color w:val="000000"/>
        </w:rPr>
        <w:t>,</w:t>
      </w:r>
      <w:r w:rsidR="00823A87">
        <w:rPr>
          <w:color w:val="000000"/>
        </w:rPr>
        <w:t xml:space="preserve"> </w:t>
      </w:r>
      <w:r w:rsidR="007777DA">
        <w:rPr>
          <w:color w:val="000000"/>
        </w:rPr>
        <w:t>1, 2, and 3 for light, medium, and heavy smoke</w:t>
      </w:r>
      <w:r w:rsidR="00B1009C">
        <w:rPr>
          <w:color w:val="000000"/>
        </w:rPr>
        <w:t>, respectively</w:t>
      </w:r>
      <w:r w:rsidR="00397D07">
        <w:rPr>
          <w:color w:val="000000"/>
        </w:rPr>
        <w:t>)</w:t>
      </w:r>
      <w:r w:rsidR="00B1009C">
        <w:rPr>
          <w:color w:val="000000"/>
        </w:rPr>
        <w:t>,</w:t>
      </w:r>
      <w:r w:rsidR="00524630">
        <w:rPr>
          <w:color w:val="000000"/>
        </w:rPr>
        <w:t xml:space="preserve"> these </w:t>
      </w:r>
      <w:r w:rsidR="0000675D">
        <w:rPr>
          <w:color w:val="000000"/>
        </w:rPr>
        <w:t xml:space="preserve">assignments are arbitrary and do not make </w:t>
      </w:r>
      <w:r w:rsidR="00FA2DEB">
        <w:rPr>
          <w:color w:val="000000"/>
        </w:rPr>
        <w:t>much sense when interpreted numerically</w:t>
      </w:r>
      <w:r w:rsidR="00F06BC4">
        <w:rPr>
          <w:color w:val="000000"/>
        </w:rPr>
        <w:t xml:space="preserve"> (with the possible exception of smoke density</w:t>
      </w:r>
      <w:r w:rsidR="00D46067">
        <w:rPr>
          <w:color w:val="000000"/>
        </w:rPr>
        <w:t xml:space="preserve"> since there is a natural ordering to its values</w:t>
      </w:r>
      <w:r w:rsidR="00F06BC4">
        <w:rPr>
          <w:color w:val="000000"/>
        </w:rPr>
        <w:t>)</w:t>
      </w:r>
      <w:r w:rsidR="00823A87">
        <w:rPr>
          <w:color w:val="000000"/>
        </w:rPr>
        <w:t xml:space="preserve">. </w:t>
      </w:r>
      <w:r w:rsidR="004B1067">
        <w:rPr>
          <w:color w:val="000000"/>
        </w:rPr>
        <w:t>Instead, the classical approach to</w:t>
      </w:r>
      <w:r w:rsidR="00A9026C">
        <w:rPr>
          <w:color w:val="000000"/>
        </w:rPr>
        <w:t xml:space="preserve"> </w:t>
      </w:r>
      <w:r w:rsidR="002D6DBD">
        <w:rPr>
          <w:color w:val="000000"/>
        </w:rPr>
        <w:t>reformatting these variables for</w:t>
      </w:r>
      <w:r w:rsidR="00A00BD7">
        <w:rPr>
          <w:color w:val="000000"/>
        </w:rPr>
        <w:t xml:space="preserve"> a</w:t>
      </w:r>
      <w:r w:rsidR="002D6DBD">
        <w:rPr>
          <w:color w:val="000000"/>
        </w:rPr>
        <w:t xml:space="preserve"> </w:t>
      </w:r>
      <w:r w:rsidR="00397D07">
        <w:rPr>
          <w:color w:val="000000"/>
        </w:rPr>
        <w:t xml:space="preserve">more straightforward </w:t>
      </w:r>
      <w:r w:rsidR="002D6DBD">
        <w:rPr>
          <w:color w:val="000000"/>
        </w:rPr>
        <w:t xml:space="preserve">interpretation by the model is to </w:t>
      </w:r>
      <w:r w:rsidR="00AC42F9">
        <w:rPr>
          <w:color w:val="000000"/>
        </w:rPr>
        <w:t>use a one-hot encoding.</w:t>
      </w:r>
      <w:r w:rsidR="00D46067">
        <w:rPr>
          <w:color w:val="000000"/>
        </w:rPr>
        <w:t xml:space="preserve"> This</w:t>
      </w:r>
      <w:r w:rsidR="00956C5C">
        <w:rPr>
          <w:color w:val="000000"/>
        </w:rPr>
        <w:t xml:space="preserve"> works by expanding </w:t>
      </w:r>
      <w:r w:rsidR="003923C7">
        <w:rPr>
          <w:color w:val="000000"/>
        </w:rPr>
        <w:t>a categorical variable with N categories into a</w:t>
      </w:r>
      <w:r w:rsidR="002F1B4B">
        <w:rPr>
          <w:color w:val="000000"/>
        </w:rPr>
        <w:t>n</w:t>
      </w:r>
      <w:r w:rsidR="003923C7">
        <w:rPr>
          <w:color w:val="000000"/>
        </w:rPr>
        <w:t xml:space="preserve"> </w:t>
      </w:r>
      <w:r w:rsidR="000C1B17">
        <w:rPr>
          <w:color w:val="000000"/>
        </w:rPr>
        <w:t xml:space="preserve">N-length vector containing only zeros </w:t>
      </w:r>
      <w:r w:rsidR="000C1B17">
        <w:rPr>
          <w:color w:val="000000"/>
        </w:rPr>
        <w:lastRenderedPageBreak/>
        <w:t xml:space="preserve">except at the </w:t>
      </w:r>
      <w:r w:rsidR="008E3BAA">
        <w:rPr>
          <w:color w:val="000000"/>
        </w:rPr>
        <w:t xml:space="preserve">location associated with the value for </w:t>
      </w:r>
      <w:r w:rsidR="00931F3E">
        <w:rPr>
          <w:color w:val="000000"/>
        </w:rPr>
        <w:t>the variable.</w:t>
      </w:r>
      <w:r w:rsidR="0042077D">
        <w:rPr>
          <w:color w:val="000000"/>
        </w:rPr>
        <w:t xml:space="preserve"> </w:t>
      </w:r>
      <w:r w:rsidR="00A01FF4">
        <w:rPr>
          <w:color w:val="000000"/>
        </w:rPr>
        <w:t xml:space="preserve">If we have a variable </w:t>
      </w:r>
      <m:oMath>
        <m:r>
          <w:rPr>
            <w:rFonts w:ascii="Cambria Math" w:hAnsi="Cambria Math"/>
            <w:color w:val="000000"/>
          </w:rPr>
          <m:t>x</m:t>
        </m:r>
      </m:oMath>
      <w:r w:rsidR="00CD3108">
        <w:rPr>
          <w:color w:val="000000"/>
        </w:rPr>
        <w:t xml:space="preserve"> which </w:t>
      </w:r>
      <w:r w:rsidR="00A27F44">
        <w:rPr>
          <w:color w:val="000000"/>
        </w:rPr>
        <w:t xml:space="preserve">is of class </w:t>
      </w:r>
      <m:oMath>
        <m:sSub>
          <m:sSubPr>
            <m:ctrlPr>
              <w:rPr>
                <w:rFonts w:ascii="Cambria Math" w:hAnsi="Cambria Math"/>
                <w:i/>
                <w:color w:val="000000"/>
              </w:rPr>
            </m:ctrlPr>
          </m:sSubPr>
          <m:e>
            <m:r>
              <w:rPr>
                <w:rFonts w:ascii="Cambria Math" w:hAnsi="Cambria Math"/>
                <w:color w:val="000000"/>
              </w:rPr>
              <m:t>c</m:t>
            </m:r>
          </m:e>
          <m:sub>
            <m:r>
              <w:rPr>
                <w:rFonts w:ascii="Cambria Math" w:hAnsi="Cambria Math"/>
                <w:color w:val="000000"/>
              </w:rPr>
              <m:t>i</m:t>
            </m:r>
          </m:sub>
        </m:sSub>
      </m:oMath>
      <w:r w:rsidR="00A27F44">
        <w:rPr>
          <w:color w:val="000000"/>
        </w:rPr>
        <w:t xml:space="preserve"> out of </w:t>
      </w:r>
      <m:oMath>
        <m:sSub>
          <m:sSubPr>
            <m:ctrlPr>
              <w:rPr>
                <w:rFonts w:ascii="Cambria Math" w:hAnsi="Cambria Math"/>
                <w:i/>
                <w:color w:val="000000"/>
              </w:rPr>
            </m:ctrlPr>
          </m:sSubPr>
          <m:e>
            <m:r>
              <w:rPr>
                <w:rFonts w:ascii="Cambria Math" w:hAnsi="Cambria Math"/>
                <w:color w:val="000000"/>
              </w:rPr>
              <m:t>c</m:t>
            </m:r>
          </m:e>
          <m:sub>
            <m:r>
              <w:rPr>
                <w:rFonts w:ascii="Cambria Math" w:hAnsi="Cambria Math"/>
                <w:color w:val="000000"/>
              </w:rPr>
              <m:t>1</m:t>
            </m:r>
          </m:sub>
        </m:sSub>
        <m:r>
          <m:rPr>
            <m:sty m:val="p"/>
          </m:rPr>
          <w:rPr>
            <w:rFonts w:ascii="Cambria Math" w:hAnsi="Cambria Math"/>
            <w:color w:val="000000"/>
          </w:rPr>
          <m:t>…</m:t>
        </m:r>
        <m:sSub>
          <m:sSubPr>
            <m:ctrlPr>
              <w:rPr>
                <w:rFonts w:ascii="Cambria Math" w:hAnsi="Cambria Math"/>
                <w:i/>
                <w:color w:val="000000"/>
              </w:rPr>
            </m:ctrlPr>
          </m:sSubPr>
          <m:e>
            <m:r>
              <w:rPr>
                <w:rFonts w:ascii="Cambria Math" w:hAnsi="Cambria Math"/>
                <w:color w:val="000000"/>
              </w:rPr>
              <m:t>c</m:t>
            </m:r>
            <m:ctrlPr>
              <w:rPr>
                <w:rFonts w:ascii="Cambria Math" w:hAnsi="Cambria Math"/>
                <w:color w:val="000000"/>
              </w:rPr>
            </m:ctrlPr>
          </m:e>
          <m:sub>
            <m:r>
              <w:rPr>
                <w:rFonts w:ascii="Cambria Math" w:hAnsi="Cambria Math"/>
                <w:color w:val="000000"/>
              </w:rPr>
              <m:t>n</m:t>
            </m:r>
          </m:sub>
        </m:sSub>
      </m:oMath>
      <w:r w:rsidR="000A47C8">
        <w:rPr>
          <w:color w:val="000000"/>
        </w:rPr>
        <w:t xml:space="preserve"> </w:t>
      </w:r>
      <w:r w:rsidR="002F1B4B">
        <w:rPr>
          <w:color w:val="000000"/>
        </w:rPr>
        <w:t>classes,</w:t>
      </w:r>
      <w:r w:rsidR="00CD3108">
        <w:rPr>
          <w:color w:val="000000"/>
        </w:rPr>
        <w:t xml:space="preserve"> t</w:t>
      </w:r>
      <w:r w:rsidR="0042077D">
        <w:rPr>
          <w:color w:val="000000"/>
        </w:rPr>
        <w:t>his is formalized by</w:t>
      </w:r>
      <w:r w:rsidR="008314C1">
        <w:rPr>
          <w:color w:val="000000"/>
        </w:rPr>
        <w:t xml:space="preserve"> a one-hot vector </w:t>
      </w:r>
    </w:p>
    <w:p w14:paraId="194B711D" w14:textId="393C162E" w:rsidR="0042077D" w:rsidRPr="005709A6" w:rsidRDefault="00000000" w:rsidP="0008666B">
      <w:pPr>
        <w:pStyle w:val="NormalWeb"/>
        <w:spacing w:before="0" w:beforeAutospacing="0" w:after="0" w:afterAutospacing="0" w:line="480" w:lineRule="auto"/>
        <w:jc w:val="center"/>
        <w:rPr>
          <w:color w:val="000000"/>
        </w:rPr>
      </w:pPr>
      <m:oMath>
        <m:sSub>
          <m:sSubPr>
            <m:ctrlPr>
              <w:rPr>
                <w:rFonts w:ascii="Cambria Math" w:hAnsi="Cambria Math"/>
                <w:i/>
                <w:color w:val="000000"/>
              </w:rPr>
            </m:ctrlPr>
          </m:sSubPr>
          <m:e>
            <m:r>
              <w:rPr>
                <w:rFonts w:ascii="Cambria Math" w:hAnsi="Cambria Math"/>
                <w:color w:val="000000"/>
              </w:rPr>
              <m:t>a</m:t>
            </m:r>
          </m:e>
          <m:sub>
            <m:r>
              <w:rPr>
                <w:rFonts w:ascii="Cambria Math" w:hAnsi="Cambria Math"/>
                <w:color w:val="000000"/>
              </w:rPr>
              <m:t>x</m:t>
            </m:r>
          </m:sub>
        </m:sSub>
        <m:r>
          <w:rPr>
            <w:rFonts w:ascii="Cambria Math" w:hAnsi="Cambria Math"/>
            <w:color w:val="000000"/>
          </w:rPr>
          <m:t>=</m:t>
        </m:r>
        <m:d>
          <m:dPr>
            <m:begChr m:val="⟨"/>
            <m:endChr m:val="⟩"/>
            <m:ctrlPr>
              <w:rPr>
                <w:rFonts w:ascii="Cambria Math" w:hAnsi="Cambria Math"/>
                <w:color w:val="000000"/>
              </w:rPr>
            </m:ctrlPr>
          </m:dPr>
          <m:e>
            <m:r>
              <w:rPr>
                <w:rFonts w:ascii="Cambria Math" w:hAnsi="Cambria Math"/>
                <w:color w:val="000000"/>
              </w:rPr>
              <m:t>0,0,</m:t>
            </m:r>
            <m:r>
              <m:rPr>
                <m:sty m:val="p"/>
              </m:rPr>
              <w:rPr>
                <w:rFonts w:ascii="Cambria Math" w:hAnsi="Cambria Math"/>
                <w:color w:val="000000"/>
              </w:rPr>
              <m:t>…</m:t>
            </m:r>
            <m:r>
              <w:rPr>
                <w:rFonts w:ascii="Cambria Math" w:hAnsi="Cambria Math"/>
                <w:color w:val="000000"/>
              </w:rPr>
              <m:t>1,</m:t>
            </m:r>
            <m:r>
              <m:rPr>
                <m:sty m:val="p"/>
              </m:rPr>
              <w:rPr>
                <w:rFonts w:ascii="Cambria Math" w:hAnsi="Cambria Math"/>
                <w:color w:val="000000"/>
              </w:rPr>
              <m:t>…,</m:t>
            </m:r>
            <m:r>
              <w:rPr>
                <w:rFonts w:ascii="Cambria Math" w:hAnsi="Cambria Math"/>
                <w:color w:val="000000"/>
              </w:rPr>
              <m:t>0</m:t>
            </m:r>
          </m:e>
        </m:d>
      </m:oMath>
      <w:r w:rsidR="0008666B">
        <w:rPr>
          <w:color w:val="000000"/>
        </w:rPr>
        <w:t xml:space="preserve">                                (Eq. </w:t>
      </w:r>
      <w:r w:rsidR="00154056">
        <w:rPr>
          <w:color w:val="000000"/>
        </w:rPr>
        <w:t>5</w:t>
      </w:r>
      <w:r w:rsidR="0008666B">
        <w:rPr>
          <w:color w:val="000000"/>
        </w:rPr>
        <w:t>)</w:t>
      </w:r>
    </w:p>
    <w:p w14:paraId="2AE19C83" w14:textId="59233A75" w:rsidR="0042077D" w:rsidRPr="001B4828" w:rsidRDefault="005E55CD" w:rsidP="00582302">
      <w:pPr>
        <w:pStyle w:val="NormalWeb"/>
        <w:spacing w:before="0" w:beforeAutospacing="0" w:after="0" w:afterAutospacing="0" w:line="480" w:lineRule="auto"/>
        <w:rPr>
          <w:color w:val="000000"/>
        </w:rPr>
      </w:pPr>
      <w:r>
        <w:rPr>
          <w:color w:val="000000"/>
        </w:rPr>
        <w:t xml:space="preserve">Where </w:t>
      </w:r>
      <m:oMath>
        <m:sSub>
          <m:sSubPr>
            <m:ctrlPr>
              <w:rPr>
                <w:rFonts w:ascii="Cambria Math" w:hAnsi="Cambria Math"/>
                <w:i/>
                <w:color w:val="000000"/>
              </w:rPr>
            </m:ctrlPr>
          </m:sSubPr>
          <m:e>
            <m:r>
              <w:rPr>
                <w:rFonts w:ascii="Cambria Math" w:hAnsi="Cambria Math"/>
                <w:color w:val="000000"/>
              </w:rPr>
              <m:t>a</m:t>
            </m:r>
          </m:e>
          <m:sub>
            <m:r>
              <w:rPr>
                <w:rFonts w:ascii="Cambria Math" w:hAnsi="Cambria Math"/>
                <w:color w:val="000000"/>
              </w:rPr>
              <m:t>x,i</m:t>
            </m:r>
          </m:sub>
        </m:sSub>
        <m:r>
          <w:rPr>
            <w:rFonts w:ascii="Cambria Math" w:hAnsi="Cambria Math"/>
            <w:color w:val="000000"/>
          </w:rPr>
          <m:t>=1</m:t>
        </m:r>
      </m:oMath>
      <w:r w:rsidR="00713202">
        <w:rPr>
          <w:color w:val="000000"/>
        </w:rPr>
        <w:t xml:space="preserve"> and </w:t>
      </w:r>
      <m:oMath>
        <m:sSub>
          <m:sSubPr>
            <m:ctrlPr>
              <w:rPr>
                <w:rFonts w:ascii="Cambria Math" w:hAnsi="Cambria Math"/>
                <w:i/>
                <w:color w:val="000000"/>
              </w:rPr>
            </m:ctrlPr>
          </m:sSubPr>
          <m:e>
            <m:r>
              <w:rPr>
                <w:rFonts w:ascii="Cambria Math" w:hAnsi="Cambria Math"/>
                <w:color w:val="000000"/>
              </w:rPr>
              <m:t>a</m:t>
            </m:r>
          </m:e>
          <m:sub>
            <m:r>
              <w:rPr>
                <w:rFonts w:ascii="Cambria Math" w:hAnsi="Cambria Math"/>
                <w:color w:val="000000"/>
              </w:rPr>
              <m:t>x,j</m:t>
            </m:r>
            <m:r>
              <m:rPr>
                <m:sty m:val="p"/>
              </m:rPr>
              <w:rPr>
                <w:rFonts w:ascii="Cambria Math" w:hAnsi="Cambria Math"/>
                <w:color w:val="000000"/>
              </w:rPr>
              <m:t>≠</m:t>
            </m:r>
            <m:r>
              <w:rPr>
                <w:rFonts w:ascii="Cambria Math" w:hAnsi="Cambria Math"/>
                <w:color w:val="000000"/>
              </w:rPr>
              <m:t>i</m:t>
            </m:r>
          </m:sub>
        </m:sSub>
        <m:r>
          <w:rPr>
            <w:rFonts w:ascii="Cambria Math" w:hAnsi="Cambria Math"/>
            <w:color w:val="000000"/>
          </w:rPr>
          <m:t>=0</m:t>
        </m:r>
      </m:oMath>
      <w:r w:rsidR="00713202">
        <w:rPr>
          <w:color w:val="000000"/>
        </w:rPr>
        <w:t>.</w:t>
      </w:r>
    </w:p>
    <w:p w14:paraId="089187EF" w14:textId="0C8CBF02" w:rsidR="00CE26E3" w:rsidRDefault="00DE0794" w:rsidP="001E0917">
      <w:pPr>
        <w:pStyle w:val="NormalWeb"/>
        <w:spacing w:before="0" w:beforeAutospacing="0" w:after="0" w:afterAutospacing="0" w:line="480" w:lineRule="auto"/>
        <w:rPr>
          <w:color w:val="000000"/>
        </w:rPr>
      </w:pPr>
      <w:r>
        <w:rPr>
          <w:color w:val="000000"/>
        </w:rPr>
        <w:t xml:space="preserve">For example, </w:t>
      </w:r>
      <w:r w:rsidR="00EC4DD5">
        <w:rPr>
          <w:color w:val="000000"/>
        </w:rPr>
        <w:t xml:space="preserve">if we have a particular smoke density reading of heavy, and </w:t>
      </w:r>
      <w:r w:rsidR="001B188D">
        <w:rPr>
          <w:color w:val="000000"/>
        </w:rPr>
        <w:t>our one-hot encoding assignment</w:t>
      </w:r>
      <w:r w:rsidR="00AD2C6A">
        <w:rPr>
          <w:color w:val="000000"/>
        </w:rPr>
        <w:t xml:space="preserve"> is </w:t>
      </w:r>
      <w:r w:rsidR="00BF693D">
        <w:rPr>
          <w:color w:val="000000"/>
        </w:rPr>
        <w:t>none, light, medium, and heavy from left to right, then the one-hot vector is</w:t>
      </w:r>
      <w:r w:rsidR="00443254">
        <w:rPr>
          <w:color w:val="000000"/>
        </w:rPr>
        <w:t xml:space="preserve"> </w:t>
      </w:r>
      <m:oMath>
        <m:sSub>
          <m:sSubPr>
            <m:ctrlPr>
              <w:rPr>
                <w:rFonts w:ascii="Cambria Math" w:hAnsi="Cambria Math"/>
                <w:i/>
                <w:color w:val="000000"/>
              </w:rPr>
            </m:ctrlPr>
          </m:sSubPr>
          <m:e>
            <m:r>
              <w:rPr>
                <w:rFonts w:ascii="Cambria Math" w:hAnsi="Cambria Math"/>
                <w:color w:val="000000"/>
              </w:rPr>
              <m:t>a</m:t>
            </m:r>
          </m:e>
          <m:sub>
            <m:r>
              <w:rPr>
                <w:rFonts w:ascii="Cambria Math" w:hAnsi="Cambria Math"/>
                <w:color w:val="000000"/>
              </w:rPr>
              <m:t>x</m:t>
            </m:r>
          </m:sub>
        </m:sSub>
        <m:r>
          <w:rPr>
            <w:rFonts w:ascii="Cambria Math" w:hAnsi="Cambria Math"/>
            <w:color w:val="000000"/>
          </w:rPr>
          <m:t>=</m:t>
        </m:r>
        <m:d>
          <m:dPr>
            <m:begChr m:val="⟨"/>
            <m:endChr m:val="⟩"/>
            <m:ctrlPr>
              <w:rPr>
                <w:rFonts w:ascii="Cambria Math" w:hAnsi="Cambria Math"/>
                <w:color w:val="000000"/>
              </w:rPr>
            </m:ctrlPr>
          </m:dPr>
          <m:e>
            <m:r>
              <w:rPr>
                <w:rFonts w:ascii="Cambria Math" w:hAnsi="Cambria Math"/>
                <w:color w:val="000000"/>
              </w:rPr>
              <m:t>0,0,0,1</m:t>
            </m:r>
          </m:e>
        </m:d>
      </m:oMath>
      <w:r w:rsidR="00443254">
        <w:rPr>
          <w:color w:val="000000"/>
        </w:rPr>
        <w:t>.</w:t>
      </w:r>
      <w:r w:rsidR="002110CD">
        <w:rPr>
          <w:color w:val="000000"/>
        </w:rPr>
        <w:t xml:space="preserve"> This method </w:t>
      </w:r>
      <w:r w:rsidR="00A00BD7">
        <w:rPr>
          <w:color w:val="000000"/>
        </w:rPr>
        <w:t xml:space="preserve">benefits </w:t>
      </w:r>
      <w:r w:rsidR="004026DD">
        <w:rPr>
          <w:color w:val="000000"/>
        </w:rPr>
        <w:t xml:space="preserve">neural networks because it </w:t>
      </w:r>
      <w:r w:rsidR="00744752">
        <w:rPr>
          <w:color w:val="000000"/>
        </w:rPr>
        <w:t xml:space="preserve">directly </w:t>
      </w:r>
      <w:r w:rsidR="004026DD">
        <w:rPr>
          <w:color w:val="000000"/>
        </w:rPr>
        <w:t xml:space="preserve">presents the view that certain properties are </w:t>
      </w:r>
      <w:r w:rsidR="00744752">
        <w:rPr>
          <w:color w:val="000000"/>
        </w:rPr>
        <w:t>“</w:t>
      </w:r>
      <w:r w:rsidR="004026DD">
        <w:rPr>
          <w:color w:val="000000"/>
        </w:rPr>
        <w:t xml:space="preserve">switched </w:t>
      </w:r>
      <w:r w:rsidR="00744752">
        <w:rPr>
          <w:color w:val="000000"/>
        </w:rPr>
        <w:t>on or off” instead of forcing the model to learn these propertie</w:t>
      </w:r>
      <w:r w:rsidR="00410112">
        <w:rPr>
          <w:color w:val="000000"/>
        </w:rPr>
        <w:t xml:space="preserve">s. This is particularly true for variables like </w:t>
      </w:r>
      <w:r w:rsidR="00D46859">
        <w:rPr>
          <w:color w:val="000000"/>
        </w:rPr>
        <w:t>aerosol type or algorithm flag</w:t>
      </w:r>
      <w:r w:rsidR="000C568E">
        <w:rPr>
          <w:color w:val="000000"/>
        </w:rPr>
        <w:t>, which do not have any natural ordering</w:t>
      </w:r>
      <w:r w:rsidR="00C4040D">
        <w:rPr>
          <w:color w:val="000000"/>
        </w:rPr>
        <w:t>.</w:t>
      </w:r>
    </w:p>
    <w:p w14:paraId="26FA4528" w14:textId="0F11D202" w:rsidR="00CE26E3" w:rsidRPr="00FF5617" w:rsidRDefault="00CE26E3" w:rsidP="0087740B">
      <w:pPr>
        <w:pStyle w:val="Heading3"/>
      </w:pPr>
      <w:bookmarkStart w:id="65" w:name="_Toc161431100"/>
      <w:r w:rsidRPr="00FF5617">
        <w:t>3.</w:t>
      </w:r>
      <w:r w:rsidR="00CD3454">
        <w:t>3</w:t>
      </w:r>
      <w:r w:rsidRPr="00FF5617">
        <w:t>.</w:t>
      </w:r>
      <w:r w:rsidR="00FF5617">
        <w:t>4</w:t>
      </w:r>
      <w:r w:rsidR="00FF5617" w:rsidRPr="00FF5617">
        <w:t xml:space="preserve"> </w:t>
      </w:r>
      <w:r w:rsidR="00880CCD">
        <w:t>Missing Values</w:t>
      </w:r>
      <w:bookmarkEnd w:id="65"/>
    </w:p>
    <w:p w14:paraId="5ABFF3DB" w14:textId="4002D20C" w:rsidR="00FF5617" w:rsidRPr="002D3A50" w:rsidRDefault="00FF5617" w:rsidP="00582302">
      <w:pPr>
        <w:pStyle w:val="NormalWeb"/>
        <w:spacing w:before="0" w:beforeAutospacing="0" w:after="0" w:afterAutospacing="0" w:line="480" w:lineRule="auto"/>
        <w:rPr>
          <w:color w:val="000000"/>
        </w:rPr>
      </w:pPr>
      <w:r w:rsidRPr="00FF5617">
        <w:rPr>
          <w:color w:val="000000"/>
        </w:rPr>
        <w:tab/>
        <w:t>All NaNs</w:t>
      </w:r>
      <w:r w:rsidR="00645768">
        <w:rPr>
          <w:color w:val="000000"/>
        </w:rPr>
        <w:t xml:space="preserve"> </w:t>
      </w:r>
      <w:r w:rsidRPr="00FF5617">
        <w:rPr>
          <w:color w:val="000000"/>
        </w:rPr>
        <w:t xml:space="preserve">in the data are </w:t>
      </w:r>
      <w:r>
        <w:rPr>
          <w:color w:val="000000"/>
        </w:rPr>
        <w:t xml:space="preserve">converted to zeros </w:t>
      </w:r>
      <w:r w:rsidR="00880CCD">
        <w:rPr>
          <w:color w:val="000000"/>
        </w:rPr>
        <w:t xml:space="preserve">before getting fed into the model. This is a common </w:t>
      </w:r>
      <w:r w:rsidR="00D62E04">
        <w:rPr>
          <w:color w:val="000000"/>
        </w:rPr>
        <w:t xml:space="preserve">solution for </w:t>
      </w:r>
      <w:r w:rsidR="00880CCD">
        <w:rPr>
          <w:color w:val="000000"/>
        </w:rPr>
        <w:t xml:space="preserve">dealing with missing values in deep learning, where the model </w:t>
      </w:r>
      <w:r w:rsidR="005714AB">
        <w:rPr>
          <w:color w:val="000000"/>
        </w:rPr>
        <w:t xml:space="preserve">is expected </w:t>
      </w:r>
      <w:r w:rsidR="00406728">
        <w:rPr>
          <w:color w:val="000000"/>
        </w:rPr>
        <w:t xml:space="preserve">to </w:t>
      </w:r>
      <w:r w:rsidR="005714AB">
        <w:rPr>
          <w:color w:val="000000"/>
        </w:rPr>
        <w:t xml:space="preserve"> extract </w:t>
      </w:r>
      <w:r w:rsidR="00D279B7">
        <w:rPr>
          <w:color w:val="000000"/>
        </w:rPr>
        <w:t>useful features from noisy and lossy data sources.</w:t>
      </w:r>
    </w:p>
    <w:p w14:paraId="6E12AE77" w14:textId="20F523BF" w:rsidR="00C4040D" w:rsidRDefault="00601F10" w:rsidP="00E65F65">
      <w:pPr>
        <w:pStyle w:val="Heading3"/>
      </w:pPr>
      <w:bookmarkStart w:id="66" w:name="_Toc161431101"/>
      <w:r w:rsidRPr="00601F10">
        <w:t>3.</w:t>
      </w:r>
      <w:r w:rsidR="00CD3454">
        <w:t>3</w:t>
      </w:r>
      <w:r w:rsidRPr="00601F10">
        <w:t>.</w:t>
      </w:r>
      <w:r w:rsidR="00FF5617">
        <w:t>5</w:t>
      </w:r>
      <w:r w:rsidRPr="00601F10">
        <w:t xml:space="preserve"> MERRA-2 Augmentation</w:t>
      </w:r>
      <w:bookmarkEnd w:id="66"/>
    </w:p>
    <w:p w14:paraId="78F3D224" w14:textId="03D4FAA6" w:rsidR="00AF26EE" w:rsidRDefault="00C4040D" w:rsidP="00582302">
      <w:pPr>
        <w:pStyle w:val="NormalWeb"/>
        <w:spacing w:before="0" w:beforeAutospacing="0" w:after="0" w:afterAutospacing="0" w:line="480" w:lineRule="auto"/>
      </w:pPr>
      <w:r>
        <w:rPr>
          <w:color w:val="000000"/>
        </w:rPr>
        <w:tab/>
      </w:r>
      <w:r w:rsidR="00AF26EE">
        <w:rPr>
          <w:color w:val="000000"/>
        </w:rPr>
        <w:t xml:space="preserve">When training the model using purely </w:t>
      </w:r>
      <w:r w:rsidR="00EE08A8">
        <w:rPr>
          <w:color w:val="000000"/>
        </w:rPr>
        <w:t>DB retrievals</w:t>
      </w:r>
      <w:r w:rsidR="00AF26EE">
        <w:rPr>
          <w:color w:val="000000"/>
        </w:rPr>
        <w:t xml:space="preserve">, it can be noted from the resulting predictions that most (high-AOD) artifacts occur in areas that do not often get </w:t>
      </w:r>
      <w:r w:rsidR="0035785F">
        <w:rPr>
          <w:color w:val="000000"/>
        </w:rPr>
        <w:t>DB</w:t>
      </w:r>
      <w:r w:rsidR="00AF26EE">
        <w:rPr>
          <w:color w:val="000000"/>
        </w:rPr>
        <w:t xml:space="preserve"> retrievals</w:t>
      </w:r>
      <w:r w:rsidR="00EE08A8">
        <w:rPr>
          <w:color w:val="000000"/>
        </w:rPr>
        <w:t xml:space="preserve"> due to cloud cover or </w:t>
      </w:r>
      <w:r w:rsidR="00BB68D3">
        <w:rPr>
          <w:color w:val="000000"/>
        </w:rPr>
        <w:t>bright surfaces</w:t>
      </w:r>
      <w:r w:rsidR="00AF26EE">
        <w:rPr>
          <w:color w:val="000000"/>
        </w:rPr>
        <w:t xml:space="preserve">. </w:t>
      </w:r>
      <w:r w:rsidR="00D0217A">
        <w:rPr>
          <w:color w:val="000000"/>
        </w:rPr>
        <w:t>An example of this is shown</w:t>
      </w:r>
      <w:r w:rsidR="00AF26EE">
        <w:rPr>
          <w:color w:val="000000"/>
        </w:rPr>
        <w:t xml:space="preserve"> </w:t>
      </w:r>
      <w:r w:rsidR="00BB68D3">
        <w:rPr>
          <w:color w:val="000000"/>
        </w:rPr>
        <w:t>in</w:t>
      </w:r>
      <w:r w:rsidR="006500A3">
        <w:rPr>
          <w:color w:val="000000"/>
        </w:rPr>
        <w:t xml:space="preserve"> Figure 1</w:t>
      </w:r>
      <w:r w:rsidR="0033189E">
        <w:rPr>
          <w:color w:val="000000"/>
        </w:rPr>
        <w:t>0</w:t>
      </w:r>
      <w:r w:rsidR="00D0217A">
        <w:rPr>
          <w:color w:val="000000"/>
        </w:rPr>
        <w:t>,</w:t>
      </w:r>
      <w:r w:rsidR="00AF2796">
        <w:rPr>
          <w:color w:val="000000"/>
        </w:rPr>
        <w:t xml:space="preserve"> </w:t>
      </w:r>
      <w:r w:rsidR="00D0217A">
        <w:rPr>
          <w:color w:val="000000"/>
        </w:rPr>
        <w:t>where the model</w:t>
      </w:r>
      <w:r w:rsidR="009C1C8F">
        <w:rPr>
          <w:color w:val="000000"/>
        </w:rPr>
        <w:t xml:space="preserve"> </w:t>
      </w:r>
      <w:r w:rsidR="006518FC">
        <w:rPr>
          <w:color w:val="000000"/>
        </w:rPr>
        <w:t>estimated unrealistically</w:t>
      </w:r>
      <w:r w:rsidR="00AF26EE">
        <w:rPr>
          <w:color w:val="000000"/>
        </w:rPr>
        <w:t xml:space="preserve"> high values of AOD across the </w:t>
      </w:r>
      <w:r w:rsidR="00D0217A">
        <w:rPr>
          <w:color w:val="000000"/>
        </w:rPr>
        <w:t>Pacific Northwest</w:t>
      </w:r>
      <w:r w:rsidR="00AF26EE">
        <w:rPr>
          <w:color w:val="000000"/>
        </w:rPr>
        <w:t xml:space="preserve"> </w:t>
      </w:r>
      <w:r w:rsidR="004B06B2">
        <w:rPr>
          <w:color w:val="000000"/>
        </w:rPr>
        <w:t>and</w:t>
      </w:r>
      <w:r w:rsidR="00AF26EE">
        <w:rPr>
          <w:color w:val="000000"/>
        </w:rPr>
        <w:t xml:space="preserve"> southern Canada</w:t>
      </w:r>
      <w:r w:rsidR="00263F33">
        <w:rPr>
          <w:color w:val="000000"/>
        </w:rPr>
        <w:t xml:space="preserve"> (</w:t>
      </w:r>
      <w:r w:rsidR="00F869DA">
        <w:rPr>
          <w:color w:val="000000"/>
        </w:rPr>
        <w:t>Figure 10.</w:t>
      </w:r>
      <w:r w:rsidR="00263F33">
        <w:rPr>
          <w:color w:val="000000"/>
        </w:rPr>
        <w:t>a)</w:t>
      </w:r>
      <w:r w:rsidR="00AF26EE">
        <w:rPr>
          <w:color w:val="000000"/>
        </w:rPr>
        <w:t>.</w:t>
      </w:r>
      <w:r w:rsidR="00263F33">
        <w:rPr>
          <w:color w:val="000000"/>
        </w:rPr>
        <w:t xml:space="preserve"> </w:t>
      </w:r>
      <w:r w:rsidR="003C4BDE">
        <w:rPr>
          <w:color w:val="000000"/>
        </w:rPr>
        <w:t>T</w:t>
      </w:r>
      <w:r w:rsidR="00263F33">
        <w:rPr>
          <w:color w:val="000000"/>
        </w:rPr>
        <w:t xml:space="preserve">hese </w:t>
      </w:r>
      <w:r w:rsidR="00C91FF0">
        <w:rPr>
          <w:color w:val="000000"/>
        </w:rPr>
        <w:t>artifacts make it into the final gap-filled AOD product (</w:t>
      </w:r>
      <w:r w:rsidR="00F869DA">
        <w:rPr>
          <w:color w:val="000000"/>
        </w:rPr>
        <w:t>Figure 10.</w:t>
      </w:r>
      <w:r w:rsidR="00C91FF0">
        <w:rPr>
          <w:color w:val="000000"/>
        </w:rPr>
        <w:t xml:space="preserve">c) because </w:t>
      </w:r>
      <w:r w:rsidR="00C91FF0">
        <w:rPr>
          <w:color w:val="000000"/>
        </w:rPr>
        <w:lastRenderedPageBreak/>
        <w:t xml:space="preserve">of the lack of DB retrievals </w:t>
      </w:r>
      <w:r w:rsidR="003C4BDE">
        <w:rPr>
          <w:color w:val="000000"/>
        </w:rPr>
        <w:t>over those areas (</w:t>
      </w:r>
      <w:r w:rsidR="00F869DA">
        <w:rPr>
          <w:color w:val="000000"/>
        </w:rPr>
        <w:t>Figure 10.</w:t>
      </w:r>
      <w:r w:rsidR="003C4BDE">
        <w:rPr>
          <w:color w:val="000000"/>
        </w:rPr>
        <w:t xml:space="preserve">b). </w:t>
      </w:r>
      <w:r w:rsidR="00775570">
        <w:rPr>
          <w:color w:val="000000"/>
        </w:rPr>
        <w:t xml:space="preserve">Furthermore, </w:t>
      </w:r>
      <w:r w:rsidR="003C4BDE">
        <w:rPr>
          <w:color w:val="000000"/>
        </w:rPr>
        <w:t xml:space="preserve">MERRA-2 </w:t>
      </w:r>
      <w:r w:rsidR="00C905D9">
        <w:rPr>
          <w:color w:val="000000"/>
        </w:rPr>
        <w:t xml:space="preserve">suggests no elevated AOD values </w:t>
      </w:r>
      <w:r w:rsidR="00775570">
        <w:rPr>
          <w:color w:val="000000"/>
        </w:rPr>
        <w:t>in these areas (</w:t>
      </w:r>
      <w:r w:rsidR="00F869DA">
        <w:rPr>
          <w:color w:val="000000"/>
        </w:rPr>
        <w:t>Figure 10.</w:t>
      </w:r>
      <w:r w:rsidR="00775570">
        <w:rPr>
          <w:color w:val="000000"/>
        </w:rPr>
        <w:t>d).</w:t>
      </w:r>
    </w:p>
    <w:p w14:paraId="30F00783" w14:textId="77777777" w:rsidR="0033189E" w:rsidRDefault="00263F33" w:rsidP="0033189E">
      <w:pPr>
        <w:pStyle w:val="NormalWeb"/>
        <w:keepNext/>
        <w:spacing w:before="0" w:beforeAutospacing="0" w:after="0" w:afterAutospacing="0" w:line="480" w:lineRule="auto"/>
      </w:pPr>
      <w:r>
        <w:rPr>
          <w:noProof/>
          <w:color w:val="000000"/>
          <w:bdr w:val="none" w:sz="0" w:space="0" w:color="auto" w:frame="1"/>
        </w:rPr>
        <w:drawing>
          <wp:inline distT="0" distB="0" distL="0" distR="0" wp14:anchorId="49891B86" wp14:editId="288AE76D">
            <wp:extent cx="5943600" cy="4562475"/>
            <wp:effectExtent l="0" t="0" r="0" b="9525"/>
            <wp:docPr id="123450622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43600" cy="4562475"/>
                    </a:xfrm>
                    <a:prstGeom prst="rect">
                      <a:avLst/>
                    </a:prstGeom>
                    <a:noFill/>
                    <a:ln>
                      <a:noFill/>
                    </a:ln>
                  </pic:spPr>
                </pic:pic>
              </a:graphicData>
            </a:graphic>
          </wp:inline>
        </w:drawing>
      </w:r>
    </w:p>
    <w:p w14:paraId="7F8F61E6" w14:textId="34E7CF04" w:rsidR="00DE193E" w:rsidRDefault="0033189E" w:rsidP="00D52313">
      <w:pPr>
        <w:pStyle w:val="Caption"/>
      </w:pPr>
      <w:bookmarkStart w:id="67" w:name="_Toc159825972"/>
      <w:r>
        <w:t xml:space="preserve">Figure </w:t>
      </w:r>
      <w:r>
        <w:fldChar w:fldCharType="begin"/>
      </w:r>
      <w:r>
        <w:instrText xml:space="preserve"> SEQ Figure \* ARABIC </w:instrText>
      </w:r>
      <w:r>
        <w:fldChar w:fldCharType="separate"/>
      </w:r>
      <w:r w:rsidR="00C54A78">
        <w:rPr>
          <w:noProof/>
        </w:rPr>
        <w:t>10</w:t>
      </w:r>
      <w:r>
        <w:fldChar w:fldCharType="end"/>
      </w:r>
      <w:r>
        <w:t xml:space="preserve">: </w:t>
      </w:r>
      <w:r w:rsidRPr="007924FA">
        <w:t>(a) UNet 3+ AOD predictions, (b) DB retrievals, (c) gap-filled AOD, and (d) MERRA-2 AOD for December 11, 2012. Gap-filling performed by the gap-filler model trained on only (weighted) satellite DB AOD retrievals.</w:t>
      </w:r>
      <w:bookmarkEnd w:id="67"/>
    </w:p>
    <w:p w14:paraId="4FA0988C" w14:textId="2F4D6866" w:rsidR="00AF26EE" w:rsidRDefault="00AF26EE" w:rsidP="00921C09">
      <w:pPr>
        <w:pStyle w:val="NormalWeb"/>
        <w:spacing w:before="0" w:beforeAutospacing="0" w:after="0" w:afterAutospacing="0" w:line="480" w:lineRule="auto"/>
        <w:ind w:firstLine="720"/>
      </w:pPr>
      <w:r>
        <w:rPr>
          <w:color w:val="000000"/>
        </w:rPr>
        <w:t xml:space="preserve">Comparing this to the AOD data availability map for </w:t>
      </w:r>
      <w:r w:rsidR="00921C09">
        <w:rPr>
          <w:color w:val="000000"/>
        </w:rPr>
        <w:t>winter</w:t>
      </w:r>
      <w:r>
        <w:rPr>
          <w:color w:val="000000"/>
        </w:rPr>
        <w:t xml:space="preserve"> shown </w:t>
      </w:r>
      <w:r w:rsidR="00AF2796">
        <w:rPr>
          <w:color w:val="000000"/>
        </w:rPr>
        <w:t>in</w:t>
      </w:r>
      <w:r w:rsidR="00590CB2">
        <w:rPr>
          <w:color w:val="000000"/>
        </w:rPr>
        <w:t xml:space="preserve"> Figure 1</w:t>
      </w:r>
      <w:r w:rsidR="0033189E">
        <w:rPr>
          <w:color w:val="000000"/>
        </w:rPr>
        <w:t>1</w:t>
      </w:r>
      <w:r w:rsidR="001E3532">
        <w:rPr>
          <w:color w:val="000000"/>
        </w:rPr>
        <w:t>.</w:t>
      </w:r>
      <w:r w:rsidR="00921C09">
        <w:rPr>
          <w:color w:val="000000"/>
        </w:rPr>
        <w:t>a</w:t>
      </w:r>
      <w:r>
        <w:rPr>
          <w:color w:val="000000"/>
        </w:rPr>
        <w:t xml:space="preserve">, it seems plausible that the lack of data in these regions either directly or indirectly </w:t>
      </w:r>
      <w:r w:rsidR="00C13F0E">
        <w:rPr>
          <w:color w:val="000000"/>
        </w:rPr>
        <w:t xml:space="preserve">leads </w:t>
      </w:r>
      <w:r>
        <w:rPr>
          <w:color w:val="000000"/>
        </w:rPr>
        <w:t xml:space="preserve">to the generation of these artifacts. </w:t>
      </w:r>
      <w:r w:rsidR="006C3619">
        <w:rPr>
          <w:color w:val="000000"/>
        </w:rPr>
        <w:t xml:space="preserve">The </w:t>
      </w:r>
      <w:r>
        <w:rPr>
          <w:color w:val="000000"/>
        </w:rPr>
        <w:t xml:space="preserve">model </w:t>
      </w:r>
      <w:r w:rsidR="006C3619">
        <w:rPr>
          <w:color w:val="000000"/>
        </w:rPr>
        <w:t xml:space="preserve">likely </w:t>
      </w:r>
      <w:r>
        <w:rPr>
          <w:color w:val="000000"/>
        </w:rPr>
        <w:t xml:space="preserve">learns to correlate areas of missing aerosol data with high AOD. This behavior </w:t>
      </w:r>
      <w:r w:rsidR="000210C3">
        <w:rPr>
          <w:color w:val="000000"/>
        </w:rPr>
        <w:t xml:space="preserve">is </w:t>
      </w:r>
      <w:r w:rsidR="00F43A63">
        <w:rPr>
          <w:color w:val="000000"/>
        </w:rPr>
        <w:t>probably</w:t>
      </w:r>
      <w:r w:rsidR="000210C3">
        <w:rPr>
          <w:color w:val="000000"/>
        </w:rPr>
        <w:t xml:space="preserve"> </w:t>
      </w:r>
      <w:r>
        <w:rPr>
          <w:color w:val="000000"/>
        </w:rPr>
        <w:t>learned through cases where extremely optically thick pyro</w:t>
      </w:r>
      <w:r w:rsidR="00340362">
        <w:rPr>
          <w:color w:val="000000"/>
        </w:rPr>
        <w:t xml:space="preserve"> </w:t>
      </w:r>
      <w:r>
        <w:rPr>
          <w:color w:val="000000"/>
        </w:rPr>
        <w:t xml:space="preserve">cumulonimbus clouds are partially flagged for removal. Reinforcing </w:t>
      </w:r>
      <w:r w:rsidR="00C13F0E">
        <w:rPr>
          <w:color w:val="000000"/>
        </w:rPr>
        <w:t xml:space="preserve">this </w:t>
      </w:r>
      <w:r>
        <w:rPr>
          <w:color w:val="000000"/>
        </w:rPr>
        <w:t xml:space="preserve">pattern in the model could inadvertently lead to the mistaken association between locations that did not receive </w:t>
      </w:r>
      <w:r>
        <w:rPr>
          <w:color w:val="000000"/>
        </w:rPr>
        <w:lastRenderedPageBreak/>
        <w:t>an AOD retrieval due to cloud cover or snow reflectivity and those that did not receive an AOD retrieval due to dense smoke plumes.</w:t>
      </w:r>
    </w:p>
    <w:p w14:paraId="5F09037B" w14:textId="77777777" w:rsidR="00AF26EE" w:rsidRDefault="00AF26EE" w:rsidP="00582302">
      <w:pPr>
        <w:pStyle w:val="NormalWeb"/>
        <w:spacing w:before="0" w:beforeAutospacing="0" w:after="0" w:afterAutospacing="0" w:line="480" w:lineRule="auto"/>
      </w:pPr>
      <w:r>
        <w:rPr>
          <w:color w:val="000000"/>
        </w:rPr>
        <w:t> </w:t>
      </w:r>
    </w:p>
    <w:p w14:paraId="1EF63A2D" w14:textId="77777777" w:rsidR="0033189E" w:rsidRDefault="00BF474B" w:rsidP="0033189E">
      <w:pPr>
        <w:pStyle w:val="NormalWeb"/>
        <w:keepNext/>
        <w:spacing w:before="0" w:beforeAutospacing="0" w:after="0" w:afterAutospacing="0" w:line="480" w:lineRule="auto"/>
      </w:pPr>
      <w:r>
        <w:rPr>
          <w:noProof/>
          <w:color w:val="000000"/>
          <w:bdr w:val="none" w:sz="0" w:space="0" w:color="auto" w:frame="1"/>
        </w:rPr>
        <w:drawing>
          <wp:inline distT="0" distB="0" distL="0" distR="0" wp14:anchorId="665750A2" wp14:editId="3858D79E">
            <wp:extent cx="5943600" cy="3486150"/>
            <wp:effectExtent l="0" t="0" r="0" b="0"/>
            <wp:docPr id="189885241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43600" cy="3486150"/>
                    </a:xfrm>
                    <a:prstGeom prst="rect">
                      <a:avLst/>
                    </a:prstGeom>
                    <a:noFill/>
                    <a:ln>
                      <a:noFill/>
                    </a:ln>
                  </pic:spPr>
                </pic:pic>
              </a:graphicData>
            </a:graphic>
          </wp:inline>
        </w:drawing>
      </w:r>
    </w:p>
    <w:p w14:paraId="46CAE5F6" w14:textId="5E6E9536" w:rsidR="00AF2796" w:rsidRDefault="0033189E" w:rsidP="00D52313">
      <w:pPr>
        <w:pStyle w:val="Caption"/>
      </w:pPr>
      <w:bookmarkStart w:id="68" w:name="_Ref159550068"/>
      <w:bookmarkStart w:id="69" w:name="_Toc159825973"/>
      <w:r>
        <w:t xml:space="preserve">Figure </w:t>
      </w:r>
      <w:r>
        <w:fldChar w:fldCharType="begin"/>
      </w:r>
      <w:r>
        <w:instrText xml:space="preserve"> SEQ Figure \* ARABIC </w:instrText>
      </w:r>
      <w:r>
        <w:fldChar w:fldCharType="separate"/>
      </w:r>
      <w:r w:rsidR="00C54A78">
        <w:rPr>
          <w:noProof/>
        </w:rPr>
        <w:t>11</w:t>
      </w:r>
      <w:r>
        <w:fldChar w:fldCharType="end"/>
      </w:r>
      <w:bookmarkEnd w:id="68"/>
      <w:r>
        <w:t xml:space="preserve">: </w:t>
      </w:r>
      <w:r w:rsidRPr="001022FD">
        <w:t xml:space="preserve">The percentage of days </w:t>
      </w:r>
      <w:r w:rsidR="00AD092A">
        <w:t>with</w:t>
      </w:r>
      <w:r w:rsidRPr="001022FD">
        <w:t xml:space="preserve"> a successful DB AOD retrieval from 2012-2022 </w:t>
      </w:r>
      <w:r w:rsidR="00AD092A">
        <w:t>categorized</w:t>
      </w:r>
      <w:r w:rsidRPr="001022FD">
        <w:t xml:space="preserve"> by season.</w:t>
      </w:r>
      <w:bookmarkEnd w:id="69"/>
    </w:p>
    <w:p w14:paraId="6E47B25E" w14:textId="24365FDB" w:rsidR="001B26AD" w:rsidRDefault="00FA77EB" w:rsidP="00FA77EB">
      <w:pPr>
        <w:pStyle w:val="NormalWeb"/>
        <w:spacing w:before="0" w:beforeAutospacing="0" w:after="0" w:afterAutospacing="0" w:line="480" w:lineRule="auto"/>
        <w:ind w:firstLine="720"/>
        <w:rPr>
          <w:color w:val="000000"/>
        </w:rPr>
      </w:pPr>
      <w:r>
        <w:rPr>
          <w:color w:val="000000"/>
        </w:rPr>
        <w:t>A composite of both DB AOD retrievals and MERRA-2 AOD estimates was created and used as the training target to mitigate this issue</w:t>
      </w:r>
      <w:r w:rsidR="0034538C">
        <w:rPr>
          <w:color w:val="000000"/>
        </w:rPr>
        <w:t xml:space="preserve"> (Figure 12)</w:t>
      </w:r>
      <w:r>
        <w:rPr>
          <w:color w:val="000000"/>
        </w:rPr>
        <w:t xml:space="preserve">. The first layer of this composite is comprised of the DB AOD </w:t>
      </w:r>
      <w:r w:rsidRPr="006A5760">
        <w:t>retrievals</w:t>
      </w:r>
      <w:r w:rsidR="006B71D6" w:rsidRPr="006A5760">
        <w:t xml:space="preserve"> (Figure 12.a)</w:t>
      </w:r>
      <w:r w:rsidRPr="006A5760">
        <w:t xml:space="preserve">, </w:t>
      </w:r>
      <w:r>
        <w:rPr>
          <w:color w:val="000000"/>
        </w:rPr>
        <w:t>as these are preferred as training targets over MERRA-2 AOD whenever available. The second layer is comprised of MERRA-2 AOD, but only for the grid cells where there is no DB AOD retrieval available, and monthly AOD data availability is less than 40%</w:t>
      </w:r>
      <w:r w:rsidR="009F43E6">
        <w:rPr>
          <w:color w:val="000000"/>
        </w:rPr>
        <w:t xml:space="preserve"> (Figure 12.b)</w:t>
      </w:r>
      <w:r>
        <w:rPr>
          <w:color w:val="000000"/>
        </w:rPr>
        <w:t xml:space="preserve">. The monthly AOD data availability is calculated by taking all </w:t>
      </w:r>
      <w:r w:rsidR="0018033D">
        <w:rPr>
          <w:color w:val="000000"/>
        </w:rPr>
        <w:t>DB</w:t>
      </w:r>
      <w:r>
        <w:rPr>
          <w:color w:val="000000"/>
        </w:rPr>
        <w:t xml:space="preserve"> AOD retrievals over the 2012-2022 study period, grouping them by grid cell and month, and calculating as a percentage of how many days a particular grid cell saw an AOD retrieval within a given month. The threshold of 40% was chosen loosely based on results from </w:t>
      </w:r>
      <w:r>
        <w:rPr>
          <w:color w:val="000000"/>
        </w:rPr>
        <w:lastRenderedPageBreak/>
        <w:t>the preliminary study, which suggested that areas that received data at least 50-60% of the time would yield few artifacts. The threshold of 40% covers enough area to prevent the model from generating high AOD artifacts while not completely saturating the training data with MERRA-2 AOD labels.</w:t>
      </w:r>
    </w:p>
    <w:p w14:paraId="76103627" w14:textId="77777777" w:rsidR="006C4DBF" w:rsidRDefault="006C4DBF" w:rsidP="006C4DBF">
      <w:pPr>
        <w:pStyle w:val="NormalWeb"/>
        <w:keepNext/>
        <w:spacing w:before="0" w:beforeAutospacing="0" w:after="0" w:afterAutospacing="0" w:line="480" w:lineRule="auto"/>
      </w:pPr>
      <w:r>
        <w:rPr>
          <w:noProof/>
          <w:color w:val="000000"/>
        </w:rPr>
        <w:drawing>
          <wp:inline distT="0" distB="0" distL="0" distR="0" wp14:anchorId="23BB315B" wp14:editId="1F9DC20E">
            <wp:extent cx="5934075" cy="1743075"/>
            <wp:effectExtent l="0" t="0" r="9525" b="9525"/>
            <wp:docPr id="4541049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34075" cy="1743075"/>
                    </a:xfrm>
                    <a:prstGeom prst="rect">
                      <a:avLst/>
                    </a:prstGeom>
                    <a:noFill/>
                    <a:ln>
                      <a:noFill/>
                    </a:ln>
                  </pic:spPr>
                </pic:pic>
              </a:graphicData>
            </a:graphic>
          </wp:inline>
        </w:drawing>
      </w:r>
    </w:p>
    <w:p w14:paraId="01A3AEFA" w14:textId="06ED400B" w:rsidR="006B4A18" w:rsidRPr="001B26AD" w:rsidRDefault="006C4DBF" w:rsidP="00D52313">
      <w:pPr>
        <w:pStyle w:val="Caption"/>
      </w:pPr>
      <w:bookmarkStart w:id="70" w:name="_Toc159825974"/>
      <w:r>
        <w:t xml:space="preserve">Figure </w:t>
      </w:r>
      <w:r>
        <w:fldChar w:fldCharType="begin"/>
      </w:r>
      <w:r>
        <w:instrText xml:space="preserve"> SEQ Figure \* ARABIC </w:instrText>
      </w:r>
      <w:r>
        <w:fldChar w:fldCharType="separate"/>
      </w:r>
      <w:r w:rsidR="00C54A78">
        <w:rPr>
          <w:noProof/>
        </w:rPr>
        <w:t>12</w:t>
      </w:r>
      <w:r>
        <w:fldChar w:fldCharType="end"/>
      </w:r>
      <w:r>
        <w:t>: (a) DB AOD retrievals along with (b) supplement</w:t>
      </w:r>
      <w:r w:rsidR="00067A72">
        <w:t>al AOD</w:t>
      </w:r>
      <w:r>
        <w:t xml:space="preserve"> from MERRA-2 for November 12, 2012</w:t>
      </w:r>
      <w:r w:rsidR="00067A72">
        <w:t>.</w:t>
      </w:r>
      <w:bookmarkEnd w:id="70"/>
    </w:p>
    <w:p w14:paraId="3C4DAB37" w14:textId="495A30AB" w:rsidR="00712FC5" w:rsidRPr="00712FC5" w:rsidRDefault="002A35D4" w:rsidP="00E65F65">
      <w:pPr>
        <w:pStyle w:val="Heading2"/>
      </w:pPr>
      <w:bookmarkStart w:id="71" w:name="_Toc161431102"/>
      <w:r>
        <w:t>3.4 Model Training</w:t>
      </w:r>
      <w:bookmarkEnd w:id="71"/>
    </w:p>
    <w:p w14:paraId="6661F222" w14:textId="0945369A" w:rsidR="009A5F43" w:rsidRDefault="009A5F43" w:rsidP="00E65F65">
      <w:pPr>
        <w:pStyle w:val="Heading3"/>
      </w:pPr>
      <w:bookmarkStart w:id="72" w:name="_Toc161431103"/>
      <w:r>
        <w:t>3.4.1 Model Inputs</w:t>
      </w:r>
      <w:bookmarkEnd w:id="72"/>
    </w:p>
    <w:p w14:paraId="2A280223" w14:textId="7C886153" w:rsidR="00712FC5" w:rsidRDefault="006B2B5B" w:rsidP="006C2E3C">
      <w:pPr>
        <w:pStyle w:val="NormalWeb"/>
        <w:spacing w:before="0" w:beforeAutospacing="0" w:after="0" w:afterAutospacing="0" w:line="480" w:lineRule="auto"/>
        <w:ind w:firstLine="720"/>
        <w:rPr>
          <w:color w:val="000000"/>
        </w:rPr>
      </w:pPr>
      <w:r>
        <w:rPr>
          <w:color w:val="000000"/>
        </w:rPr>
        <w:t xml:space="preserve">The gap-filled AOD </w:t>
      </w:r>
      <w:r w:rsidR="008C509A">
        <w:rPr>
          <w:color w:val="000000"/>
        </w:rPr>
        <w:t xml:space="preserve">model </w:t>
      </w:r>
      <w:r w:rsidR="00021644">
        <w:rPr>
          <w:color w:val="000000"/>
        </w:rPr>
        <w:t xml:space="preserve">was input with </w:t>
      </w:r>
      <w:r w:rsidR="008C509A">
        <w:rPr>
          <w:color w:val="000000"/>
        </w:rPr>
        <w:t xml:space="preserve">the </w:t>
      </w:r>
      <w:r w:rsidR="00A7311E">
        <w:rPr>
          <w:color w:val="000000"/>
        </w:rPr>
        <w:t xml:space="preserve">two </w:t>
      </w:r>
      <w:r w:rsidR="008C509A">
        <w:rPr>
          <w:color w:val="000000"/>
        </w:rPr>
        <w:t xml:space="preserve">previous </w:t>
      </w:r>
      <w:r w:rsidR="006C2E3C">
        <w:rPr>
          <w:color w:val="000000"/>
        </w:rPr>
        <w:t>days</w:t>
      </w:r>
      <w:r w:rsidR="00F7266C">
        <w:rPr>
          <w:color w:val="000000"/>
        </w:rPr>
        <w:t>’</w:t>
      </w:r>
      <w:r w:rsidR="008C509A">
        <w:rPr>
          <w:color w:val="000000"/>
        </w:rPr>
        <w:t xml:space="preserve"> AOD values</w:t>
      </w:r>
      <w:r w:rsidR="00BC0BDE">
        <w:rPr>
          <w:color w:val="000000"/>
        </w:rPr>
        <w:t xml:space="preserve"> along with meteorology</w:t>
      </w:r>
      <w:r w:rsidR="00DE5532">
        <w:rPr>
          <w:color w:val="000000"/>
        </w:rPr>
        <w:t>,</w:t>
      </w:r>
      <w:r w:rsidR="00BC0BDE">
        <w:rPr>
          <w:color w:val="000000"/>
        </w:rPr>
        <w:t xml:space="preserve"> land-use</w:t>
      </w:r>
      <w:r w:rsidR="00DE5532">
        <w:rPr>
          <w:color w:val="000000"/>
        </w:rPr>
        <w:t>, etc.</w:t>
      </w:r>
      <w:r w:rsidR="00BC0BDE">
        <w:rPr>
          <w:color w:val="000000"/>
        </w:rPr>
        <w:t xml:space="preserve"> variables to </w:t>
      </w:r>
      <w:r w:rsidR="001A49C1">
        <w:rPr>
          <w:color w:val="000000"/>
        </w:rPr>
        <w:t>inform</w:t>
      </w:r>
      <w:r w:rsidR="00BC0BDE">
        <w:rPr>
          <w:color w:val="000000"/>
        </w:rPr>
        <w:t xml:space="preserve"> </w:t>
      </w:r>
      <w:r w:rsidR="00D36FC0">
        <w:rPr>
          <w:color w:val="000000"/>
        </w:rPr>
        <w:t>transport, evolution, and deposition</w:t>
      </w:r>
      <w:r w:rsidR="008247B3">
        <w:rPr>
          <w:color w:val="000000"/>
        </w:rPr>
        <w:t xml:space="preserve"> patterns</w:t>
      </w:r>
      <w:r w:rsidR="00D36FC0">
        <w:rPr>
          <w:color w:val="000000"/>
        </w:rPr>
        <w:t xml:space="preserve"> of aerosols</w:t>
      </w:r>
      <w:r w:rsidR="00074434">
        <w:rPr>
          <w:color w:val="000000"/>
        </w:rPr>
        <w:t xml:space="preserve"> into the </w:t>
      </w:r>
      <w:r w:rsidR="008247B3">
        <w:rPr>
          <w:color w:val="000000"/>
        </w:rPr>
        <w:t>third</w:t>
      </w:r>
      <w:r w:rsidR="00074434">
        <w:rPr>
          <w:color w:val="000000"/>
        </w:rPr>
        <w:t xml:space="preserve"> (target) day. </w:t>
      </w:r>
      <w:r w:rsidR="00D97DE0">
        <w:rPr>
          <w:color w:val="000000"/>
        </w:rPr>
        <w:t xml:space="preserve">All input variables used </w:t>
      </w:r>
      <w:r w:rsidR="001B15EE">
        <w:rPr>
          <w:color w:val="000000"/>
        </w:rPr>
        <w:t xml:space="preserve">and their respective lags are listed in </w:t>
      </w:r>
      <w:r w:rsidR="004F3EC4">
        <w:rPr>
          <w:color w:val="000000"/>
        </w:rPr>
        <w:t>Table 3.</w:t>
      </w:r>
    </w:p>
    <w:tbl>
      <w:tblPr>
        <w:tblStyle w:val="TableGrid"/>
        <w:tblW w:w="0" w:type="auto"/>
        <w:tblLook w:val="04A0" w:firstRow="1" w:lastRow="0" w:firstColumn="1" w:lastColumn="0" w:noHBand="0" w:noVBand="1"/>
      </w:tblPr>
      <w:tblGrid>
        <w:gridCol w:w="5755"/>
        <w:gridCol w:w="2070"/>
        <w:gridCol w:w="1525"/>
      </w:tblGrid>
      <w:tr w:rsidR="00E10F62" w14:paraId="72703DAB" w14:textId="77777777" w:rsidTr="009848DC">
        <w:tc>
          <w:tcPr>
            <w:tcW w:w="5755" w:type="dxa"/>
          </w:tcPr>
          <w:p w14:paraId="045FDC47" w14:textId="4302B221" w:rsidR="00E10F62" w:rsidRPr="008247B3" w:rsidRDefault="00E10F62" w:rsidP="00E10F62">
            <w:pPr>
              <w:pStyle w:val="NormalWeb"/>
              <w:spacing w:before="0" w:beforeAutospacing="0" w:after="0" w:afterAutospacing="0" w:line="480" w:lineRule="auto"/>
              <w:jc w:val="center"/>
              <w:rPr>
                <w:b/>
                <w:bCs/>
                <w:color w:val="000000"/>
              </w:rPr>
            </w:pPr>
            <w:r w:rsidRPr="008247B3">
              <w:rPr>
                <w:b/>
                <w:bCs/>
                <w:color w:val="000000"/>
              </w:rPr>
              <w:t>Input Variable</w:t>
            </w:r>
          </w:p>
        </w:tc>
        <w:tc>
          <w:tcPr>
            <w:tcW w:w="2070" w:type="dxa"/>
          </w:tcPr>
          <w:p w14:paraId="6C9242E4" w14:textId="590FD7FE" w:rsidR="00E10F62" w:rsidRPr="008247B3" w:rsidRDefault="00E10F62" w:rsidP="00E10F62">
            <w:pPr>
              <w:pStyle w:val="NormalWeb"/>
              <w:spacing w:before="0" w:beforeAutospacing="0" w:after="0" w:afterAutospacing="0" w:line="480" w:lineRule="auto"/>
              <w:jc w:val="center"/>
              <w:rPr>
                <w:b/>
                <w:bCs/>
                <w:color w:val="000000"/>
              </w:rPr>
            </w:pPr>
            <w:r w:rsidRPr="008247B3">
              <w:rPr>
                <w:b/>
                <w:bCs/>
                <w:color w:val="000000"/>
              </w:rPr>
              <w:t>Resolution</w:t>
            </w:r>
          </w:p>
        </w:tc>
        <w:tc>
          <w:tcPr>
            <w:tcW w:w="1525" w:type="dxa"/>
          </w:tcPr>
          <w:p w14:paraId="421D2063" w14:textId="45E143C1" w:rsidR="00E10F62" w:rsidRPr="008247B3" w:rsidRDefault="00E10F62" w:rsidP="00E10F62">
            <w:pPr>
              <w:pStyle w:val="NormalWeb"/>
              <w:spacing w:before="0" w:beforeAutospacing="0" w:after="0" w:afterAutospacing="0" w:line="480" w:lineRule="auto"/>
              <w:jc w:val="center"/>
              <w:rPr>
                <w:b/>
                <w:bCs/>
                <w:color w:val="000000"/>
              </w:rPr>
            </w:pPr>
            <w:r w:rsidRPr="008247B3">
              <w:rPr>
                <w:b/>
                <w:bCs/>
                <w:color w:val="000000"/>
              </w:rPr>
              <w:t>Lag</w:t>
            </w:r>
            <w:r w:rsidR="00F0146E" w:rsidRPr="008247B3">
              <w:rPr>
                <w:b/>
                <w:bCs/>
                <w:color w:val="000000"/>
              </w:rPr>
              <w:t xml:space="preserve"> (days)</w:t>
            </w:r>
          </w:p>
        </w:tc>
      </w:tr>
      <w:tr w:rsidR="00E10F62" w14:paraId="2AD5C0BB" w14:textId="77777777" w:rsidTr="009848DC">
        <w:tc>
          <w:tcPr>
            <w:tcW w:w="5755" w:type="dxa"/>
          </w:tcPr>
          <w:p w14:paraId="56FAC2CE" w14:textId="2EE0EC7A" w:rsidR="00E10F62" w:rsidRPr="00EF366E" w:rsidRDefault="00E10F62" w:rsidP="000523FF">
            <w:pPr>
              <w:pStyle w:val="NormalWeb"/>
              <w:spacing w:before="0" w:beforeAutospacing="0" w:after="0" w:afterAutospacing="0" w:line="480" w:lineRule="auto"/>
              <w:rPr>
                <w:color w:val="000000"/>
              </w:rPr>
            </w:pPr>
            <w:r w:rsidRPr="00EF366E">
              <w:rPr>
                <w:color w:val="000000"/>
              </w:rPr>
              <w:t xml:space="preserve">NASA MODIS DB </w:t>
            </w:r>
            <w:r w:rsidR="000877B2" w:rsidRPr="00EF366E">
              <w:rPr>
                <w:color w:val="000000"/>
              </w:rPr>
              <w:t>Best Estimate AOD</w:t>
            </w:r>
          </w:p>
        </w:tc>
        <w:tc>
          <w:tcPr>
            <w:tcW w:w="2070" w:type="dxa"/>
          </w:tcPr>
          <w:p w14:paraId="6D103213" w14:textId="15CCE04F" w:rsidR="00E10F62" w:rsidRDefault="00F0146E" w:rsidP="000523FF">
            <w:pPr>
              <w:pStyle w:val="NormalWeb"/>
              <w:spacing w:before="0" w:beforeAutospacing="0" w:after="0" w:afterAutospacing="0" w:line="480" w:lineRule="auto"/>
              <w:rPr>
                <w:color w:val="000000"/>
              </w:rPr>
            </w:pPr>
            <w:r>
              <w:rPr>
                <w:color w:val="000000"/>
              </w:rPr>
              <w:t>10 x 10</w:t>
            </w:r>
            <w:r w:rsidR="004F3EC4">
              <w:rPr>
                <w:color w:val="000000"/>
              </w:rPr>
              <w:t xml:space="preserve"> km</w:t>
            </w:r>
            <w:r w:rsidR="004F3EC4">
              <w:rPr>
                <w:color w:val="000000"/>
                <w:vertAlign w:val="superscript"/>
              </w:rPr>
              <w:t>2</w:t>
            </w:r>
          </w:p>
        </w:tc>
        <w:tc>
          <w:tcPr>
            <w:tcW w:w="1525" w:type="dxa"/>
          </w:tcPr>
          <w:p w14:paraId="215DE98E" w14:textId="65C505DF" w:rsidR="00E10F62" w:rsidRDefault="00F0146E" w:rsidP="000523FF">
            <w:pPr>
              <w:pStyle w:val="NormalWeb"/>
              <w:spacing w:before="0" w:beforeAutospacing="0" w:after="0" w:afterAutospacing="0" w:line="480" w:lineRule="auto"/>
              <w:rPr>
                <w:color w:val="000000"/>
              </w:rPr>
            </w:pPr>
            <w:r>
              <w:rPr>
                <w:color w:val="000000"/>
              </w:rPr>
              <w:t>2, 1</w:t>
            </w:r>
          </w:p>
        </w:tc>
      </w:tr>
      <w:tr w:rsidR="00E10F62" w14:paraId="601138A4" w14:textId="77777777" w:rsidTr="009848DC">
        <w:tc>
          <w:tcPr>
            <w:tcW w:w="5755" w:type="dxa"/>
          </w:tcPr>
          <w:p w14:paraId="654F9F19" w14:textId="7A2FF7E9" w:rsidR="00E10F62" w:rsidRPr="00EF366E" w:rsidRDefault="009848DC" w:rsidP="000523FF">
            <w:pPr>
              <w:pStyle w:val="NormalWeb"/>
              <w:spacing w:before="0" w:beforeAutospacing="0" w:after="0" w:afterAutospacing="0" w:line="480" w:lineRule="auto"/>
              <w:rPr>
                <w:color w:val="000000"/>
              </w:rPr>
            </w:pPr>
            <w:r w:rsidRPr="00EF366E">
              <w:rPr>
                <w:color w:val="000000"/>
              </w:rPr>
              <w:t>VIIRS DB Best Estimate AOD</w:t>
            </w:r>
          </w:p>
        </w:tc>
        <w:tc>
          <w:tcPr>
            <w:tcW w:w="2070" w:type="dxa"/>
          </w:tcPr>
          <w:p w14:paraId="3A9761C4" w14:textId="1A6A2758" w:rsidR="00E10F62" w:rsidRDefault="009848DC" w:rsidP="000523FF">
            <w:pPr>
              <w:pStyle w:val="NormalWeb"/>
              <w:spacing w:before="0" w:beforeAutospacing="0" w:after="0" w:afterAutospacing="0" w:line="480" w:lineRule="auto"/>
              <w:rPr>
                <w:color w:val="000000"/>
              </w:rPr>
            </w:pPr>
            <w:r>
              <w:rPr>
                <w:color w:val="000000"/>
              </w:rPr>
              <w:t>6 x 6</w:t>
            </w:r>
            <w:r w:rsidR="004F3EC4">
              <w:rPr>
                <w:color w:val="000000"/>
              </w:rPr>
              <w:t xml:space="preserve"> km</w:t>
            </w:r>
            <w:r w:rsidR="004F3EC4">
              <w:rPr>
                <w:color w:val="000000"/>
                <w:vertAlign w:val="superscript"/>
              </w:rPr>
              <w:t>2</w:t>
            </w:r>
          </w:p>
        </w:tc>
        <w:tc>
          <w:tcPr>
            <w:tcW w:w="1525" w:type="dxa"/>
          </w:tcPr>
          <w:p w14:paraId="5C8E7451" w14:textId="6839693B" w:rsidR="00E10F62" w:rsidRDefault="009848DC" w:rsidP="000523FF">
            <w:pPr>
              <w:pStyle w:val="NormalWeb"/>
              <w:spacing w:before="0" w:beforeAutospacing="0" w:after="0" w:afterAutospacing="0" w:line="480" w:lineRule="auto"/>
              <w:rPr>
                <w:color w:val="000000"/>
              </w:rPr>
            </w:pPr>
            <w:r>
              <w:rPr>
                <w:color w:val="000000"/>
              </w:rPr>
              <w:t>2, 1</w:t>
            </w:r>
          </w:p>
        </w:tc>
      </w:tr>
      <w:tr w:rsidR="00E10F62" w14:paraId="31394E57" w14:textId="77777777" w:rsidTr="009848DC">
        <w:tc>
          <w:tcPr>
            <w:tcW w:w="5755" w:type="dxa"/>
          </w:tcPr>
          <w:p w14:paraId="0FB6D707" w14:textId="65FFC6A3" w:rsidR="00E10F62" w:rsidRPr="00EF366E" w:rsidRDefault="009848DC" w:rsidP="000523FF">
            <w:pPr>
              <w:pStyle w:val="NormalWeb"/>
              <w:spacing w:before="0" w:beforeAutospacing="0" w:after="0" w:afterAutospacing="0" w:line="480" w:lineRule="auto"/>
              <w:rPr>
                <w:color w:val="000000"/>
              </w:rPr>
            </w:pPr>
            <w:r w:rsidRPr="00EF366E">
              <w:rPr>
                <w:color w:val="000000"/>
              </w:rPr>
              <w:t>VIIRS DB aerosol type, land and ocean algorithm flags</w:t>
            </w:r>
          </w:p>
        </w:tc>
        <w:tc>
          <w:tcPr>
            <w:tcW w:w="2070" w:type="dxa"/>
          </w:tcPr>
          <w:p w14:paraId="7463ED26" w14:textId="03745965" w:rsidR="00E10F62" w:rsidRDefault="009848DC" w:rsidP="000523FF">
            <w:pPr>
              <w:pStyle w:val="NormalWeb"/>
              <w:spacing w:before="0" w:beforeAutospacing="0" w:after="0" w:afterAutospacing="0" w:line="480" w:lineRule="auto"/>
              <w:rPr>
                <w:color w:val="000000"/>
              </w:rPr>
            </w:pPr>
            <w:r>
              <w:rPr>
                <w:color w:val="000000"/>
              </w:rPr>
              <w:t>6 x 6</w:t>
            </w:r>
            <w:r w:rsidR="004F3EC4">
              <w:rPr>
                <w:color w:val="000000"/>
              </w:rPr>
              <w:t xml:space="preserve"> km</w:t>
            </w:r>
            <w:r w:rsidR="004F3EC4">
              <w:rPr>
                <w:color w:val="000000"/>
                <w:vertAlign w:val="superscript"/>
              </w:rPr>
              <w:t>2</w:t>
            </w:r>
          </w:p>
        </w:tc>
        <w:tc>
          <w:tcPr>
            <w:tcW w:w="1525" w:type="dxa"/>
          </w:tcPr>
          <w:p w14:paraId="388DC131" w14:textId="5B00533D" w:rsidR="00E10F62" w:rsidRDefault="009848DC" w:rsidP="000523FF">
            <w:pPr>
              <w:pStyle w:val="NormalWeb"/>
              <w:spacing w:before="0" w:beforeAutospacing="0" w:after="0" w:afterAutospacing="0" w:line="480" w:lineRule="auto"/>
              <w:rPr>
                <w:color w:val="000000"/>
              </w:rPr>
            </w:pPr>
            <w:r>
              <w:rPr>
                <w:color w:val="000000"/>
              </w:rPr>
              <w:t>2, 1</w:t>
            </w:r>
          </w:p>
        </w:tc>
      </w:tr>
      <w:tr w:rsidR="00E10F62" w14:paraId="4AC1010F" w14:textId="77777777" w:rsidTr="009848DC">
        <w:tc>
          <w:tcPr>
            <w:tcW w:w="5755" w:type="dxa"/>
          </w:tcPr>
          <w:p w14:paraId="7E7F3BC4" w14:textId="58B4A062" w:rsidR="00E10F62" w:rsidRPr="00EF366E" w:rsidRDefault="003935BA" w:rsidP="000523FF">
            <w:pPr>
              <w:pStyle w:val="NormalWeb"/>
              <w:spacing w:before="0" w:beforeAutospacing="0" w:after="0" w:afterAutospacing="0" w:line="480" w:lineRule="auto"/>
              <w:rPr>
                <w:color w:val="000000"/>
              </w:rPr>
            </w:pPr>
            <w:r w:rsidRPr="00EF366E">
              <w:rPr>
                <w:color w:val="000000"/>
              </w:rPr>
              <w:lastRenderedPageBreak/>
              <w:t>NAM 12km reanalysis – P, T, U, V, orography, vegetation, PBLH</w:t>
            </w:r>
          </w:p>
        </w:tc>
        <w:tc>
          <w:tcPr>
            <w:tcW w:w="2070" w:type="dxa"/>
          </w:tcPr>
          <w:p w14:paraId="7224B813" w14:textId="1AFCCB89" w:rsidR="00E10F62" w:rsidRDefault="003935BA" w:rsidP="000523FF">
            <w:pPr>
              <w:pStyle w:val="NormalWeb"/>
              <w:spacing w:before="0" w:beforeAutospacing="0" w:after="0" w:afterAutospacing="0" w:line="480" w:lineRule="auto"/>
              <w:rPr>
                <w:color w:val="000000"/>
              </w:rPr>
            </w:pPr>
            <w:r>
              <w:rPr>
                <w:color w:val="000000"/>
              </w:rPr>
              <w:t>12 x 12</w:t>
            </w:r>
            <w:r w:rsidR="004F3EC4">
              <w:rPr>
                <w:color w:val="000000"/>
              </w:rPr>
              <w:t xml:space="preserve"> km</w:t>
            </w:r>
            <w:r w:rsidR="004F3EC4">
              <w:rPr>
                <w:color w:val="000000"/>
                <w:vertAlign w:val="superscript"/>
              </w:rPr>
              <w:t>2</w:t>
            </w:r>
          </w:p>
        </w:tc>
        <w:tc>
          <w:tcPr>
            <w:tcW w:w="1525" w:type="dxa"/>
          </w:tcPr>
          <w:p w14:paraId="05B6A412" w14:textId="27F7B574" w:rsidR="00E10F62" w:rsidRDefault="003935BA" w:rsidP="000523FF">
            <w:pPr>
              <w:pStyle w:val="NormalWeb"/>
              <w:spacing w:before="0" w:beforeAutospacing="0" w:after="0" w:afterAutospacing="0" w:line="480" w:lineRule="auto"/>
              <w:rPr>
                <w:color w:val="000000"/>
              </w:rPr>
            </w:pPr>
            <w:r>
              <w:rPr>
                <w:color w:val="000000"/>
              </w:rPr>
              <w:t>2, 1, 0</w:t>
            </w:r>
          </w:p>
        </w:tc>
      </w:tr>
      <w:tr w:rsidR="00E10F62" w14:paraId="5E071CA6" w14:textId="77777777" w:rsidTr="009848DC">
        <w:tc>
          <w:tcPr>
            <w:tcW w:w="5755" w:type="dxa"/>
          </w:tcPr>
          <w:p w14:paraId="695270F7" w14:textId="7FCC7861" w:rsidR="00E10F62" w:rsidRPr="00EF366E" w:rsidRDefault="004F3EC4" w:rsidP="000523FF">
            <w:pPr>
              <w:pStyle w:val="NormalWeb"/>
              <w:spacing w:before="0" w:beforeAutospacing="0" w:after="0" w:afterAutospacing="0" w:line="480" w:lineRule="auto"/>
              <w:rPr>
                <w:color w:val="000000"/>
              </w:rPr>
            </w:pPr>
            <w:r w:rsidRPr="00EF366E">
              <w:rPr>
                <w:color w:val="000000"/>
              </w:rPr>
              <w:t>MERRA-2 reanalysis AOD</w:t>
            </w:r>
          </w:p>
        </w:tc>
        <w:tc>
          <w:tcPr>
            <w:tcW w:w="2070" w:type="dxa"/>
          </w:tcPr>
          <w:p w14:paraId="1AC4AFBD" w14:textId="082B7028" w:rsidR="00E10F62" w:rsidRDefault="004F3EC4" w:rsidP="000523FF">
            <w:pPr>
              <w:pStyle w:val="NormalWeb"/>
              <w:spacing w:before="0" w:beforeAutospacing="0" w:after="0" w:afterAutospacing="0" w:line="480" w:lineRule="auto"/>
              <w:rPr>
                <w:color w:val="000000"/>
              </w:rPr>
            </w:pPr>
            <w:r>
              <w:rPr>
                <w:color w:val="000000"/>
              </w:rPr>
              <w:t>50 x 62.5 km</w:t>
            </w:r>
            <w:r>
              <w:rPr>
                <w:color w:val="000000"/>
                <w:vertAlign w:val="superscript"/>
              </w:rPr>
              <w:t>2</w:t>
            </w:r>
          </w:p>
        </w:tc>
        <w:tc>
          <w:tcPr>
            <w:tcW w:w="1525" w:type="dxa"/>
          </w:tcPr>
          <w:p w14:paraId="0696B0BE" w14:textId="00B36BDC" w:rsidR="00E10F62" w:rsidRDefault="003935BA" w:rsidP="000523FF">
            <w:pPr>
              <w:pStyle w:val="NormalWeb"/>
              <w:spacing w:before="0" w:beforeAutospacing="0" w:after="0" w:afterAutospacing="0" w:line="480" w:lineRule="auto"/>
              <w:rPr>
                <w:color w:val="000000"/>
              </w:rPr>
            </w:pPr>
            <w:r>
              <w:rPr>
                <w:color w:val="000000"/>
              </w:rPr>
              <w:t>2, 1, 0</w:t>
            </w:r>
          </w:p>
        </w:tc>
      </w:tr>
      <w:tr w:rsidR="00E10F62" w14:paraId="1DDBC1F0" w14:textId="77777777" w:rsidTr="009848DC">
        <w:tc>
          <w:tcPr>
            <w:tcW w:w="5755" w:type="dxa"/>
          </w:tcPr>
          <w:p w14:paraId="51E2EBEA" w14:textId="014D35AB" w:rsidR="00E10F62" w:rsidRPr="00EF366E" w:rsidRDefault="004F3EC4" w:rsidP="000523FF">
            <w:pPr>
              <w:pStyle w:val="NormalWeb"/>
              <w:spacing w:before="0" w:beforeAutospacing="0" w:after="0" w:afterAutospacing="0" w:line="480" w:lineRule="auto"/>
              <w:rPr>
                <w:color w:val="000000"/>
              </w:rPr>
            </w:pPr>
            <w:r w:rsidRPr="00EF366E">
              <w:rPr>
                <w:color w:val="000000"/>
              </w:rPr>
              <w:t>HMS Smoke Product</w:t>
            </w:r>
          </w:p>
        </w:tc>
        <w:tc>
          <w:tcPr>
            <w:tcW w:w="2070" w:type="dxa"/>
          </w:tcPr>
          <w:p w14:paraId="09814129" w14:textId="000A018F" w:rsidR="00E10F62" w:rsidRDefault="004F3EC4" w:rsidP="000523FF">
            <w:pPr>
              <w:pStyle w:val="NormalWeb"/>
              <w:spacing w:before="0" w:beforeAutospacing="0" w:after="0" w:afterAutospacing="0" w:line="480" w:lineRule="auto"/>
              <w:rPr>
                <w:color w:val="000000"/>
              </w:rPr>
            </w:pPr>
            <w:r>
              <w:rPr>
                <w:color w:val="000000"/>
              </w:rPr>
              <w:t>~1 km</w:t>
            </w:r>
          </w:p>
        </w:tc>
        <w:tc>
          <w:tcPr>
            <w:tcW w:w="1525" w:type="dxa"/>
          </w:tcPr>
          <w:p w14:paraId="3EAD6A82" w14:textId="3A9F511C" w:rsidR="00E10F62" w:rsidRDefault="003935BA" w:rsidP="000523FF">
            <w:pPr>
              <w:pStyle w:val="NormalWeb"/>
              <w:spacing w:before="0" w:beforeAutospacing="0" w:after="0" w:afterAutospacing="0" w:line="480" w:lineRule="auto"/>
              <w:rPr>
                <w:color w:val="000000"/>
              </w:rPr>
            </w:pPr>
            <w:r>
              <w:rPr>
                <w:color w:val="000000"/>
              </w:rPr>
              <w:t>2, 1, 0</w:t>
            </w:r>
          </w:p>
        </w:tc>
      </w:tr>
      <w:tr w:rsidR="00E10F62" w14:paraId="29C97C86" w14:textId="77777777" w:rsidTr="009848DC">
        <w:tc>
          <w:tcPr>
            <w:tcW w:w="5755" w:type="dxa"/>
          </w:tcPr>
          <w:p w14:paraId="12ABDD52" w14:textId="44263A0C" w:rsidR="00E10F62" w:rsidRPr="00EF366E" w:rsidRDefault="004F3EC4" w:rsidP="000523FF">
            <w:pPr>
              <w:pStyle w:val="NormalWeb"/>
              <w:spacing w:before="0" w:beforeAutospacing="0" w:after="0" w:afterAutospacing="0" w:line="480" w:lineRule="auto"/>
              <w:rPr>
                <w:color w:val="000000"/>
              </w:rPr>
            </w:pPr>
            <w:r w:rsidRPr="00EF366E">
              <w:rPr>
                <w:color w:val="000000"/>
              </w:rPr>
              <w:t>MODIS FRP</w:t>
            </w:r>
          </w:p>
        </w:tc>
        <w:tc>
          <w:tcPr>
            <w:tcW w:w="2070" w:type="dxa"/>
          </w:tcPr>
          <w:p w14:paraId="6656510D" w14:textId="459D7F59" w:rsidR="00E10F62" w:rsidRDefault="004F3EC4" w:rsidP="000523FF">
            <w:pPr>
              <w:pStyle w:val="NormalWeb"/>
              <w:spacing w:before="0" w:beforeAutospacing="0" w:after="0" w:afterAutospacing="0" w:line="480" w:lineRule="auto"/>
              <w:rPr>
                <w:color w:val="000000"/>
              </w:rPr>
            </w:pPr>
            <w:r>
              <w:rPr>
                <w:color w:val="000000"/>
              </w:rPr>
              <w:t>~1 km</w:t>
            </w:r>
          </w:p>
        </w:tc>
        <w:tc>
          <w:tcPr>
            <w:tcW w:w="1525" w:type="dxa"/>
          </w:tcPr>
          <w:p w14:paraId="18705DC1" w14:textId="1042279A" w:rsidR="00E10F62" w:rsidRDefault="003935BA" w:rsidP="004F3EC4">
            <w:pPr>
              <w:pStyle w:val="NormalWeb"/>
              <w:keepNext/>
              <w:spacing w:before="0" w:beforeAutospacing="0" w:after="0" w:afterAutospacing="0" w:line="480" w:lineRule="auto"/>
              <w:rPr>
                <w:color w:val="000000"/>
              </w:rPr>
            </w:pPr>
            <w:r>
              <w:rPr>
                <w:color w:val="000000"/>
              </w:rPr>
              <w:t>2, 1, 0</w:t>
            </w:r>
          </w:p>
        </w:tc>
      </w:tr>
    </w:tbl>
    <w:p w14:paraId="4CF528CE" w14:textId="57E415AA" w:rsidR="000523FF" w:rsidRDefault="004F3EC4" w:rsidP="00D52313">
      <w:pPr>
        <w:pStyle w:val="Caption"/>
        <w:rPr>
          <w:color w:val="000000"/>
        </w:rPr>
      </w:pPr>
      <w:bookmarkStart w:id="73" w:name="_Toc159825959"/>
      <w:r>
        <w:t xml:space="preserve">Table </w:t>
      </w:r>
      <w:r>
        <w:fldChar w:fldCharType="begin"/>
      </w:r>
      <w:r>
        <w:instrText xml:space="preserve"> SEQ Table \* ARABIC </w:instrText>
      </w:r>
      <w:r>
        <w:fldChar w:fldCharType="separate"/>
      </w:r>
      <w:r w:rsidR="00C54A78">
        <w:rPr>
          <w:noProof/>
        </w:rPr>
        <w:t>3</w:t>
      </w:r>
      <w:r>
        <w:rPr>
          <w:noProof/>
        </w:rPr>
        <w:fldChar w:fldCharType="end"/>
      </w:r>
      <w:r>
        <w:t>: Input variables, native resolutions, and lags provided to the model.</w:t>
      </w:r>
      <w:bookmarkEnd w:id="73"/>
    </w:p>
    <w:p w14:paraId="3F45C0D4" w14:textId="220B95EF" w:rsidR="0030206F" w:rsidRPr="0030206F" w:rsidRDefault="0030206F" w:rsidP="00E65F65">
      <w:pPr>
        <w:pStyle w:val="Heading3"/>
      </w:pPr>
      <w:bookmarkStart w:id="74" w:name="_Toc161431104"/>
      <w:r>
        <w:t>3.4.</w:t>
      </w:r>
      <w:r w:rsidR="009E21A9">
        <w:t>2</w:t>
      </w:r>
      <w:r>
        <w:t xml:space="preserve"> Target Weighting</w:t>
      </w:r>
      <w:bookmarkEnd w:id="74"/>
    </w:p>
    <w:p w14:paraId="5D74E9F8" w14:textId="23A5468D" w:rsidR="00726E42" w:rsidRPr="00346939" w:rsidRDefault="00B640D0" w:rsidP="00346939">
      <w:pPr>
        <w:pStyle w:val="NormalWeb"/>
        <w:spacing w:before="240" w:beforeAutospacing="0" w:after="240" w:afterAutospacing="0" w:line="480" w:lineRule="auto"/>
        <w:ind w:firstLine="720"/>
      </w:pPr>
      <w:r>
        <w:rPr>
          <w:color w:val="000000"/>
        </w:rPr>
        <w:t>To further counteract the class imbalance problem, we</w:t>
      </w:r>
      <w:r w:rsidR="00582302">
        <w:rPr>
          <w:color w:val="000000"/>
        </w:rPr>
        <w:t xml:space="preserve"> modif</w:t>
      </w:r>
      <w:r>
        <w:rPr>
          <w:color w:val="000000"/>
        </w:rPr>
        <w:t>ied</w:t>
      </w:r>
      <w:r w:rsidR="00582302">
        <w:rPr>
          <w:color w:val="000000"/>
        </w:rPr>
        <w:t xml:space="preserve"> the loss function to punish</w:t>
      </w:r>
      <w:r w:rsidR="00CB54E1">
        <w:rPr>
          <w:color w:val="000000"/>
        </w:rPr>
        <w:t xml:space="preserve"> the model</w:t>
      </w:r>
      <w:r w:rsidR="00346939">
        <w:rPr>
          <w:color w:val="000000"/>
        </w:rPr>
        <w:t xml:space="preserve"> more</w:t>
      </w:r>
      <w:r w:rsidR="00CB54E1">
        <w:rPr>
          <w:color w:val="000000"/>
        </w:rPr>
        <w:t xml:space="preserve"> for mistakes on high AOD </w:t>
      </w:r>
      <w:r w:rsidR="00346939">
        <w:rPr>
          <w:color w:val="000000"/>
        </w:rPr>
        <w:t>pixels</w:t>
      </w:r>
      <w:r w:rsidR="00CB54E1">
        <w:rPr>
          <w:color w:val="000000"/>
        </w:rPr>
        <w:t xml:space="preserve"> than low</w:t>
      </w:r>
      <w:r w:rsidR="00346939">
        <w:rPr>
          <w:color w:val="000000"/>
        </w:rPr>
        <w:t xml:space="preserve"> AOD pixels</w:t>
      </w:r>
      <w:r w:rsidR="00FE13D2">
        <w:rPr>
          <w:color w:val="000000"/>
        </w:rPr>
        <w:t xml:space="preserve"> by adding </w:t>
      </w:r>
      <w:r w:rsidR="00582302">
        <w:rPr>
          <w:color w:val="000000"/>
        </w:rPr>
        <w:t>a large multiplier to the squared error between high AOD samples and their respective predictions. This artificially inflat</w:t>
      </w:r>
      <w:r w:rsidR="00EF366E">
        <w:rPr>
          <w:color w:val="000000"/>
        </w:rPr>
        <w:t>es</w:t>
      </w:r>
      <w:r w:rsidR="00582302">
        <w:rPr>
          <w:color w:val="000000"/>
        </w:rPr>
        <w:t xml:space="preserve"> the </w:t>
      </w:r>
      <w:r w:rsidR="00417355">
        <w:rPr>
          <w:color w:val="000000"/>
        </w:rPr>
        <w:t>MSE</w:t>
      </w:r>
      <w:r w:rsidR="00582302">
        <w:rPr>
          <w:color w:val="000000"/>
        </w:rPr>
        <w:t xml:space="preserve"> between high AOD samples and their predictions, while keeping the </w:t>
      </w:r>
      <w:r w:rsidR="00417355">
        <w:rPr>
          <w:color w:val="000000"/>
        </w:rPr>
        <w:t>MSE</w:t>
      </w:r>
      <w:r w:rsidR="00582302">
        <w:rPr>
          <w:color w:val="000000"/>
        </w:rPr>
        <w:t xml:space="preserve"> for low AOD samples the same. Doing so will make the loss for high AOD samples so high that they cannot be ignored during training, despite only accounting for a small portion of the training dataset.</w:t>
      </w:r>
      <w:r w:rsidR="00346939">
        <w:t xml:space="preserve"> </w:t>
      </w:r>
      <w:r w:rsidR="00582302">
        <w:rPr>
          <w:color w:val="000000"/>
        </w:rPr>
        <w:t xml:space="preserve">In practice, weighting AOD samples according to user-defined thresholds has the effect of boosting model sensitivity to those thresholds relative to the assigned weights. This method allows for </w:t>
      </w:r>
      <w:r w:rsidR="00CC4B30">
        <w:rPr>
          <w:color w:val="000000"/>
        </w:rPr>
        <w:t>added</w:t>
      </w:r>
      <w:r w:rsidR="00582302">
        <w:rPr>
          <w:color w:val="000000"/>
        </w:rPr>
        <w:t xml:space="preserve"> user control over model characteristics.</w:t>
      </w:r>
      <w:r w:rsidR="00346939">
        <w:t xml:space="preserve"> </w:t>
      </w:r>
      <w:r w:rsidR="00410921">
        <w:rPr>
          <w:color w:val="000000"/>
        </w:rPr>
        <w:t xml:space="preserve">The weights </w:t>
      </w:r>
      <w:r w:rsidR="00CC4B30">
        <w:rPr>
          <w:color w:val="000000"/>
        </w:rPr>
        <w:t xml:space="preserve">chosen </w:t>
      </w:r>
      <w:r w:rsidR="00726E42">
        <w:rPr>
          <w:color w:val="000000"/>
        </w:rPr>
        <w:t>are listed below in</w:t>
      </w:r>
      <w:r w:rsidR="00E62ADC">
        <w:rPr>
          <w:color w:val="000000"/>
        </w:rPr>
        <w:t xml:space="preserve"> Table 4</w:t>
      </w:r>
      <w:r w:rsidR="00417355">
        <w:rPr>
          <w:color w:val="000000"/>
        </w:rPr>
        <w:t>.</w:t>
      </w:r>
    </w:p>
    <w:tbl>
      <w:tblPr>
        <w:tblStyle w:val="TableGrid"/>
        <w:tblW w:w="0" w:type="auto"/>
        <w:tblLook w:val="04A0" w:firstRow="1" w:lastRow="0" w:firstColumn="1" w:lastColumn="0" w:noHBand="0" w:noVBand="1"/>
      </w:tblPr>
      <w:tblGrid>
        <w:gridCol w:w="2245"/>
        <w:gridCol w:w="2700"/>
      </w:tblGrid>
      <w:tr w:rsidR="006A2D99" w:rsidRPr="002B1293" w14:paraId="654EBDD2" w14:textId="77777777" w:rsidTr="00620413">
        <w:tc>
          <w:tcPr>
            <w:tcW w:w="2245" w:type="dxa"/>
          </w:tcPr>
          <w:p w14:paraId="6AFD6AD1" w14:textId="022751C4" w:rsidR="006A2D99" w:rsidRPr="00B164FD" w:rsidRDefault="006A2D99" w:rsidP="00E025CB">
            <w:pPr>
              <w:tabs>
                <w:tab w:val="right" w:pos="2121"/>
              </w:tabs>
              <w:jc w:val="center"/>
              <w:rPr>
                <w:rFonts w:cs="Times New Roman"/>
                <w:b/>
                <w:bCs/>
                <w:szCs w:val="24"/>
              </w:rPr>
            </w:pPr>
            <w:r w:rsidRPr="00B164FD">
              <w:rPr>
                <w:rFonts w:cs="Times New Roman"/>
                <w:b/>
                <w:bCs/>
                <w:szCs w:val="24"/>
              </w:rPr>
              <w:t>AOD</w:t>
            </w:r>
          </w:p>
        </w:tc>
        <w:tc>
          <w:tcPr>
            <w:tcW w:w="2700" w:type="dxa"/>
          </w:tcPr>
          <w:p w14:paraId="16F7C0CD" w14:textId="55A5BCA9" w:rsidR="006A2D99" w:rsidRPr="00B164FD" w:rsidRDefault="006A2D99" w:rsidP="00E025CB">
            <w:pPr>
              <w:jc w:val="center"/>
              <w:rPr>
                <w:rFonts w:cs="Times New Roman"/>
                <w:b/>
                <w:bCs/>
                <w:szCs w:val="24"/>
              </w:rPr>
            </w:pPr>
            <w:r w:rsidRPr="00B164FD">
              <w:rPr>
                <w:rFonts w:cs="Times New Roman"/>
                <w:b/>
                <w:bCs/>
                <w:szCs w:val="24"/>
              </w:rPr>
              <w:t>Weight</w:t>
            </w:r>
          </w:p>
        </w:tc>
      </w:tr>
      <w:tr w:rsidR="006A2D99" w:rsidRPr="002B1293" w14:paraId="76CC1A42" w14:textId="77777777" w:rsidTr="00620413">
        <w:tc>
          <w:tcPr>
            <w:tcW w:w="2245" w:type="dxa"/>
          </w:tcPr>
          <w:p w14:paraId="18D507A5" w14:textId="27DFC85D" w:rsidR="006A2D99" w:rsidRPr="002B1293" w:rsidRDefault="00F73C4E" w:rsidP="00620413">
            <w:pPr>
              <w:rPr>
                <w:rFonts w:cs="Times New Roman"/>
                <w:szCs w:val="24"/>
              </w:rPr>
            </w:pPr>
            <w:r>
              <w:rPr>
                <w:rFonts w:cs="Times New Roman"/>
                <w:szCs w:val="24"/>
              </w:rPr>
              <w:t>0 &lt; τ ≤ 0.3</w:t>
            </w:r>
          </w:p>
        </w:tc>
        <w:tc>
          <w:tcPr>
            <w:tcW w:w="2700" w:type="dxa"/>
          </w:tcPr>
          <w:p w14:paraId="3F92FD10" w14:textId="366473EB" w:rsidR="006A2D99" w:rsidRPr="002B1293" w:rsidRDefault="006663B1" w:rsidP="00620413">
            <w:pPr>
              <w:rPr>
                <w:rFonts w:cs="Times New Roman"/>
                <w:szCs w:val="24"/>
              </w:rPr>
            </w:pPr>
            <w:r>
              <w:rPr>
                <w:rFonts w:cs="Times New Roman"/>
                <w:szCs w:val="24"/>
              </w:rPr>
              <w:t>1</w:t>
            </w:r>
          </w:p>
        </w:tc>
      </w:tr>
      <w:tr w:rsidR="006A2D99" w:rsidRPr="002B1293" w14:paraId="27123F76" w14:textId="77777777" w:rsidTr="00620413">
        <w:tc>
          <w:tcPr>
            <w:tcW w:w="2245" w:type="dxa"/>
          </w:tcPr>
          <w:p w14:paraId="0F1853EF" w14:textId="09D97D49" w:rsidR="006A2D99" w:rsidRPr="002B1293" w:rsidRDefault="00F73C4E" w:rsidP="00620413">
            <w:pPr>
              <w:rPr>
                <w:rFonts w:cs="Times New Roman"/>
                <w:szCs w:val="24"/>
              </w:rPr>
            </w:pPr>
            <w:r>
              <w:rPr>
                <w:rFonts w:cs="Times New Roman"/>
                <w:szCs w:val="24"/>
              </w:rPr>
              <w:t>0.3 &lt; τ ≤ 1</w:t>
            </w:r>
          </w:p>
        </w:tc>
        <w:tc>
          <w:tcPr>
            <w:tcW w:w="2700" w:type="dxa"/>
          </w:tcPr>
          <w:p w14:paraId="3358B857" w14:textId="473873E9" w:rsidR="006A2D99" w:rsidRPr="002B1293" w:rsidRDefault="006663B1" w:rsidP="00620413">
            <w:pPr>
              <w:rPr>
                <w:rFonts w:cs="Times New Roman"/>
                <w:szCs w:val="24"/>
              </w:rPr>
            </w:pPr>
            <w:r>
              <w:rPr>
                <w:rFonts w:cs="Times New Roman"/>
                <w:szCs w:val="24"/>
              </w:rPr>
              <w:t>3</w:t>
            </w:r>
          </w:p>
        </w:tc>
      </w:tr>
      <w:tr w:rsidR="006A2D99" w:rsidRPr="002B1293" w14:paraId="451963E0" w14:textId="77777777" w:rsidTr="00620413">
        <w:tc>
          <w:tcPr>
            <w:tcW w:w="2245" w:type="dxa"/>
          </w:tcPr>
          <w:p w14:paraId="021965A4" w14:textId="675FEA28" w:rsidR="006A2D99" w:rsidRPr="002B1293" w:rsidRDefault="00F73C4E" w:rsidP="00620413">
            <w:pPr>
              <w:rPr>
                <w:rFonts w:cs="Times New Roman"/>
                <w:szCs w:val="24"/>
              </w:rPr>
            </w:pPr>
            <w:r>
              <w:rPr>
                <w:rFonts w:cs="Times New Roman"/>
                <w:szCs w:val="24"/>
              </w:rPr>
              <w:t xml:space="preserve">1 &lt; τ ≤ </w:t>
            </w:r>
            <w:r w:rsidR="00495C08">
              <w:rPr>
                <w:rFonts w:cs="Times New Roman"/>
                <w:szCs w:val="24"/>
              </w:rPr>
              <w:t>2</w:t>
            </w:r>
          </w:p>
        </w:tc>
        <w:tc>
          <w:tcPr>
            <w:tcW w:w="2700" w:type="dxa"/>
          </w:tcPr>
          <w:p w14:paraId="235CFAE7" w14:textId="30ED248C" w:rsidR="006A2D99" w:rsidRPr="002B1293" w:rsidRDefault="006663B1" w:rsidP="00620413">
            <w:pPr>
              <w:rPr>
                <w:rFonts w:cs="Times New Roman"/>
                <w:szCs w:val="24"/>
              </w:rPr>
            </w:pPr>
            <w:r>
              <w:rPr>
                <w:rFonts w:cs="Times New Roman"/>
                <w:szCs w:val="24"/>
              </w:rPr>
              <w:t>5</w:t>
            </w:r>
          </w:p>
        </w:tc>
      </w:tr>
      <w:tr w:rsidR="006A2D99" w:rsidRPr="002B1293" w14:paraId="49F9F855" w14:textId="77777777" w:rsidTr="00620413">
        <w:tc>
          <w:tcPr>
            <w:tcW w:w="2245" w:type="dxa"/>
          </w:tcPr>
          <w:p w14:paraId="7A1968A8" w14:textId="61F282DD" w:rsidR="006A2D99" w:rsidRPr="002B1293" w:rsidRDefault="00495C08" w:rsidP="00620413">
            <w:pPr>
              <w:rPr>
                <w:rFonts w:cs="Times New Roman"/>
                <w:szCs w:val="24"/>
              </w:rPr>
            </w:pPr>
            <w:r>
              <w:rPr>
                <w:rFonts w:cs="Times New Roman"/>
                <w:szCs w:val="24"/>
              </w:rPr>
              <w:t>2</w:t>
            </w:r>
            <w:r w:rsidR="00F73C4E">
              <w:rPr>
                <w:rFonts w:cs="Times New Roman"/>
                <w:szCs w:val="24"/>
              </w:rPr>
              <w:t xml:space="preserve"> &lt; τ ≤ </w:t>
            </w:r>
            <w:r>
              <w:rPr>
                <w:rFonts w:cs="Times New Roman"/>
                <w:szCs w:val="24"/>
              </w:rPr>
              <w:t>3</w:t>
            </w:r>
          </w:p>
        </w:tc>
        <w:tc>
          <w:tcPr>
            <w:tcW w:w="2700" w:type="dxa"/>
          </w:tcPr>
          <w:p w14:paraId="3BD0DE88" w14:textId="5CC88CB3" w:rsidR="006A2D99" w:rsidRPr="002B1293" w:rsidRDefault="006663B1" w:rsidP="00620413">
            <w:pPr>
              <w:rPr>
                <w:rFonts w:cs="Times New Roman"/>
                <w:szCs w:val="24"/>
              </w:rPr>
            </w:pPr>
            <w:r>
              <w:rPr>
                <w:rFonts w:cs="Times New Roman"/>
                <w:szCs w:val="24"/>
              </w:rPr>
              <w:t>10</w:t>
            </w:r>
          </w:p>
        </w:tc>
      </w:tr>
      <w:tr w:rsidR="006A2D99" w:rsidRPr="002B1293" w14:paraId="0B4D6229" w14:textId="77777777" w:rsidTr="00620413">
        <w:tc>
          <w:tcPr>
            <w:tcW w:w="2245" w:type="dxa"/>
          </w:tcPr>
          <w:p w14:paraId="15B8BFE1" w14:textId="7E76C2A7" w:rsidR="006A2D99" w:rsidRPr="002B1293" w:rsidRDefault="00495C08" w:rsidP="00620413">
            <w:pPr>
              <w:rPr>
                <w:rFonts w:cs="Times New Roman"/>
                <w:szCs w:val="24"/>
              </w:rPr>
            </w:pPr>
            <w:r>
              <w:rPr>
                <w:rFonts w:cs="Times New Roman"/>
                <w:szCs w:val="24"/>
              </w:rPr>
              <w:lastRenderedPageBreak/>
              <w:t>3</w:t>
            </w:r>
            <w:r w:rsidR="00F73C4E">
              <w:rPr>
                <w:rFonts w:cs="Times New Roman"/>
                <w:szCs w:val="24"/>
              </w:rPr>
              <w:t xml:space="preserve"> &lt; τ</w:t>
            </w:r>
          </w:p>
        </w:tc>
        <w:tc>
          <w:tcPr>
            <w:tcW w:w="2700" w:type="dxa"/>
          </w:tcPr>
          <w:p w14:paraId="6BA5DCE6" w14:textId="69F1CD30" w:rsidR="006A2D99" w:rsidRPr="002B1293" w:rsidRDefault="006663B1" w:rsidP="00EE1928">
            <w:pPr>
              <w:keepNext/>
              <w:rPr>
                <w:rFonts w:cs="Times New Roman"/>
                <w:szCs w:val="24"/>
              </w:rPr>
            </w:pPr>
            <w:r>
              <w:rPr>
                <w:rFonts w:cs="Times New Roman"/>
                <w:szCs w:val="24"/>
              </w:rPr>
              <w:t>15</w:t>
            </w:r>
          </w:p>
        </w:tc>
      </w:tr>
    </w:tbl>
    <w:p w14:paraId="5A074DB3" w14:textId="6E79E8A0" w:rsidR="00417355" w:rsidRPr="0082639B" w:rsidRDefault="00EE1928" w:rsidP="00D52313">
      <w:pPr>
        <w:pStyle w:val="Caption"/>
      </w:pPr>
      <w:bookmarkStart w:id="75" w:name="_Ref158441968"/>
      <w:bookmarkStart w:id="76" w:name="_Toc159825960"/>
      <w:r>
        <w:t xml:space="preserve">Table </w:t>
      </w:r>
      <w:r>
        <w:fldChar w:fldCharType="begin"/>
      </w:r>
      <w:r>
        <w:instrText xml:space="preserve"> SEQ Table \* ARABIC </w:instrText>
      </w:r>
      <w:r>
        <w:fldChar w:fldCharType="separate"/>
      </w:r>
      <w:r w:rsidR="00C54A78">
        <w:rPr>
          <w:noProof/>
        </w:rPr>
        <w:t>4</w:t>
      </w:r>
      <w:r>
        <w:rPr>
          <w:noProof/>
        </w:rPr>
        <w:fldChar w:fldCharType="end"/>
      </w:r>
      <w:bookmarkEnd w:id="75"/>
      <w:r>
        <w:t>: Target AOD weights.</w:t>
      </w:r>
      <w:bookmarkEnd w:id="76"/>
    </w:p>
    <w:p w14:paraId="0BB138BC" w14:textId="4F2F0608" w:rsidR="0030206F" w:rsidRDefault="00BD152F" w:rsidP="00E65F65">
      <w:pPr>
        <w:pStyle w:val="Heading3"/>
      </w:pPr>
      <w:bookmarkStart w:id="77" w:name="_Toc161431105"/>
      <w:r w:rsidRPr="00BD152F">
        <w:t>3.4.3 Selective Backpropagation</w:t>
      </w:r>
      <w:bookmarkEnd w:id="77"/>
    </w:p>
    <w:p w14:paraId="63D643ED" w14:textId="386924D9" w:rsidR="009C27ED" w:rsidRDefault="00D90DF2" w:rsidP="00582302">
      <w:pPr>
        <w:pStyle w:val="NormalWeb"/>
        <w:spacing w:before="0" w:beforeAutospacing="0" w:after="0" w:afterAutospacing="0" w:line="480" w:lineRule="auto"/>
        <w:rPr>
          <w:color w:val="000000"/>
        </w:rPr>
      </w:pPr>
      <w:r>
        <w:rPr>
          <w:color w:val="000000"/>
        </w:rPr>
        <w:tab/>
      </w:r>
      <w:r w:rsidR="005931FC">
        <w:rPr>
          <w:color w:val="000000"/>
        </w:rPr>
        <w:t>E</w:t>
      </w:r>
      <w:r w:rsidR="00E34952">
        <w:rPr>
          <w:color w:val="000000"/>
        </w:rPr>
        <w:t xml:space="preserve">ven with MERRA-2 </w:t>
      </w:r>
      <w:r w:rsidR="00E62ADC">
        <w:rPr>
          <w:color w:val="000000"/>
        </w:rPr>
        <w:t xml:space="preserve"> AOD </w:t>
      </w:r>
      <w:r w:rsidR="00E34952">
        <w:rPr>
          <w:color w:val="000000"/>
        </w:rPr>
        <w:t xml:space="preserve">supplementing </w:t>
      </w:r>
      <w:r w:rsidR="00121172">
        <w:rPr>
          <w:color w:val="000000"/>
        </w:rPr>
        <w:t>the target</w:t>
      </w:r>
      <w:r w:rsidR="005931FC">
        <w:rPr>
          <w:color w:val="000000"/>
        </w:rPr>
        <w:t>, there are still missing pixels</w:t>
      </w:r>
      <w:r w:rsidR="00FF6D2F">
        <w:rPr>
          <w:color w:val="000000"/>
        </w:rPr>
        <w:t xml:space="preserve">. </w:t>
      </w:r>
      <w:r w:rsidR="00D37B2A">
        <w:rPr>
          <w:color w:val="000000"/>
        </w:rPr>
        <w:t xml:space="preserve">This </w:t>
      </w:r>
      <w:r w:rsidR="004A154F">
        <w:rPr>
          <w:color w:val="000000"/>
        </w:rPr>
        <w:t xml:space="preserve">is a </w:t>
      </w:r>
      <w:r w:rsidR="00E62ADC">
        <w:rPr>
          <w:color w:val="000000"/>
        </w:rPr>
        <w:t>challenge</w:t>
      </w:r>
      <w:r w:rsidR="004A154F">
        <w:rPr>
          <w:color w:val="000000"/>
        </w:rPr>
        <w:t xml:space="preserve"> for supervised learning </w:t>
      </w:r>
      <w:r w:rsidR="003849CB">
        <w:rPr>
          <w:color w:val="000000"/>
        </w:rPr>
        <w:t xml:space="preserve">because </w:t>
      </w:r>
      <w:r w:rsidR="008843AB">
        <w:rPr>
          <w:color w:val="000000"/>
        </w:rPr>
        <w:t>training labels must be defined</w:t>
      </w:r>
      <w:r w:rsidR="00352310" w:rsidRPr="00352310">
        <w:rPr>
          <w:color w:val="000000"/>
        </w:rPr>
        <w:t xml:space="preserve"> </w:t>
      </w:r>
      <w:r w:rsidR="00352310">
        <w:rPr>
          <w:color w:val="000000"/>
        </w:rPr>
        <w:t>to tune the model weights</w:t>
      </w:r>
      <w:r w:rsidR="004F47B6">
        <w:rPr>
          <w:color w:val="000000"/>
        </w:rPr>
        <w:t xml:space="preserve">. </w:t>
      </w:r>
      <w:r w:rsidR="006945F8">
        <w:rPr>
          <w:color w:val="000000"/>
        </w:rPr>
        <w:t>Our proposed solution for this challenge is simply to train using the available pixels (i.e., just the pixels with defined AOD values)</w:t>
      </w:r>
      <w:r w:rsidR="00DD5B2B">
        <w:rPr>
          <w:color w:val="000000"/>
        </w:rPr>
        <w:t>,</w:t>
      </w:r>
      <w:r w:rsidR="00D20917">
        <w:rPr>
          <w:color w:val="000000"/>
        </w:rPr>
        <w:t xml:space="preserve"> in the backpropagation while ignoring the </w:t>
      </w:r>
      <w:r w:rsidR="00910E59">
        <w:rPr>
          <w:color w:val="000000"/>
        </w:rPr>
        <w:t>undefined ones.</w:t>
      </w:r>
      <w:r w:rsidR="008F5F68">
        <w:rPr>
          <w:color w:val="000000"/>
        </w:rPr>
        <w:t xml:space="preserve"> A simple illustration of this concept on a multilayer perceptron (MLP) can be seen in </w:t>
      </w:r>
      <w:r w:rsidR="00FB6D13">
        <w:rPr>
          <w:color w:val="000000"/>
        </w:rPr>
        <w:t>Figure 1</w:t>
      </w:r>
      <w:r w:rsidR="008B5E35">
        <w:rPr>
          <w:color w:val="000000"/>
        </w:rPr>
        <w:t>3</w:t>
      </w:r>
      <w:r w:rsidR="00FB6D13">
        <w:rPr>
          <w:color w:val="000000"/>
        </w:rPr>
        <w:t>.</w:t>
      </w:r>
      <w:r w:rsidR="00EB5C38">
        <w:rPr>
          <w:color w:val="000000"/>
        </w:rPr>
        <w:t xml:space="preserve"> This is accomplished by setting </w:t>
      </w:r>
      <w:r w:rsidR="001E2683">
        <w:rPr>
          <w:color w:val="000000"/>
        </w:rPr>
        <w:t xml:space="preserve">the </w:t>
      </w:r>
      <w:r w:rsidR="00182537">
        <w:rPr>
          <w:color w:val="000000"/>
        </w:rPr>
        <w:t xml:space="preserve">target </w:t>
      </w:r>
      <w:r w:rsidR="001E2683">
        <w:rPr>
          <w:color w:val="000000"/>
        </w:rPr>
        <w:t xml:space="preserve">weight matrix </w:t>
      </w:r>
      <w:r w:rsidR="00182537">
        <w:rPr>
          <w:color w:val="000000"/>
        </w:rPr>
        <w:t>to zero for pixels with undefined AOD</w:t>
      </w:r>
      <w:r w:rsidR="008B5E35">
        <w:rPr>
          <w:color w:val="000000"/>
        </w:rPr>
        <w:t>, and</w:t>
      </w:r>
      <w:r w:rsidR="00182537">
        <w:rPr>
          <w:color w:val="000000"/>
        </w:rPr>
        <w:t xml:space="preserve"> </w:t>
      </w:r>
      <w:r w:rsidR="001F2A45">
        <w:rPr>
          <w:color w:val="000000"/>
        </w:rPr>
        <w:t xml:space="preserve">effectively backpropagates </w:t>
      </w:r>
      <w:r w:rsidR="0082639B">
        <w:rPr>
          <w:color w:val="000000"/>
        </w:rPr>
        <w:t xml:space="preserve">the loss </w:t>
      </w:r>
      <w:r w:rsidR="001F2A45">
        <w:rPr>
          <w:color w:val="000000"/>
        </w:rPr>
        <w:t xml:space="preserve">through only the defined pixels </w:t>
      </w:r>
      <w:r w:rsidR="0082639B">
        <w:rPr>
          <w:color w:val="000000"/>
        </w:rPr>
        <w:t xml:space="preserve">because </w:t>
      </w:r>
      <w:r w:rsidR="001F2A45">
        <w:rPr>
          <w:color w:val="000000"/>
        </w:rPr>
        <w:t>the undefined pixels do not contribute any loss to the loss function.</w:t>
      </w:r>
    </w:p>
    <w:p w14:paraId="5D10BAF6" w14:textId="77777777" w:rsidR="0033189E" w:rsidRDefault="00226142" w:rsidP="0033189E">
      <w:pPr>
        <w:pStyle w:val="NormalWeb"/>
        <w:keepNext/>
        <w:spacing w:before="0" w:beforeAutospacing="0" w:after="0" w:afterAutospacing="0" w:line="480" w:lineRule="auto"/>
      </w:pPr>
      <w:r>
        <w:rPr>
          <w:noProof/>
          <w:color w:val="000000"/>
        </w:rPr>
        <w:drawing>
          <wp:inline distT="0" distB="0" distL="0" distR="0" wp14:anchorId="2BB43D9C" wp14:editId="00FA0D5A">
            <wp:extent cx="5939790" cy="2273935"/>
            <wp:effectExtent l="0" t="0" r="3810" b="0"/>
            <wp:docPr id="777985643" name="Picture 4" descr="A diagram of a networ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7985643" name="Picture 4" descr="A diagram of a network&#10;&#10;Description automatically generated"/>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939790" cy="2273935"/>
                    </a:xfrm>
                    <a:prstGeom prst="rect">
                      <a:avLst/>
                    </a:prstGeom>
                    <a:noFill/>
                    <a:ln>
                      <a:noFill/>
                    </a:ln>
                  </pic:spPr>
                </pic:pic>
              </a:graphicData>
            </a:graphic>
          </wp:inline>
        </w:drawing>
      </w:r>
    </w:p>
    <w:p w14:paraId="68C94AC9" w14:textId="714E6F27" w:rsidR="00226142" w:rsidRDefault="0033189E" w:rsidP="00D52313">
      <w:pPr>
        <w:pStyle w:val="Caption"/>
      </w:pPr>
      <w:bookmarkStart w:id="78" w:name="_Toc159825975"/>
      <w:r>
        <w:t xml:space="preserve">Figure </w:t>
      </w:r>
      <w:r>
        <w:fldChar w:fldCharType="begin"/>
      </w:r>
      <w:r>
        <w:instrText xml:space="preserve"> SEQ Figure \* ARABIC </w:instrText>
      </w:r>
      <w:r>
        <w:fldChar w:fldCharType="separate"/>
      </w:r>
      <w:r w:rsidR="00C54A78">
        <w:rPr>
          <w:noProof/>
        </w:rPr>
        <w:t>13</w:t>
      </w:r>
      <w:r>
        <w:fldChar w:fldCharType="end"/>
      </w:r>
      <w:r>
        <w:t xml:space="preserve">: </w:t>
      </w:r>
      <w:r w:rsidRPr="00C36449">
        <w:t>The effect of selective backpropagation on a simple MLP model.</w:t>
      </w:r>
      <w:bookmarkEnd w:id="78"/>
    </w:p>
    <w:p w14:paraId="646802FE" w14:textId="76887C3D" w:rsidR="001109F8" w:rsidRDefault="001109F8" w:rsidP="00E65F65">
      <w:pPr>
        <w:pStyle w:val="Heading3"/>
      </w:pPr>
      <w:bookmarkStart w:id="79" w:name="_Toc161431106"/>
      <w:r>
        <w:t>3.4.4 Loss Function</w:t>
      </w:r>
      <w:r w:rsidR="003849CB">
        <w:t xml:space="preserve"> and Optimizer</w:t>
      </w:r>
      <w:bookmarkEnd w:id="79"/>
    </w:p>
    <w:p w14:paraId="6DF6C9AB" w14:textId="5A22F6B1" w:rsidR="00490104" w:rsidRDefault="00DD3626" w:rsidP="00582302">
      <w:pPr>
        <w:pStyle w:val="NormalWeb"/>
        <w:spacing w:before="0" w:beforeAutospacing="0" w:after="0" w:afterAutospacing="0" w:line="480" w:lineRule="auto"/>
      </w:pPr>
      <w:r>
        <w:rPr>
          <w:color w:val="000000"/>
        </w:rPr>
        <w:tab/>
      </w:r>
      <w:r w:rsidR="00490104">
        <w:t xml:space="preserve">The loss function is a composite one, consisting of a linear combination of the weighted sum of squared errors </w:t>
      </w:r>
      <w:r w:rsidR="00734BCC">
        <w:t>(SSE)</w:t>
      </w:r>
      <w:r w:rsidR="00F60A0C">
        <w:t>, which I will refer to as the pixel loss,</w:t>
      </w:r>
      <w:r w:rsidR="00734BCC">
        <w:t xml:space="preserve"> </w:t>
      </w:r>
      <w:r w:rsidR="00490104">
        <w:t xml:space="preserve">and the multi-scale structural </w:t>
      </w:r>
      <w:r w:rsidR="00490104">
        <w:lastRenderedPageBreak/>
        <w:t>similarity index</w:t>
      </w:r>
      <w:r w:rsidR="00734BCC">
        <w:t xml:space="preserve"> (MS-SSI</w:t>
      </w:r>
      <w:r w:rsidR="00764226">
        <w:t>M</w:t>
      </w:r>
      <w:r w:rsidR="00734BCC">
        <w:t>)</w:t>
      </w:r>
      <w:r w:rsidR="00F60A0C">
        <w:t xml:space="preserve">, which I </w:t>
      </w:r>
      <w:r w:rsidR="00795732">
        <w:t xml:space="preserve">convert into </w:t>
      </w:r>
      <w:r w:rsidR="00485E85">
        <w:t xml:space="preserve">a </w:t>
      </w:r>
      <w:r w:rsidR="00F60A0C">
        <w:t>patch loss</w:t>
      </w:r>
      <w:r w:rsidR="00490104">
        <w:t>. The prior optimizes the accuracy of each pixel, while the latter maintains coherence in the overall structure of the constructed AOD map</w:t>
      </w:r>
      <w:r w:rsidR="00171D59">
        <w:t xml:space="preserve"> </w:t>
      </w:r>
      <w:r w:rsidR="00171D59">
        <w:fldChar w:fldCharType="begin"/>
      </w:r>
      <w:r w:rsidR="00BB6527">
        <w:instrText xml:space="preserve"> ADDIN ZOTERO_ITEM CSL_CITATION {"citationID":"vyJFY1p9","properties":{"formattedCitation":"(Huang et al., 2020)","plainCitation":"(Huang et al., 2020)","noteIndex":0},"citationItems":[{"id":20,"uris":["http://zotero.org/users/8992256/items/XEPTYGQ7"],"itemData":{"id":20,"type":"paper-conference","abstract":"Recently, a growing interest has been seen in deep learningbased semantic segmentation. UNet, which is one of deep learning networks with an encoder-decoder architecture, is widely used in medical image segmentation. Combining multi-scale features is one of important factors for accurate segmentation. UNet++ was developed as a modified Unet by designing an architecture with nested and dense skip connections. However, it does not explore sufficient information from full scales and there is still a large room for improvement. In this paper, we propose a novel UNet 3+, which takes advantage of full-scale skip connections and deep supervisions. The full-scale skip connections incorporate low-level details with high-level semantics from feature maps in different scales; while the deep supervision learns hierarchical representations from the full-scale aggregated feature maps. The proposed method is especially benefiting for organs that appear at varying scales. In addition to accuracy improvements, the proposed UNet 3+ can reduce the network parameters to improve the computation efficiency. We further propose a hybrid loss function and devise a classification-guided module to enhance the organ boundary and reduce the over-segmentation in a non-organ image, yielding more accurate segmentation results. The effectiveness of the proposed method is demonstrated on two datasets. The code is available at: github.com/ZJUGiveLab/UNet-Version Index Terms—Segmentation, Full-scale skip connection, Deep supervision, Hybrid loss function, Classification.","container-title":"ICASSP 2020 - 2020 IEEE International Conference on Acoustics, Speech and Signal Processing (ICASSP)","DOI":"10.1109/ICASSP40776.2020.9053405","event-place":"Barcelona, Spain","event-title":"ICASSP 2020 - 2020 IEEE International Conference on Acoustics, Speech and Signal Processing (ICASSP)","ISBN":"978-1-5090-6631-5","language":"en","page":"1055-1059","publisher":"IEEE","publisher-place":"Barcelona, Spain","source":"DOI.org (Crossref)","title":"UNet 3+: A Full-Scale Connected UNet for Medical Image Segmentation","title-short":"UNet 3+","URL":"https://ieeexplore.ieee.org/document/9053405/","author":[{"family":"Huang","given":"Huimin"},{"family":"Lin","given":"Lanfen"},{"family":"Tong","given":"Ruofeng"},{"family":"Hu","given":"Hongjie"},{"family":"Zhang","given":"Qiaowei"},{"family":"Iwamoto","given":"Yutaro"},{"family":"Han","given":"Xianhua"},{"family":"Chen","given":"Yen-Wei"},{"family":"Wu","given":"Jian"}],"accessed":{"date-parts":[["2022",8,18]]},"issued":{"date-parts":[["2020",5]]},"citation-key":"huangUNetFullScaleConnected2020"}}],"schema":"https://github.com/citation-style-language/schema/raw/master/csl-citation.json"} </w:instrText>
      </w:r>
      <w:r w:rsidR="00171D59">
        <w:fldChar w:fldCharType="separate"/>
      </w:r>
      <w:r w:rsidR="00171D59" w:rsidRPr="00171D59">
        <w:t>(Huang et al., 2020)</w:t>
      </w:r>
      <w:r w:rsidR="00171D59">
        <w:fldChar w:fldCharType="end"/>
      </w:r>
      <w:r w:rsidR="00490104">
        <w:t>.</w:t>
      </w:r>
    </w:p>
    <w:p w14:paraId="7D1ED8E5" w14:textId="1831C80C" w:rsidR="00DE0C32" w:rsidRDefault="00DE0C32" w:rsidP="00582302">
      <w:pPr>
        <w:pStyle w:val="NormalWeb"/>
        <w:spacing w:before="0" w:beforeAutospacing="0" w:after="0" w:afterAutospacing="0" w:line="480" w:lineRule="auto"/>
      </w:pPr>
      <w:r>
        <w:tab/>
      </w:r>
      <w:r w:rsidR="00734BCC">
        <w:t xml:space="preserve">The </w:t>
      </w:r>
      <w:r w:rsidR="00A641D7">
        <w:t>pixel loss</w:t>
      </w:r>
      <w:r w:rsidR="00734BCC">
        <w:t xml:space="preserve"> </w:t>
      </w:r>
      <w:r w:rsidR="006F3AB2">
        <w:t>is calculated as</w:t>
      </w:r>
    </w:p>
    <w:p w14:paraId="47DA1D29" w14:textId="77689252" w:rsidR="00803901" w:rsidRPr="0082639B" w:rsidRDefault="00000000" w:rsidP="0082639B">
      <w:pPr>
        <w:pStyle w:val="NormalWeb"/>
        <w:spacing w:before="0" w:beforeAutospacing="0" w:after="0" w:afterAutospacing="0" w:line="480" w:lineRule="auto"/>
        <w:jc w:val="center"/>
        <w:rPr>
          <w:color w:val="000000"/>
        </w:rPr>
      </w:pPr>
      <m:oMath>
        <m:sSub>
          <m:sSubPr>
            <m:ctrlPr>
              <w:rPr>
                <w:rFonts w:ascii="Cambria Math" w:hAnsi="Cambria Math"/>
                <w:i/>
              </w:rPr>
            </m:ctrlPr>
          </m:sSubPr>
          <m:e>
            <m:r>
              <w:rPr>
                <w:rFonts w:ascii="Cambria Math" w:hAnsi="Cambria Math"/>
              </w:rPr>
              <m:t>l</m:t>
            </m:r>
          </m:e>
          <m:sub>
            <m:r>
              <m:rPr>
                <m:nor/>
              </m:rPr>
              <w:rPr>
                <w:rFonts w:ascii="Cambria Math" w:hAnsi="Cambria Math"/>
              </w:rPr>
              <m:t>pixel</m:t>
            </m:r>
          </m:sub>
        </m:sSub>
        <m:r>
          <w:rPr>
            <w:rFonts w:ascii="Cambria Math" w:hAnsi="Cambria Math"/>
          </w:rPr>
          <m:t>=</m:t>
        </m:r>
        <m:nary>
          <m:naryPr>
            <m:chr m:val="∑"/>
            <m:supHide m:val="1"/>
            <m:ctrlPr>
              <w:rPr>
                <w:rFonts w:ascii="Cambria Math" w:hAnsi="Cambria Math"/>
              </w:rPr>
            </m:ctrlPr>
          </m:naryPr>
          <m:sub>
            <m:r>
              <w:rPr>
                <w:rFonts w:ascii="Cambria Math" w:hAnsi="Cambria Math"/>
              </w:rPr>
              <m:t>p</m:t>
            </m:r>
            <m:r>
              <m:rPr>
                <m:sty m:val="p"/>
              </m:rPr>
              <w:rPr>
                <w:rFonts w:ascii="Cambria Math" w:hAnsi="Cambria Math"/>
              </w:rPr>
              <m:t>∈</m:t>
            </m:r>
            <m:r>
              <w:rPr>
                <w:rFonts w:ascii="Cambria Math" w:hAnsi="Cambria Math"/>
              </w:rPr>
              <m:t>P</m:t>
            </m:r>
            <m:ctrlPr>
              <w:rPr>
                <w:rFonts w:ascii="Cambria Math" w:hAnsi="Cambria Math"/>
                <w:i/>
              </w:rPr>
            </m:ctrlPr>
          </m:sub>
          <m:sup>
            <m:ctrlPr>
              <w:rPr>
                <w:rFonts w:ascii="Cambria Math" w:hAnsi="Cambria Math"/>
                <w:i/>
              </w:rPr>
            </m:ctrlPr>
          </m:sup>
          <m:e>
            <m:sSub>
              <m:sSubPr>
                <m:ctrlPr>
                  <w:rPr>
                    <w:rFonts w:ascii="Cambria Math" w:hAnsi="Cambria Math"/>
                    <w:i/>
                  </w:rPr>
                </m:ctrlPr>
              </m:sSubPr>
              <m:e>
                <m:r>
                  <w:rPr>
                    <w:rFonts w:ascii="Cambria Math" w:hAnsi="Cambria Math"/>
                  </w:rPr>
                  <m:t>w</m:t>
                </m:r>
              </m:e>
              <m:sub>
                <m:r>
                  <w:rPr>
                    <w:rFonts w:ascii="Cambria Math" w:hAnsi="Cambria Math"/>
                  </w:rPr>
                  <m:t>p</m:t>
                </m:r>
              </m:sub>
            </m:sSub>
            <m:sSup>
              <m:sSupPr>
                <m:ctrlPr>
                  <w:rPr>
                    <w:rFonts w:ascii="Cambria Math" w:hAnsi="Cambria Math"/>
                    <w:i/>
                  </w:rPr>
                </m:ctrlPr>
              </m:sSupPr>
              <m:e>
                <m:d>
                  <m:dPr>
                    <m:ctrlPr>
                      <w:rPr>
                        <w:rFonts w:ascii="Cambria Math" w:hAnsi="Cambria Math"/>
                        <w:i/>
                      </w:rPr>
                    </m:ctrlPr>
                  </m:dPr>
                  <m:e>
                    <m:acc>
                      <m:accPr>
                        <m:ctrlPr>
                          <w:rPr>
                            <w:rFonts w:ascii="Cambria Math" w:hAnsi="Cambria Math"/>
                          </w:rPr>
                        </m:ctrlPr>
                      </m:accPr>
                      <m:e>
                        <m:sSub>
                          <m:sSubPr>
                            <m:ctrlPr>
                              <w:rPr>
                                <w:rFonts w:ascii="Cambria Math" w:hAnsi="Cambria Math"/>
                                <w:i/>
                              </w:rPr>
                            </m:ctrlPr>
                          </m:sSubPr>
                          <m:e>
                            <m:r>
                              <w:rPr>
                                <w:rFonts w:ascii="Cambria Math" w:hAnsi="Cambria Math"/>
                              </w:rPr>
                              <m:t>y</m:t>
                            </m:r>
                            <m:ctrlPr>
                              <w:rPr>
                                <w:rFonts w:ascii="Cambria Math" w:hAnsi="Cambria Math"/>
                              </w:rPr>
                            </m:ctrlPr>
                          </m:e>
                          <m:sub>
                            <m:r>
                              <w:rPr>
                                <w:rFonts w:ascii="Cambria Math" w:hAnsi="Cambria Math"/>
                              </w:rPr>
                              <m:t>p</m:t>
                            </m:r>
                          </m:sub>
                        </m:sSub>
                      </m:e>
                    </m:acc>
                    <m:r>
                      <w:rPr>
                        <w:rFonts w:ascii="Cambria Math" w:hAnsi="Cambria Math"/>
                      </w:rPr>
                      <m:t>-</m:t>
                    </m:r>
                    <m:sSub>
                      <m:sSubPr>
                        <m:ctrlPr>
                          <w:rPr>
                            <w:rFonts w:ascii="Cambria Math" w:hAnsi="Cambria Math"/>
                            <w:i/>
                          </w:rPr>
                        </m:ctrlPr>
                      </m:sSubPr>
                      <m:e>
                        <m:r>
                          <w:rPr>
                            <w:rFonts w:ascii="Cambria Math" w:hAnsi="Cambria Math"/>
                          </w:rPr>
                          <m:t>y</m:t>
                        </m:r>
                      </m:e>
                      <m:sub>
                        <m:r>
                          <w:rPr>
                            <w:rFonts w:ascii="Cambria Math" w:hAnsi="Cambria Math"/>
                          </w:rPr>
                          <m:t>p</m:t>
                        </m:r>
                      </m:sub>
                    </m:sSub>
                  </m:e>
                </m:d>
              </m:e>
              <m:sup>
                <m:r>
                  <w:rPr>
                    <w:rFonts w:ascii="Cambria Math" w:hAnsi="Cambria Math"/>
                  </w:rPr>
                  <m:t>2</m:t>
                </m:r>
              </m:sup>
            </m:sSup>
            <m:ctrlPr>
              <w:rPr>
                <w:rFonts w:ascii="Cambria Math" w:hAnsi="Cambria Math"/>
                <w:i/>
              </w:rPr>
            </m:ctrlPr>
          </m:e>
        </m:nary>
      </m:oMath>
      <w:r w:rsidR="0082639B">
        <w:rPr>
          <w:color w:val="000000"/>
        </w:rPr>
        <w:t xml:space="preserve">                                (Eq. </w:t>
      </w:r>
      <w:r w:rsidR="00A36745">
        <w:rPr>
          <w:color w:val="000000"/>
        </w:rPr>
        <w:t>6</w:t>
      </w:r>
      <w:r w:rsidR="0082639B">
        <w:rPr>
          <w:color w:val="000000"/>
        </w:rPr>
        <w:t>)</w:t>
      </w:r>
    </w:p>
    <w:p w14:paraId="4272B427" w14:textId="6BC61432" w:rsidR="0067123C" w:rsidRDefault="001A122B" w:rsidP="00582302">
      <w:pPr>
        <w:pStyle w:val="NormalWeb"/>
        <w:spacing w:before="0" w:beforeAutospacing="0" w:after="0" w:afterAutospacing="0" w:line="480" w:lineRule="auto"/>
      </w:pPr>
      <w:r>
        <w:t>where</w:t>
      </w:r>
      <w:r w:rsidR="003F4A24">
        <w:t xml:space="preserve"> </w:t>
      </w:r>
      <m:oMath>
        <m:r>
          <w:rPr>
            <w:rFonts w:ascii="Cambria Math" w:hAnsi="Cambria Math"/>
          </w:rPr>
          <m:t>P</m:t>
        </m:r>
      </m:oMath>
      <w:r w:rsidR="007B3B83">
        <w:t xml:space="preserve"> is the set of all AOD pixels, </w:t>
      </w:r>
      <w:bookmarkStart w:id="80" w:name="_Hlk158185536"/>
      <m:oMath>
        <m:acc>
          <m:accPr>
            <m:ctrlPr>
              <w:rPr>
                <w:rFonts w:ascii="Cambria Math" w:hAnsi="Cambria Math"/>
              </w:rPr>
            </m:ctrlPr>
          </m:accPr>
          <m:e>
            <m:sSub>
              <m:sSubPr>
                <m:ctrlPr>
                  <w:rPr>
                    <w:rFonts w:ascii="Cambria Math" w:hAnsi="Cambria Math"/>
                    <w:i/>
                  </w:rPr>
                </m:ctrlPr>
              </m:sSubPr>
              <m:e>
                <m:r>
                  <w:rPr>
                    <w:rFonts w:ascii="Cambria Math" w:hAnsi="Cambria Math"/>
                  </w:rPr>
                  <m:t>y</m:t>
                </m:r>
                <m:ctrlPr>
                  <w:rPr>
                    <w:rFonts w:ascii="Cambria Math" w:hAnsi="Cambria Math"/>
                  </w:rPr>
                </m:ctrlPr>
              </m:e>
              <m:sub>
                <m:r>
                  <w:rPr>
                    <w:rFonts w:ascii="Cambria Math" w:hAnsi="Cambria Math"/>
                  </w:rPr>
                  <m:t>p</m:t>
                </m:r>
              </m:sub>
            </m:sSub>
          </m:e>
        </m:acc>
      </m:oMath>
      <w:r w:rsidR="0067123C">
        <w:t xml:space="preserve"> </w:t>
      </w:r>
      <w:r w:rsidR="00E63E9F">
        <w:t xml:space="preserve">is </w:t>
      </w:r>
      <w:r w:rsidR="0067123C">
        <w:t xml:space="preserve">the model prediction at pixel </w:t>
      </w:r>
      <m:oMath>
        <m:r>
          <w:rPr>
            <w:rFonts w:ascii="Cambria Math" w:hAnsi="Cambria Math"/>
          </w:rPr>
          <m:t>p</m:t>
        </m:r>
      </m:oMath>
      <w:bookmarkEnd w:id="80"/>
      <w:r w:rsidR="0067123C">
        <w:t xml:space="preserve">, </w:t>
      </w:r>
      <m:oMath>
        <m:sSub>
          <m:sSubPr>
            <m:ctrlPr>
              <w:rPr>
                <w:rFonts w:ascii="Cambria Math" w:hAnsi="Cambria Math"/>
                <w:i/>
              </w:rPr>
            </m:ctrlPr>
          </m:sSubPr>
          <m:e>
            <m:r>
              <w:rPr>
                <w:rFonts w:ascii="Cambria Math" w:hAnsi="Cambria Math"/>
              </w:rPr>
              <m:t>y</m:t>
            </m:r>
          </m:e>
          <m:sub>
            <m:r>
              <w:rPr>
                <w:rFonts w:ascii="Cambria Math" w:hAnsi="Cambria Math"/>
              </w:rPr>
              <m:t>p</m:t>
            </m:r>
          </m:sub>
        </m:sSub>
      </m:oMath>
      <w:r w:rsidR="00E2790B">
        <w:t xml:space="preserve"> </w:t>
      </w:r>
      <w:r w:rsidR="008A04BB">
        <w:t>is</w:t>
      </w:r>
      <w:r w:rsidR="003F4A24">
        <w:t xml:space="preserve"> </w:t>
      </w:r>
      <w:r w:rsidR="008A04BB">
        <w:t xml:space="preserve">the </w:t>
      </w:r>
      <w:r w:rsidR="00E2790B">
        <w:t>actual AOD value</w:t>
      </w:r>
      <w:r w:rsidR="008A04BB">
        <w:t xml:space="preserve"> at pixel </w:t>
      </w:r>
      <m:oMath>
        <m:r>
          <w:rPr>
            <w:rFonts w:ascii="Cambria Math" w:hAnsi="Cambria Math"/>
          </w:rPr>
          <m:t>p</m:t>
        </m:r>
      </m:oMath>
      <w:r w:rsidR="00E2790B">
        <w:t xml:space="preserve">, and </w:t>
      </w:r>
      <m:oMath>
        <m:sSub>
          <m:sSubPr>
            <m:ctrlPr>
              <w:rPr>
                <w:rFonts w:ascii="Cambria Math" w:hAnsi="Cambria Math"/>
                <w:i/>
              </w:rPr>
            </m:ctrlPr>
          </m:sSubPr>
          <m:e>
            <m:r>
              <w:rPr>
                <w:rFonts w:ascii="Cambria Math" w:hAnsi="Cambria Math"/>
              </w:rPr>
              <m:t>w</m:t>
            </m:r>
          </m:e>
          <m:sub>
            <m:r>
              <w:rPr>
                <w:rFonts w:ascii="Cambria Math" w:hAnsi="Cambria Math"/>
              </w:rPr>
              <m:t>p</m:t>
            </m:r>
          </m:sub>
        </m:sSub>
      </m:oMath>
      <w:r w:rsidR="00E2790B">
        <w:t xml:space="preserve"> is</w:t>
      </w:r>
      <w:r w:rsidR="00E63E9F">
        <w:t xml:space="preserve"> </w:t>
      </w:r>
      <w:r w:rsidR="00E2790B">
        <w:t xml:space="preserve">the training weight </w:t>
      </w:r>
      <w:r w:rsidR="00E24371">
        <w:t xml:space="preserve">associated with pixel </w:t>
      </w:r>
      <m:oMath>
        <m:r>
          <w:rPr>
            <w:rFonts w:ascii="Cambria Math" w:hAnsi="Cambria Math"/>
          </w:rPr>
          <m:t>p</m:t>
        </m:r>
      </m:oMath>
      <w:r w:rsidR="00E24371">
        <w:t>.</w:t>
      </w:r>
    </w:p>
    <w:p w14:paraId="7D761814" w14:textId="65FC8760" w:rsidR="00A641D7" w:rsidRDefault="00A641D7" w:rsidP="00582302">
      <w:pPr>
        <w:pStyle w:val="NormalWeb"/>
        <w:spacing w:before="0" w:beforeAutospacing="0" w:after="0" w:afterAutospacing="0" w:line="480" w:lineRule="auto"/>
      </w:pPr>
      <w:r>
        <w:tab/>
      </w:r>
      <w:r w:rsidR="00C370DD">
        <w:t>MS-SSIM</w:t>
      </w:r>
      <w:r w:rsidR="00BD6302">
        <w:t xml:space="preserve"> </w:t>
      </w:r>
      <w:r w:rsidR="00C50CDF">
        <w:t xml:space="preserve">considers </w:t>
      </w:r>
      <w:r w:rsidR="005E1A9C">
        <w:t xml:space="preserve">various metrics that roughly correspond to </w:t>
      </w:r>
      <w:r w:rsidR="00EC6E8F">
        <w:t>the luminance, contrast, and covariance</w:t>
      </w:r>
      <w:r w:rsidR="00C50CDF">
        <w:t xml:space="preserve"> of predicted and actual values within </w:t>
      </w:r>
      <w:r w:rsidR="003F4A24">
        <w:t>several</w:t>
      </w:r>
      <w:r w:rsidR="00834DA5">
        <w:t xml:space="preserve"> </w:t>
      </w:r>
      <w:r w:rsidR="00485E85">
        <w:t>differently sized</w:t>
      </w:r>
      <w:r w:rsidR="00834DA5">
        <w:t xml:space="preserve"> sliding windows.</w:t>
      </w:r>
      <w:r w:rsidR="00EC6E8F">
        <w:t xml:space="preserve"> </w:t>
      </w:r>
      <w:r w:rsidR="00C370DD">
        <w:t>It</w:t>
      </w:r>
      <w:r w:rsidR="00764226">
        <w:t xml:space="preserve"> </w:t>
      </w:r>
      <w:r w:rsidR="00EC6E8F">
        <w:t>was developed by Zhou Wang, Eero P. S</w:t>
      </w:r>
      <w:r w:rsidR="00CE5A23">
        <w:t>i</w:t>
      </w:r>
      <w:r w:rsidR="00EC6E8F">
        <w:t xml:space="preserve">moncelli, and Alan C. Bovik </w:t>
      </w:r>
      <w:r w:rsidR="007A3362">
        <w:t xml:space="preserve">initially </w:t>
      </w:r>
      <w:r w:rsidR="00CE5A23">
        <w:t>for image quality assessment</w:t>
      </w:r>
      <w:r w:rsidR="00D10A15">
        <w:t xml:space="preserve"> </w:t>
      </w:r>
      <w:r w:rsidR="00CE5A23">
        <w:t xml:space="preserve">, </w:t>
      </w:r>
      <w:r w:rsidR="008A70DE">
        <w:t>but</w:t>
      </w:r>
      <w:r w:rsidR="00692A06">
        <w:t xml:space="preserve"> </w:t>
      </w:r>
      <w:r w:rsidR="00601DCF">
        <w:t xml:space="preserve">was </w:t>
      </w:r>
      <w:r w:rsidR="00C370DD">
        <w:t xml:space="preserve">converted into </w:t>
      </w:r>
      <w:r w:rsidR="0057399D">
        <w:t xml:space="preserve">a </w:t>
      </w:r>
      <w:r w:rsidR="001F43BE">
        <w:t xml:space="preserve">loss term in the </w:t>
      </w:r>
      <w:r w:rsidR="00601DCF">
        <w:t xml:space="preserve">original </w:t>
      </w:r>
      <w:r w:rsidR="001F43BE">
        <w:t xml:space="preserve">UNet 3+ </w:t>
      </w:r>
      <w:r w:rsidR="00601DCF">
        <w:t>paper as well</w:t>
      </w:r>
      <w:r w:rsidR="002C422F">
        <w:t xml:space="preserve"> </w:t>
      </w:r>
      <w:r w:rsidR="00294BE4">
        <w:fldChar w:fldCharType="begin"/>
      </w:r>
      <w:r w:rsidR="00BB6527">
        <w:instrText xml:space="preserve"> ADDIN ZOTERO_ITEM CSL_CITATION {"citationID":"ungoaeLf","properties":{"formattedCitation":"(Huang et al., 2020, p. 3)","plainCitation":"(Huang et al., 2020, p. 3)","dontUpdate":true,"noteIndex":0},"citationItems":[{"id":20,"uris":["http://zotero.org/users/8992256/items/XEPTYGQ7"],"itemData":{"id":20,"type":"paper-conference","abstract":"Recently, a growing interest has been seen in deep learningbased semantic segmentation. UNet, which is one of deep learning networks with an encoder-decoder architecture, is widely used in medical image segmentation. Combining multi-scale features is one of important factors for accurate segmentation. UNet++ was developed as a modified Unet by designing an architecture with nested and dense skip connections. However, it does not explore sufficient information from full scales and there is still a large room for improvement. In this paper, we propose a novel UNet 3+, which takes advantage of full-scale skip connections and deep supervisions. The full-scale skip connections incorporate low-level details with high-level semantics from feature maps in different scales; while the deep supervision learns hierarchical representations from the full-scale aggregated feature maps. The proposed method is especially benefiting for organs that appear at varying scales. In addition to accuracy improvements, the proposed UNet 3+ can reduce the network parameters to improve the computation efficiency. We further propose a hybrid loss function and devise a classification-guided module to enhance the organ boundary and reduce the over-segmentation in a non-organ image, yielding more accurate segmentation results. The effectiveness of the proposed method is demonstrated on two datasets. The code is available at: github.com/ZJUGiveLab/UNet-Version Index Terms—Segmentation, Full-scale skip connection, Deep supervision, Hybrid loss function, Classification.","container-title":"ICASSP 2020 - 2020 IEEE International Conference on Acoustics, Speech and Signal Processing (ICASSP)","DOI":"10.1109/ICASSP40776.2020.9053405","event-place":"Barcelona, Spain","event-title":"ICASSP 2020 - 2020 IEEE International Conference on Acoustics, Speech and Signal Processing (ICASSP)","ISBN":"978-1-5090-6631-5","language":"en","page":"1055-1059","publisher":"IEEE","publisher-place":"Barcelona, Spain","source":"DOI.org (Crossref)","title":"UNet 3+: A Full-Scale Connected UNet for Medical Image Segmentation","title-short":"UNet 3+","URL":"https://ieeexplore.ieee.org/document/9053405/","author":[{"family":"Huang","given":"Huimin"},{"family":"Lin","given":"Lanfen"},{"family":"Tong","given":"Ruofeng"},{"family":"Hu","given":"Hongjie"},{"family":"Zhang","given":"Qiaowei"},{"family":"Iwamoto","given":"Yutaro"},{"family":"Han","given":"Xianhua"},{"family":"Chen","given":"Yen-Wei"},{"family":"Wu","given":"Jian"}],"accessed":{"date-parts":[["2022",8,18]]},"issued":{"date-parts":[["2020",5]]},"citation-key":"huangUNetFullScaleConnected2020"},"locator":"3"}],"schema":"https://github.com/citation-style-language/schema/raw/master/csl-citation.json"} </w:instrText>
      </w:r>
      <w:r w:rsidR="00294BE4">
        <w:fldChar w:fldCharType="separate"/>
      </w:r>
      <w:r w:rsidR="001E0537" w:rsidRPr="001E0537">
        <w:t>(Huang et al., 2020)</w:t>
      </w:r>
      <w:r w:rsidR="00294BE4">
        <w:fldChar w:fldCharType="end"/>
      </w:r>
      <w:r w:rsidR="00294BE4">
        <w:t>.</w:t>
      </w:r>
      <w:r w:rsidR="000117FC">
        <w:t xml:space="preserve"> </w:t>
      </w:r>
      <w:r w:rsidR="00C35512">
        <w:t xml:space="preserve">Since MS-SSIM ranges from 0 (worst score) to 1 (perfect score) and loss functions need to increase </w:t>
      </w:r>
      <w:r w:rsidR="00DC6BD4">
        <w:t xml:space="preserve">as performance worsens, MS-SSIM is converted into the patch loss </w:t>
      </w:r>
      <w:r w:rsidR="000117FC">
        <w:t xml:space="preserve">simply </w:t>
      </w:r>
      <w:r w:rsidR="00DC6BD4">
        <w:t xml:space="preserve">by </w:t>
      </w:r>
      <w:r w:rsidR="009A2BE8">
        <w:t xml:space="preserve">subtracting </w:t>
      </w:r>
      <w:r w:rsidR="00DC6BD4">
        <w:t xml:space="preserve">it </w:t>
      </w:r>
      <w:r w:rsidR="009A2BE8">
        <w:t>from one</w:t>
      </w:r>
      <w:r w:rsidR="00BB370D">
        <w:t>.</w:t>
      </w:r>
    </w:p>
    <w:p w14:paraId="2B36CEB2" w14:textId="2AB1DF81" w:rsidR="00DF762B" w:rsidRDefault="00DF762B" w:rsidP="00582302">
      <w:pPr>
        <w:pStyle w:val="NormalWeb"/>
        <w:spacing w:before="0" w:beforeAutospacing="0" w:after="0" w:afterAutospacing="0" w:line="480" w:lineRule="auto"/>
      </w:pPr>
      <w:r>
        <w:tab/>
        <w:t xml:space="preserve">These two losses are combined </w:t>
      </w:r>
      <w:r w:rsidR="00C14749">
        <w:t>as a linear combination, i.e.</w:t>
      </w:r>
    </w:p>
    <w:p w14:paraId="1402EE9B" w14:textId="1864BA48" w:rsidR="008A70DE" w:rsidRPr="008A70DE" w:rsidRDefault="00C14749" w:rsidP="008A70DE">
      <w:pPr>
        <w:pStyle w:val="NormalWeb"/>
        <w:spacing w:before="0" w:beforeAutospacing="0" w:after="0" w:afterAutospacing="0" w:line="480" w:lineRule="auto"/>
        <w:jc w:val="center"/>
        <w:rPr>
          <w:color w:val="000000"/>
        </w:rPr>
      </w:pPr>
      <m:oMath>
        <m:r>
          <w:rPr>
            <w:rFonts w:ascii="Cambria Math" w:hAnsi="Cambria Math"/>
          </w:rPr>
          <m:t>l=</m:t>
        </m:r>
        <m:r>
          <m:rPr>
            <m:sty m:val="p"/>
          </m:rPr>
          <w:rPr>
            <w:rFonts w:ascii="Cambria Math" w:hAnsi="Cambria Math"/>
          </w:rPr>
          <m:t>α</m:t>
        </m:r>
        <m:sSub>
          <m:sSubPr>
            <m:ctrlPr>
              <w:rPr>
                <w:rFonts w:ascii="Cambria Math" w:hAnsi="Cambria Math"/>
                <w:i/>
              </w:rPr>
            </m:ctrlPr>
          </m:sSubPr>
          <m:e>
            <m:r>
              <w:rPr>
                <w:rFonts w:ascii="Cambria Math" w:hAnsi="Cambria Math"/>
              </w:rPr>
              <m:t>l</m:t>
            </m:r>
          </m:e>
          <m:sub>
            <m:r>
              <m:rPr>
                <m:nor/>
              </m:rPr>
              <w:rPr>
                <w:rFonts w:ascii="Cambria Math" w:hAnsi="Cambria Math"/>
              </w:rPr>
              <m:t>pixel</m:t>
            </m:r>
          </m:sub>
        </m:sSub>
        <m:r>
          <w:rPr>
            <w:rFonts w:ascii="Cambria Math" w:hAnsi="Cambria Math"/>
          </w:rPr>
          <m:t>+</m:t>
        </m:r>
        <m:r>
          <m:rPr>
            <m:sty m:val="p"/>
          </m:rPr>
          <w:rPr>
            <w:rFonts w:ascii="Cambria Math" w:hAnsi="Cambria Math"/>
          </w:rPr>
          <m:t>β</m:t>
        </m:r>
        <m:sSub>
          <m:sSubPr>
            <m:ctrlPr>
              <w:rPr>
                <w:rFonts w:ascii="Cambria Math" w:hAnsi="Cambria Math"/>
                <w:i/>
              </w:rPr>
            </m:ctrlPr>
          </m:sSubPr>
          <m:e>
            <m:r>
              <w:rPr>
                <w:rFonts w:ascii="Cambria Math" w:hAnsi="Cambria Math"/>
              </w:rPr>
              <m:t>l</m:t>
            </m:r>
          </m:e>
          <m:sub>
            <m:r>
              <m:rPr>
                <m:nor/>
              </m:rPr>
              <w:rPr>
                <w:rFonts w:ascii="Cambria Math" w:hAnsi="Cambria Math"/>
              </w:rPr>
              <m:t>patch</m:t>
            </m:r>
          </m:sub>
        </m:sSub>
      </m:oMath>
      <w:r w:rsidR="008A70DE">
        <w:rPr>
          <w:color w:val="000000"/>
        </w:rPr>
        <w:t xml:space="preserve">                                (Eq. </w:t>
      </w:r>
      <w:r w:rsidR="00A36745">
        <w:rPr>
          <w:color w:val="000000"/>
        </w:rPr>
        <w:t>7</w:t>
      </w:r>
      <w:r w:rsidR="008A70DE">
        <w:rPr>
          <w:color w:val="000000"/>
        </w:rPr>
        <w:t>)</w:t>
      </w:r>
    </w:p>
    <w:p w14:paraId="534B0114" w14:textId="13C552B7" w:rsidR="00C14749" w:rsidRDefault="001B5E9F" w:rsidP="00582302">
      <w:pPr>
        <w:pStyle w:val="NormalWeb"/>
        <w:spacing w:before="0" w:beforeAutospacing="0" w:after="0" w:afterAutospacing="0" w:line="480" w:lineRule="auto"/>
      </w:pPr>
      <w:r>
        <w:t>This loss function is the one the model is trained on.</w:t>
      </w:r>
    </w:p>
    <w:p w14:paraId="4DC1370F" w14:textId="7BFC5958" w:rsidR="00B71D04" w:rsidRPr="00C14749" w:rsidRDefault="00B71D04" w:rsidP="00582302">
      <w:pPr>
        <w:pStyle w:val="NormalWeb"/>
        <w:spacing w:before="0" w:beforeAutospacing="0" w:after="0" w:afterAutospacing="0" w:line="480" w:lineRule="auto"/>
      </w:pPr>
      <w:r>
        <w:tab/>
      </w:r>
      <w:r w:rsidR="00E3254E">
        <w:t xml:space="preserve">We use the </w:t>
      </w:r>
      <w:r w:rsidR="00AA71E8">
        <w:t>Adam</w:t>
      </w:r>
      <w:r w:rsidR="00E3254E">
        <w:t xml:space="preserve"> optimizer </w:t>
      </w:r>
      <w:r w:rsidR="00AB4823">
        <w:t xml:space="preserve">to tune the model weights during training. </w:t>
      </w:r>
      <w:r w:rsidR="00AA71E8">
        <w:t xml:space="preserve">Adam is a </w:t>
      </w:r>
      <w:r w:rsidR="008B6ECF">
        <w:t>momentum</w:t>
      </w:r>
      <w:r w:rsidR="00456CDB">
        <w:t>-based gradient descent algorith</w:t>
      </w:r>
      <w:r w:rsidR="0073663B">
        <w:t>m</w:t>
      </w:r>
      <w:r w:rsidR="00EA1391">
        <w:t xml:space="preserve"> developed by Kingma and Ba </w:t>
      </w:r>
      <w:r w:rsidR="000E49EF">
        <w:t>(2017)</w:t>
      </w:r>
      <w:r w:rsidR="0073663B">
        <w:t xml:space="preserve"> that </w:t>
      </w:r>
      <w:r w:rsidR="00EA1391">
        <w:t xml:space="preserve">efficiently </w:t>
      </w:r>
      <w:r w:rsidR="0073663B">
        <w:t xml:space="preserve">computes adaptive learning rates </w:t>
      </w:r>
      <w:r w:rsidR="007458B0">
        <w:t>for different model parameters</w:t>
      </w:r>
      <w:r w:rsidR="00D10A15">
        <w:t xml:space="preserve"> </w:t>
      </w:r>
      <w:r w:rsidR="00EA1391">
        <w:fldChar w:fldCharType="begin"/>
      </w:r>
      <w:r w:rsidR="00BB6527">
        <w:instrText xml:space="preserve"> ADDIN ZOTERO_ITEM CSL_CITATION {"citationID":"9FoqfRJ5","properties":{"formattedCitation":"(Kingma &amp; Ba, 2017)","plainCitation":"(Kingma &amp; Ba, 2017)","noteIndex":0},"citationItems":[{"id":510,"uris":["http://zotero.org/groups/4584967/items/E264YKCR"],"itemData":{"id":510,"type":"article","abstract":"We introduce Adam, an algorithm for first-order gradient-based optimization of stochastic objective functions, based on adaptive estimates of lower-order moments. The method is straightforward to implement, is computationally efficient, has little memory requirements, is invariant to diagonal rescaling of the gradients, and is well suited for problems that are large in terms of data and/or parameters. The method is also appropriate for non-stationary objectives and problems with very noisy and/or sparse gradients. The hyper-parameters have intuitive interpretations and typically require little tuning. Some connections to related algorithms, on which Adam was inspired, are discussed. We also analyze the theoretical convergence properties of the algorithm and provide a regret bound on the convergence rate that is comparable to the best known results under the online convex optimization framework. Empirical results demonstrate that Adam works well in practice and compares favorably to other stochastic optimization methods. Finally, we discuss AdaMax, a variant of Adam based on the infinity norm.","DOI":"10.48550/arXiv.1412.6980","note":"arXiv:1412.6980 [cs]","number":"arXiv:1412.6980","publisher":"arXiv","source":"arXiv.org","title":"Adam: A Method for Stochastic Optimization","title-short":"Adam","URL":"http://arxiv.org/abs/1412.6980","author":[{"family":"Kingma","given":"Diederik P."},{"family":"Ba","given":"Jimmy"}],"accessed":{"date-parts":[["2024",2,7]]},"issued":{"date-parts":[["2017",1,29]]},"citation-key":"kingmaAdamMethodStochastic2017"}}],"schema":"https://github.com/citation-style-language/schema/raw/master/csl-citation.json"} </w:instrText>
      </w:r>
      <w:r w:rsidR="00EA1391">
        <w:fldChar w:fldCharType="separate"/>
      </w:r>
      <w:r w:rsidR="001E0537" w:rsidRPr="001E0537">
        <w:t>(Kingma &amp; Ba, 2017)</w:t>
      </w:r>
      <w:r w:rsidR="00EA1391">
        <w:fldChar w:fldCharType="end"/>
      </w:r>
      <w:r w:rsidR="007458B0">
        <w:t>.</w:t>
      </w:r>
      <w:r w:rsidR="00280333">
        <w:t xml:space="preserve"> </w:t>
      </w:r>
      <w:r w:rsidR="002D0353">
        <w:t>Momentum-</w:t>
      </w:r>
      <w:r w:rsidR="00F562E5">
        <w:t>based optimizers</w:t>
      </w:r>
      <w:r w:rsidR="00280333">
        <w:t xml:space="preserve"> </w:t>
      </w:r>
      <w:r w:rsidR="005415C1">
        <w:t>are</w:t>
      </w:r>
      <w:r w:rsidR="00280333">
        <w:t xml:space="preserve"> </w:t>
      </w:r>
      <w:r w:rsidR="0003227A">
        <w:t>preferable</w:t>
      </w:r>
      <w:r w:rsidR="00280333">
        <w:t xml:space="preserve"> to vanilla gradient descent in </w:t>
      </w:r>
      <w:r w:rsidR="0003227A">
        <w:t xml:space="preserve">this </w:t>
      </w:r>
      <w:r w:rsidR="00280333">
        <w:t xml:space="preserve">research, where </w:t>
      </w:r>
      <w:r w:rsidR="008C37B2">
        <w:t xml:space="preserve">memory limitations necessitate small batch </w:t>
      </w:r>
      <w:r w:rsidR="00AD60E5">
        <w:t>sizes,</w:t>
      </w:r>
      <w:r w:rsidR="008C37B2">
        <w:t xml:space="preserve"> and </w:t>
      </w:r>
      <w:r w:rsidR="00B71E0F">
        <w:t xml:space="preserve">the gradient descent path is likely </w:t>
      </w:r>
      <w:r w:rsidR="00AD60E5">
        <w:lastRenderedPageBreak/>
        <w:t>very erratic. Momentum</w:t>
      </w:r>
      <w:r w:rsidR="00E32418">
        <w:t xml:space="preserve">-based learning schedulers </w:t>
      </w:r>
      <w:r w:rsidR="00AD60E5">
        <w:t>ha</w:t>
      </w:r>
      <w:r w:rsidR="00E32418">
        <w:t>ve</w:t>
      </w:r>
      <w:r w:rsidR="00AD60E5">
        <w:t xml:space="preserve"> been shown to</w:t>
      </w:r>
      <w:r w:rsidR="00E32418">
        <w:t xml:space="preserve"> smooth this trajectory and speed up convergence in </w:t>
      </w:r>
      <w:r w:rsidR="006E6877">
        <w:t>many problems.</w:t>
      </w:r>
    </w:p>
    <w:p w14:paraId="56B17266" w14:textId="2C395811" w:rsidR="0022325F" w:rsidRDefault="0022325F" w:rsidP="0022325F">
      <w:pPr>
        <w:pStyle w:val="Heading3"/>
      </w:pPr>
      <w:bookmarkStart w:id="81" w:name="_Toc161431107"/>
      <w:r>
        <w:t>3.4.</w:t>
      </w:r>
      <w:r w:rsidR="00F51D8B">
        <w:t>5</w:t>
      </w:r>
      <w:r>
        <w:t xml:space="preserve"> Training Hyperparameters</w:t>
      </w:r>
      <w:bookmarkEnd w:id="81"/>
    </w:p>
    <w:p w14:paraId="707E8639" w14:textId="21CC916B" w:rsidR="0022325F" w:rsidRDefault="0022325F" w:rsidP="0022325F">
      <w:pPr>
        <w:pStyle w:val="NormalWeb"/>
        <w:spacing w:before="0" w:beforeAutospacing="0" w:after="0" w:afterAutospacing="0" w:line="480" w:lineRule="auto"/>
        <w:rPr>
          <w:color w:val="000000"/>
        </w:rPr>
      </w:pPr>
      <w:r>
        <w:rPr>
          <w:color w:val="000000"/>
        </w:rPr>
        <w:tab/>
        <w:t xml:space="preserve">The loss function parameters are </w:t>
      </w:r>
      <m:oMath>
        <m:r>
          <m:rPr>
            <m:sty m:val="p"/>
          </m:rPr>
          <w:rPr>
            <w:rFonts w:ascii="Cambria Math" w:hAnsi="Cambria Math"/>
            <w:color w:val="000000"/>
          </w:rPr>
          <m:t>α</m:t>
        </m:r>
        <m:r>
          <w:rPr>
            <w:rFonts w:ascii="Cambria Math" w:hAnsi="Cambria Math"/>
            <w:color w:val="000000"/>
          </w:rPr>
          <m:t>=1e-5,</m:t>
        </m:r>
        <m:r>
          <m:rPr>
            <m:sty m:val="p"/>
          </m:rPr>
          <w:rPr>
            <w:rFonts w:ascii="Cambria Math" w:hAnsi="Cambria Math"/>
            <w:color w:val="000000"/>
          </w:rPr>
          <m:t>β</m:t>
        </m:r>
        <m:r>
          <w:rPr>
            <w:rFonts w:ascii="Cambria Math" w:hAnsi="Cambria Math"/>
            <w:color w:val="000000"/>
          </w:rPr>
          <m:t>=1e-2</m:t>
        </m:r>
      </m:oMath>
      <w:r>
        <w:rPr>
          <w:color w:val="000000"/>
        </w:rPr>
        <w:t xml:space="preserve">. The learning rate is </w:t>
      </w:r>
      <m:oMath>
        <m:r>
          <w:rPr>
            <w:rFonts w:ascii="Cambria Math" w:hAnsi="Cambria Math"/>
            <w:color w:val="000000"/>
          </w:rPr>
          <m:t>1e-5</m:t>
        </m:r>
      </m:oMath>
      <w:r>
        <w:rPr>
          <w:color w:val="000000"/>
        </w:rPr>
        <w:t xml:space="preserve">. The weight decay is </w:t>
      </w:r>
      <m:oMath>
        <m:r>
          <w:rPr>
            <w:rFonts w:ascii="Cambria Math" w:hAnsi="Cambria Math"/>
            <w:color w:val="000000"/>
          </w:rPr>
          <m:t>1e-5</m:t>
        </m:r>
      </m:oMath>
      <w:r>
        <w:rPr>
          <w:color w:val="000000"/>
        </w:rPr>
        <w:t>. The Adam parameters are left as the defaults recommended by the original paper</w:t>
      </w:r>
      <w:r>
        <w:rPr>
          <w:color w:val="000000"/>
        </w:rPr>
        <w:fldChar w:fldCharType="begin"/>
      </w:r>
      <w:r w:rsidR="00BB6527">
        <w:rPr>
          <w:color w:val="000000"/>
        </w:rPr>
        <w:instrText xml:space="preserve"> ADDIN ZOTERO_ITEM CSL_CITATION {"citationID":"hhulYYDx","properties":{"formattedCitation":"(Kingma &amp; Ba, 2017)","plainCitation":"(Kingma &amp; Ba, 2017)","noteIndex":0},"citationItems":[{"id":510,"uris":["http://zotero.org/groups/4584967/items/E264YKCR"],"itemData":{"id":510,"type":"article","abstract":"We introduce Adam, an algorithm for first-order gradient-based optimization of stochastic objective functions, based on adaptive estimates of lower-order moments. The method is straightforward to implement, is computationally efficient, has little memory requirements, is invariant to diagonal rescaling of the gradients, and is well suited for problems that are large in terms of data and/or parameters. The method is also appropriate for non-stationary objectives and problems with very noisy and/or sparse gradients. The hyper-parameters have intuitive interpretations and typically require little tuning. Some connections to related algorithms, on which Adam was inspired, are discussed. We also analyze the theoretical convergence properties of the algorithm and provide a regret bound on the convergence rate that is comparable to the best known results under the online convex optimization framework. Empirical results demonstrate that Adam works well in practice and compares favorably to other stochastic optimization methods. Finally, we discuss AdaMax, a variant of Adam based on the infinity norm.","DOI":"10.48550/arXiv.1412.6980","note":"arXiv:1412.6980 [cs]","number":"arXiv:1412.6980","publisher":"arXiv","source":"arXiv.org","title":"Adam: A Method for Stochastic Optimization","title-short":"Adam","URL":"http://arxiv.org/abs/1412.6980","author":[{"family":"Kingma","given":"Diederik P."},{"family":"Ba","given":"Jimmy"}],"accessed":{"date-parts":[["2024",2,7]]},"issued":{"date-parts":[["2017",1,29]]},"citation-key":"kingmaAdamMethodStochastic2017"}}],"schema":"https://github.com/citation-style-language/schema/raw/master/csl-citation.json"} </w:instrText>
      </w:r>
      <w:r>
        <w:rPr>
          <w:color w:val="000000"/>
        </w:rPr>
        <w:fldChar w:fldCharType="separate"/>
      </w:r>
      <w:r w:rsidRPr="001E0537">
        <w:t>(Kingma &amp; Ba, 2017)</w:t>
      </w:r>
      <w:r>
        <w:rPr>
          <w:color w:val="000000"/>
        </w:rPr>
        <w:fldChar w:fldCharType="end"/>
      </w:r>
      <w:r>
        <w:rPr>
          <w:color w:val="000000"/>
        </w:rPr>
        <w:t xml:space="preserve">. The batch size was set to either 1 or 2 depending on the availability of GPU’s (2 for A100 and 1 for 3090). </w:t>
      </w:r>
    </w:p>
    <w:p w14:paraId="021F1C2C" w14:textId="10F886DD" w:rsidR="007B3B83" w:rsidRPr="004960BB" w:rsidRDefault="0022325F" w:rsidP="004960BB">
      <w:pPr>
        <w:pStyle w:val="NormalWeb"/>
        <w:spacing w:before="0" w:beforeAutospacing="0" w:after="0" w:afterAutospacing="0" w:line="480" w:lineRule="auto"/>
        <w:ind w:firstLine="720"/>
        <w:rPr>
          <w:color w:val="000000"/>
        </w:rPr>
      </w:pPr>
      <w:r>
        <w:rPr>
          <w:color w:val="000000"/>
        </w:rPr>
        <w:t>The complete dataset was split into 90-10 training/validation datasets. Validation was performed at the end of every epoch to guard against overfitting.</w:t>
      </w:r>
    </w:p>
    <w:p w14:paraId="531C71A6" w14:textId="74F5AB92" w:rsidR="001109F8" w:rsidRDefault="001109F8" w:rsidP="00E65F65">
      <w:pPr>
        <w:pStyle w:val="Heading3"/>
      </w:pPr>
      <w:bookmarkStart w:id="82" w:name="_Toc161431108"/>
      <w:r>
        <w:t>3.4.</w:t>
      </w:r>
      <w:r w:rsidR="00F51D8B">
        <w:t>6</w:t>
      </w:r>
      <w:r>
        <w:t xml:space="preserve"> </w:t>
      </w:r>
      <w:r w:rsidR="004F2651">
        <w:t>Input/Output Dimensionality</w:t>
      </w:r>
      <w:bookmarkEnd w:id="82"/>
    </w:p>
    <w:p w14:paraId="0F5BEB8E" w14:textId="6264DD9C" w:rsidR="004875AB" w:rsidRPr="0077292B" w:rsidRDefault="00E3670C" w:rsidP="00582302">
      <w:pPr>
        <w:pStyle w:val="NormalWeb"/>
        <w:spacing w:before="0" w:beforeAutospacing="0" w:after="0" w:afterAutospacing="0" w:line="480" w:lineRule="auto"/>
        <w:rPr>
          <w:color w:val="000000"/>
        </w:rPr>
      </w:pPr>
      <w:r>
        <w:rPr>
          <w:color w:val="000000"/>
        </w:rPr>
        <w:tab/>
      </w:r>
      <w:r w:rsidR="0047023A">
        <w:rPr>
          <w:color w:val="000000"/>
        </w:rPr>
        <w:t xml:space="preserve">Considering the </w:t>
      </w:r>
      <w:r w:rsidR="00C27D0D">
        <w:rPr>
          <w:color w:val="000000"/>
        </w:rPr>
        <w:t>grid size of 360</w:t>
      </w:r>
      <w:r w:rsidR="00AE279E">
        <w:rPr>
          <w:color w:val="000000"/>
        </w:rPr>
        <w:t>x</w:t>
      </w:r>
      <w:r w:rsidR="00E3275E">
        <w:rPr>
          <w:color w:val="000000"/>
        </w:rPr>
        <w:t>515</w:t>
      </w:r>
      <w:r w:rsidR="000A4A1B">
        <w:rPr>
          <w:color w:val="000000"/>
        </w:rPr>
        <w:t xml:space="preserve">, the large </w:t>
      </w:r>
      <w:r w:rsidR="005A6F56">
        <w:rPr>
          <w:color w:val="000000"/>
        </w:rPr>
        <w:t>model size, and limited GPU memory</w:t>
      </w:r>
      <w:r w:rsidR="00E3275E">
        <w:rPr>
          <w:color w:val="000000"/>
        </w:rPr>
        <w:t xml:space="preserve">, </w:t>
      </w:r>
      <w:r w:rsidR="0047023A">
        <w:rPr>
          <w:color w:val="000000"/>
        </w:rPr>
        <w:t xml:space="preserve">we chose to </w:t>
      </w:r>
      <w:r w:rsidR="005A6F56">
        <w:rPr>
          <w:color w:val="000000"/>
        </w:rPr>
        <w:t>make the inputs</w:t>
      </w:r>
      <w:r w:rsidR="00AE279E">
        <w:rPr>
          <w:color w:val="000000"/>
        </w:rPr>
        <w:t xml:space="preserve"> 352x352x90</w:t>
      </w:r>
      <w:r w:rsidR="00F102D6">
        <w:rPr>
          <w:color w:val="000000"/>
        </w:rPr>
        <w:t>, essentially a 352x352 map for each of the 90 input variables.</w:t>
      </w:r>
      <w:r w:rsidR="003F3051">
        <w:rPr>
          <w:color w:val="000000"/>
        </w:rPr>
        <w:t xml:space="preserve"> The 352 comes from the </w:t>
      </w:r>
      <w:r w:rsidR="0077292B">
        <w:rPr>
          <w:color w:val="000000"/>
        </w:rPr>
        <w:t xml:space="preserve">architectural </w:t>
      </w:r>
      <w:r w:rsidR="003F3051">
        <w:rPr>
          <w:color w:val="000000"/>
        </w:rPr>
        <w:t xml:space="preserve">requirement that </w:t>
      </w:r>
      <w:r w:rsidR="00E2344E">
        <w:rPr>
          <w:color w:val="000000"/>
        </w:rPr>
        <w:t xml:space="preserve">the </w:t>
      </w:r>
      <w:r w:rsidR="0077292B">
        <w:rPr>
          <w:color w:val="000000"/>
        </w:rPr>
        <w:t xml:space="preserve">input must be divisible by </w:t>
      </w:r>
      <m:oMath>
        <m:sSup>
          <m:sSupPr>
            <m:ctrlPr>
              <w:rPr>
                <w:rFonts w:ascii="Cambria Math" w:hAnsi="Cambria Math"/>
                <w:i/>
                <w:color w:val="000000"/>
              </w:rPr>
            </m:ctrlPr>
          </m:sSupPr>
          <m:e>
            <m:r>
              <w:rPr>
                <w:rFonts w:ascii="Cambria Math" w:hAnsi="Cambria Math"/>
                <w:color w:val="000000"/>
              </w:rPr>
              <m:t>2</m:t>
            </m:r>
          </m:e>
          <m:sup>
            <m:r>
              <w:rPr>
                <w:rFonts w:ascii="Cambria Math" w:hAnsi="Cambria Math"/>
                <w:color w:val="000000"/>
              </w:rPr>
              <m:t>5</m:t>
            </m:r>
          </m:sup>
        </m:sSup>
      </m:oMath>
      <w:r w:rsidR="0077292B">
        <w:rPr>
          <w:color w:val="000000"/>
        </w:rPr>
        <w:t xml:space="preserve"> in each of the spatial dimensions.</w:t>
      </w:r>
      <w:r w:rsidR="004D7C22">
        <w:rPr>
          <w:color w:val="000000"/>
        </w:rPr>
        <w:t xml:space="preserve"> Samples are drawn from </w:t>
      </w:r>
      <w:r w:rsidR="003B1D2A">
        <w:rPr>
          <w:color w:val="000000"/>
        </w:rPr>
        <w:t xml:space="preserve">the northernmost 352 pixels, with one sample from the westernmost 352 pixels and another from the easternmost 352 pixels. This results in </w:t>
      </w:r>
      <w:r w:rsidR="00CA1900">
        <w:rPr>
          <w:color w:val="000000"/>
        </w:rPr>
        <w:t xml:space="preserve">an overlapping region in the middle. </w:t>
      </w:r>
      <w:r w:rsidR="004875AB">
        <w:rPr>
          <w:color w:val="000000"/>
        </w:rPr>
        <w:t>The output is 352x352x1, i.e</w:t>
      </w:r>
      <w:r w:rsidR="00287991">
        <w:rPr>
          <w:color w:val="000000"/>
        </w:rPr>
        <w:t>.,</w:t>
      </w:r>
      <w:r w:rsidR="004875AB">
        <w:rPr>
          <w:color w:val="000000"/>
        </w:rPr>
        <w:t xml:space="preserve"> the target AOD map.</w:t>
      </w:r>
    </w:p>
    <w:p w14:paraId="347F2EE1" w14:textId="32FB2B2E" w:rsidR="00026BA1" w:rsidRPr="00BF4D89" w:rsidRDefault="008B4E7D" w:rsidP="008B4E7D">
      <w:pPr>
        <w:pStyle w:val="Heading2"/>
      </w:pPr>
      <w:bookmarkStart w:id="83" w:name="_Toc161431109"/>
      <w:r>
        <w:lastRenderedPageBreak/>
        <w:t>3</w:t>
      </w:r>
      <w:r w:rsidR="00026BA1">
        <w:t>.</w:t>
      </w:r>
      <w:r>
        <w:t>5</w:t>
      </w:r>
      <w:r w:rsidR="00026BA1">
        <w:t xml:space="preserve"> Metrics</w:t>
      </w:r>
      <w:bookmarkEnd w:id="83"/>
    </w:p>
    <w:p w14:paraId="0E364050" w14:textId="4E05E289" w:rsidR="00026BA1" w:rsidRDefault="00026BA1" w:rsidP="00026BA1">
      <w:pPr>
        <w:rPr>
          <w:rFonts w:eastAsiaTheme="minorEastAsia"/>
        </w:rPr>
      </w:pPr>
      <w:r>
        <w:tab/>
      </w:r>
      <w:r w:rsidR="00055AFE">
        <w:t>W</w:t>
      </w:r>
      <w:r>
        <w:t>e use a few basic statistical metrics</w:t>
      </w:r>
      <w:r w:rsidR="00055AFE">
        <w:t xml:space="preserve"> to evaluate the performance of the gap-filling model</w:t>
      </w:r>
      <w:r>
        <w:t xml:space="preserve">. The first is root mean square error (RMSE), which signifies the average distance between predictions </w:t>
      </w:r>
      <m:oMath>
        <m:acc>
          <m:accPr>
            <m:ctrlPr>
              <w:rPr>
                <w:rFonts w:ascii="Cambria Math" w:hAnsi="Cambria Math"/>
              </w:rPr>
            </m:ctrlPr>
          </m:accPr>
          <m:e>
            <m:sSub>
              <m:sSubPr>
                <m:ctrlPr>
                  <w:rPr>
                    <w:rFonts w:ascii="Cambria Math" w:hAnsi="Cambria Math"/>
                    <w:i/>
                  </w:rPr>
                </m:ctrlPr>
              </m:sSubPr>
              <m:e>
                <m:r>
                  <w:rPr>
                    <w:rFonts w:ascii="Cambria Math" w:hAnsi="Cambria Math"/>
                  </w:rPr>
                  <m:t>y</m:t>
                </m:r>
                <m:ctrlPr>
                  <w:rPr>
                    <w:rFonts w:ascii="Cambria Math" w:hAnsi="Cambria Math"/>
                  </w:rPr>
                </m:ctrlPr>
              </m:e>
              <m:sub>
                <m:r>
                  <w:rPr>
                    <w:rFonts w:ascii="Cambria Math" w:hAnsi="Cambria Math"/>
                  </w:rPr>
                  <m:t>i</m:t>
                </m:r>
              </m:sub>
            </m:sSub>
          </m:e>
        </m:acc>
      </m:oMath>
      <w:r>
        <w:rPr>
          <w:rFonts w:eastAsiaTheme="minorEastAsia"/>
        </w:rPr>
        <w:t xml:space="preserve"> and targets </w:t>
      </w:r>
      <m:oMath>
        <m:sSub>
          <m:sSubPr>
            <m:ctrlPr>
              <w:rPr>
                <w:rFonts w:ascii="Cambria Math" w:eastAsiaTheme="minorEastAsia" w:hAnsi="Cambria Math"/>
                <w:i/>
              </w:rPr>
            </m:ctrlPr>
          </m:sSubPr>
          <m:e>
            <m:r>
              <w:rPr>
                <w:rFonts w:ascii="Cambria Math" w:eastAsiaTheme="minorEastAsia" w:hAnsi="Cambria Math"/>
              </w:rPr>
              <m:t>y</m:t>
            </m:r>
          </m:e>
          <m:sub>
            <m:r>
              <w:rPr>
                <w:rFonts w:ascii="Cambria Math" w:eastAsiaTheme="minorEastAsia" w:hAnsi="Cambria Math"/>
              </w:rPr>
              <m:t>i</m:t>
            </m:r>
          </m:sub>
        </m:sSub>
      </m:oMath>
      <w:r>
        <w:rPr>
          <w:rFonts w:eastAsiaTheme="minorEastAsia"/>
        </w:rPr>
        <w:t xml:space="preserve"> and is given by</w:t>
      </w:r>
    </w:p>
    <w:p w14:paraId="524DF6FB" w14:textId="39338792" w:rsidR="00026BA1" w:rsidRPr="00BA57D8" w:rsidRDefault="00026BA1" w:rsidP="00BA57D8">
      <w:pPr>
        <w:pStyle w:val="NormalWeb"/>
        <w:spacing w:before="0" w:beforeAutospacing="0" w:after="0" w:afterAutospacing="0" w:line="480" w:lineRule="auto"/>
        <w:jc w:val="center"/>
        <w:rPr>
          <w:color w:val="000000"/>
        </w:rPr>
      </w:pPr>
      <m:oMath>
        <m:r>
          <m:rPr>
            <m:nor/>
          </m:rPr>
          <w:rPr>
            <w:rFonts w:ascii="Cambria Math" w:eastAsiaTheme="minorEastAsia" w:hAnsi="Cambria Math"/>
          </w:rPr>
          <m:t>RMSE</m:t>
        </m:r>
        <m:r>
          <w:rPr>
            <w:rFonts w:ascii="Cambria Math" w:eastAsiaTheme="minorEastAsia" w:hAnsi="Cambria Math"/>
          </w:rPr>
          <m:t>=</m:t>
        </m:r>
        <m:rad>
          <m:radPr>
            <m:degHide m:val="1"/>
            <m:ctrlPr>
              <w:rPr>
                <w:rFonts w:ascii="Cambria Math" w:eastAsiaTheme="minorEastAsia" w:hAnsi="Cambria Math"/>
              </w:rPr>
            </m:ctrlPr>
          </m:radPr>
          <m:deg>
            <m:ctrlPr>
              <w:rPr>
                <w:rFonts w:ascii="Cambria Math" w:eastAsiaTheme="minorEastAsia" w:hAnsi="Cambria Math"/>
                <w:i/>
              </w:rPr>
            </m:ctrlPr>
          </m:deg>
          <m:e>
            <m:f>
              <m:fPr>
                <m:ctrlPr>
                  <w:rPr>
                    <w:rFonts w:ascii="Cambria Math" w:eastAsiaTheme="minorEastAsia" w:hAnsi="Cambria Math"/>
                  </w:rPr>
                </m:ctrlPr>
              </m:fPr>
              <m:num>
                <m:r>
                  <w:rPr>
                    <w:rFonts w:ascii="Cambria Math" w:eastAsiaTheme="minorEastAsia" w:hAnsi="Cambria Math"/>
                  </w:rPr>
                  <m:t>1</m:t>
                </m:r>
                <m:ctrlPr>
                  <w:rPr>
                    <w:rFonts w:ascii="Cambria Math" w:eastAsiaTheme="minorEastAsia" w:hAnsi="Cambria Math"/>
                    <w:i/>
                  </w:rPr>
                </m:ctrlPr>
              </m:num>
              <m:den>
                <m:r>
                  <w:rPr>
                    <w:rFonts w:ascii="Cambria Math" w:eastAsiaTheme="minorEastAsia" w:hAnsi="Cambria Math"/>
                  </w:rPr>
                  <m:t>N</m:t>
                </m:r>
                <m:ctrlPr>
                  <w:rPr>
                    <w:rFonts w:ascii="Cambria Math" w:eastAsiaTheme="minorEastAsia" w:hAnsi="Cambria Math"/>
                    <w:i/>
                  </w:rPr>
                </m:ctrlPr>
              </m:den>
            </m:f>
            <m:nary>
              <m:naryPr>
                <m:chr m:val="∑"/>
                <m:ctrlPr>
                  <w:rPr>
                    <w:rFonts w:ascii="Cambria Math" w:eastAsiaTheme="minorEastAsia" w:hAnsi="Cambria Math"/>
                  </w:rPr>
                </m:ctrlPr>
              </m:naryPr>
              <m:sub>
                <m:r>
                  <w:rPr>
                    <w:rFonts w:ascii="Cambria Math" w:eastAsiaTheme="minorEastAsia" w:hAnsi="Cambria Math"/>
                  </w:rPr>
                  <m:t>i=1</m:t>
                </m:r>
                <m:ctrlPr>
                  <w:rPr>
                    <w:rFonts w:ascii="Cambria Math" w:eastAsiaTheme="minorEastAsia" w:hAnsi="Cambria Math"/>
                    <w:i/>
                  </w:rPr>
                </m:ctrlPr>
              </m:sub>
              <m:sup>
                <m:r>
                  <w:rPr>
                    <w:rFonts w:ascii="Cambria Math" w:eastAsiaTheme="minorEastAsia" w:hAnsi="Cambria Math"/>
                  </w:rPr>
                  <m:t>N</m:t>
                </m:r>
                <m:ctrlPr>
                  <w:rPr>
                    <w:rFonts w:ascii="Cambria Math" w:eastAsiaTheme="minorEastAsia" w:hAnsi="Cambria Math"/>
                    <w:i/>
                  </w:rPr>
                </m:ctrlPr>
              </m:sup>
              <m:e>
                <m:sSup>
                  <m:sSupPr>
                    <m:ctrlPr>
                      <w:rPr>
                        <w:rFonts w:ascii="Cambria Math" w:eastAsiaTheme="minorEastAsia" w:hAnsi="Cambria Math"/>
                        <w:i/>
                      </w:rPr>
                    </m:ctrlPr>
                  </m:sSupPr>
                  <m:e>
                    <m:d>
                      <m:dPr>
                        <m:ctrlPr>
                          <w:rPr>
                            <w:rFonts w:ascii="Cambria Math" w:eastAsiaTheme="minorEastAsia" w:hAnsi="Cambria Math"/>
                            <w:i/>
                          </w:rPr>
                        </m:ctrlPr>
                      </m:dPr>
                      <m:e>
                        <m:acc>
                          <m:accPr>
                            <m:ctrlPr>
                              <w:rPr>
                                <w:rFonts w:ascii="Cambria Math" w:eastAsiaTheme="minorEastAsia" w:hAnsi="Cambria Math"/>
                              </w:rPr>
                            </m:ctrlPr>
                          </m:accPr>
                          <m:e>
                            <m:sSub>
                              <m:sSubPr>
                                <m:ctrlPr>
                                  <w:rPr>
                                    <w:rFonts w:ascii="Cambria Math" w:eastAsiaTheme="minorEastAsia" w:hAnsi="Cambria Math"/>
                                    <w:i/>
                                  </w:rPr>
                                </m:ctrlPr>
                              </m:sSubPr>
                              <m:e>
                                <m:r>
                                  <w:rPr>
                                    <w:rFonts w:ascii="Cambria Math" w:eastAsiaTheme="minorEastAsia" w:hAnsi="Cambria Math"/>
                                  </w:rPr>
                                  <m:t>y</m:t>
                                </m:r>
                                <m:ctrlPr>
                                  <w:rPr>
                                    <w:rFonts w:ascii="Cambria Math" w:eastAsiaTheme="minorEastAsia" w:hAnsi="Cambria Math"/>
                                  </w:rPr>
                                </m:ctrlPr>
                              </m:e>
                              <m:sub>
                                <m:r>
                                  <w:rPr>
                                    <w:rFonts w:ascii="Cambria Math" w:eastAsiaTheme="minorEastAsia" w:hAnsi="Cambria Math"/>
                                  </w:rPr>
                                  <m:t>i</m:t>
                                </m:r>
                              </m:sub>
                            </m:sSub>
                          </m:e>
                        </m:acc>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y</m:t>
                            </m:r>
                          </m:e>
                          <m:sub>
                            <m:r>
                              <w:rPr>
                                <w:rFonts w:ascii="Cambria Math" w:eastAsiaTheme="minorEastAsia" w:hAnsi="Cambria Math"/>
                              </w:rPr>
                              <m:t>i</m:t>
                            </m:r>
                          </m:sub>
                        </m:sSub>
                      </m:e>
                    </m:d>
                    <m:ctrlPr>
                      <w:rPr>
                        <w:rFonts w:ascii="Cambria Math" w:eastAsiaTheme="minorEastAsia" w:hAnsi="Cambria Math"/>
                      </w:rPr>
                    </m:ctrlPr>
                  </m:e>
                  <m:sup>
                    <m:r>
                      <w:rPr>
                        <w:rFonts w:ascii="Cambria Math" w:eastAsiaTheme="minorEastAsia" w:hAnsi="Cambria Math"/>
                      </w:rPr>
                      <m:t>2</m:t>
                    </m:r>
                  </m:sup>
                </m:sSup>
              </m:e>
            </m:nary>
          </m:e>
        </m:rad>
        <m:r>
          <w:rPr>
            <w:rFonts w:ascii="Cambria Math" w:eastAsiaTheme="minorEastAsia" w:hAnsi="Cambria Math"/>
          </w:rPr>
          <m:t>.</m:t>
        </m:r>
      </m:oMath>
      <w:r w:rsidR="004960BB">
        <w:rPr>
          <w:color w:val="000000"/>
        </w:rPr>
        <w:t xml:space="preserve">                                (Eq. </w:t>
      </w:r>
      <w:r w:rsidR="00A36745">
        <w:rPr>
          <w:color w:val="000000"/>
        </w:rPr>
        <w:t>8</w:t>
      </w:r>
      <w:r w:rsidR="004960BB">
        <w:rPr>
          <w:color w:val="000000"/>
        </w:rPr>
        <w:t>)</w:t>
      </w:r>
    </w:p>
    <w:p w14:paraId="1408E4B0" w14:textId="77777777" w:rsidR="00026BA1" w:rsidRPr="00DC1F4A" w:rsidRDefault="00026BA1" w:rsidP="00026BA1">
      <w:pPr>
        <w:rPr>
          <w:rFonts w:eastAsiaTheme="minorEastAsia"/>
        </w:rPr>
      </w:pPr>
      <w:r>
        <w:rPr>
          <w:rFonts w:eastAsiaTheme="minorEastAsia"/>
        </w:rPr>
        <w:tab/>
        <w:t xml:space="preserve">The Pearson correlation coefficient </w:t>
      </w:r>
      <m:oMath>
        <m:r>
          <w:rPr>
            <w:rFonts w:ascii="Cambria Math" w:eastAsiaTheme="minorEastAsia" w:hAnsi="Cambria Math"/>
          </w:rPr>
          <m:t>r</m:t>
        </m:r>
      </m:oMath>
      <w:r>
        <w:rPr>
          <w:rFonts w:eastAsiaTheme="minorEastAsia"/>
        </w:rPr>
        <w:t xml:space="preserve"> indicates to what degree the predictions and target vary with each other, with 1 being perfectly correlated and -1 being perfectly inversely correlated. It is given by</w:t>
      </w:r>
    </w:p>
    <w:p w14:paraId="3439DDD3" w14:textId="4B379E08" w:rsidR="00026BA1" w:rsidRPr="00BA57D8" w:rsidRDefault="00026BA1" w:rsidP="00BA57D8">
      <w:pPr>
        <w:pStyle w:val="NormalWeb"/>
        <w:spacing w:before="0" w:beforeAutospacing="0" w:after="0" w:afterAutospacing="0" w:line="480" w:lineRule="auto"/>
        <w:jc w:val="center"/>
        <w:rPr>
          <w:color w:val="000000"/>
        </w:rPr>
      </w:pPr>
      <m:oMath>
        <m:r>
          <w:rPr>
            <w:rFonts w:ascii="Cambria Math" w:eastAsiaTheme="minorEastAsia" w:hAnsi="Cambria Math"/>
          </w:rPr>
          <m:t>r=</m:t>
        </m:r>
        <m:f>
          <m:fPr>
            <m:ctrlPr>
              <w:rPr>
                <w:rFonts w:ascii="Cambria Math" w:eastAsiaTheme="minorEastAsia" w:hAnsi="Cambria Math"/>
              </w:rPr>
            </m:ctrlPr>
          </m:fPr>
          <m:num>
            <m:r>
              <w:rPr>
                <w:rFonts w:ascii="Cambria Math" w:eastAsiaTheme="minorEastAsia" w:hAnsi="Cambria Math"/>
              </w:rPr>
              <m:t>cov</m:t>
            </m:r>
            <m:d>
              <m:dPr>
                <m:ctrlPr>
                  <w:rPr>
                    <w:rFonts w:ascii="Cambria Math" w:eastAsiaTheme="minorEastAsia" w:hAnsi="Cambria Math"/>
                    <w:i/>
                  </w:rPr>
                </m:ctrlPr>
              </m:dPr>
              <m:e>
                <m:acc>
                  <m:accPr>
                    <m:ctrlPr>
                      <w:rPr>
                        <w:rFonts w:ascii="Cambria Math" w:eastAsiaTheme="minorEastAsia" w:hAnsi="Cambria Math"/>
                      </w:rPr>
                    </m:ctrlPr>
                  </m:accPr>
                  <m:e>
                    <m:r>
                      <w:rPr>
                        <w:rFonts w:ascii="Cambria Math" w:eastAsiaTheme="minorEastAsia" w:hAnsi="Cambria Math"/>
                      </w:rPr>
                      <m:t>y</m:t>
                    </m:r>
                  </m:e>
                </m:acc>
                <m:r>
                  <w:rPr>
                    <w:rFonts w:ascii="Cambria Math" w:eastAsiaTheme="minorEastAsia" w:hAnsi="Cambria Math"/>
                  </w:rPr>
                  <m:t>,y</m:t>
                </m:r>
              </m:e>
            </m:d>
            <m:ctrlPr>
              <w:rPr>
                <w:rFonts w:ascii="Cambria Math" w:eastAsiaTheme="minorEastAsia" w:hAnsi="Cambria Math"/>
                <w:i/>
              </w:rPr>
            </m:ctrlPr>
          </m:num>
          <m:den>
            <m:sSub>
              <m:sSubPr>
                <m:ctrlPr>
                  <w:rPr>
                    <w:rFonts w:ascii="Cambria Math" w:eastAsiaTheme="minorEastAsia" w:hAnsi="Cambria Math"/>
                    <w:i/>
                  </w:rPr>
                </m:ctrlPr>
              </m:sSubPr>
              <m:e>
                <m:r>
                  <m:rPr>
                    <m:sty m:val="p"/>
                  </m:rPr>
                  <w:rPr>
                    <w:rFonts w:ascii="Cambria Math" w:eastAsiaTheme="minorEastAsia" w:hAnsi="Cambria Math"/>
                  </w:rPr>
                  <m:t>σ</m:t>
                </m:r>
              </m:e>
              <m:sub>
                <m:acc>
                  <m:accPr>
                    <m:ctrlPr>
                      <w:rPr>
                        <w:rFonts w:ascii="Cambria Math" w:eastAsiaTheme="minorEastAsia" w:hAnsi="Cambria Math"/>
                      </w:rPr>
                    </m:ctrlPr>
                  </m:accPr>
                  <m:e>
                    <m:r>
                      <w:rPr>
                        <w:rFonts w:ascii="Cambria Math" w:eastAsiaTheme="minorEastAsia" w:hAnsi="Cambria Math"/>
                      </w:rPr>
                      <m:t>y</m:t>
                    </m:r>
                  </m:e>
                </m:acc>
              </m:sub>
            </m:sSub>
            <m:sSub>
              <m:sSubPr>
                <m:ctrlPr>
                  <w:rPr>
                    <w:rFonts w:ascii="Cambria Math" w:eastAsiaTheme="minorEastAsia" w:hAnsi="Cambria Math"/>
                    <w:i/>
                  </w:rPr>
                </m:ctrlPr>
              </m:sSubPr>
              <m:e>
                <m:r>
                  <m:rPr>
                    <m:sty m:val="p"/>
                  </m:rPr>
                  <w:rPr>
                    <w:rFonts w:ascii="Cambria Math" w:eastAsiaTheme="minorEastAsia" w:hAnsi="Cambria Math"/>
                  </w:rPr>
                  <m:t>σ</m:t>
                </m:r>
                <m:ctrlPr>
                  <w:rPr>
                    <w:rFonts w:ascii="Cambria Math" w:eastAsiaTheme="minorEastAsia" w:hAnsi="Cambria Math"/>
                  </w:rPr>
                </m:ctrlPr>
              </m:e>
              <m:sub>
                <m:r>
                  <w:rPr>
                    <w:rFonts w:ascii="Cambria Math" w:eastAsiaTheme="minorEastAsia" w:hAnsi="Cambria Math"/>
                  </w:rPr>
                  <m:t>y</m:t>
                </m:r>
              </m:sub>
            </m:sSub>
            <m:ctrlPr>
              <w:rPr>
                <w:rFonts w:ascii="Cambria Math" w:eastAsiaTheme="minorEastAsia" w:hAnsi="Cambria Math"/>
                <w:i/>
              </w:rPr>
            </m:ctrlPr>
          </m:den>
        </m:f>
        <m:r>
          <w:rPr>
            <w:rFonts w:ascii="Cambria Math" w:eastAsiaTheme="minorEastAsia" w:hAnsi="Cambria Math"/>
          </w:rPr>
          <m:t>.</m:t>
        </m:r>
      </m:oMath>
      <w:r w:rsidR="00BA57D8">
        <w:rPr>
          <w:color w:val="000000"/>
        </w:rPr>
        <w:t xml:space="preserve">                                (Eq. </w:t>
      </w:r>
      <w:r w:rsidR="00A36745">
        <w:rPr>
          <w:color w:val="000000"/>
        </w:rPr>
        <w:t>9</w:t>
      </w:r>
      <w:r w:rsidR="00BA57D8">
        <w:rPr>
          <w:color w:val="000000"/>
        </w:rPr>
        <w:t>)</w:t>
      </w:r>
    </w:p>
    <w:p w14:paraId="2AFFAFBC" w14:textId="77777777" w:rsidR="00026BA1" w:rsidRDefault="00026BA1" w:rsidP="00026BA1">
      <w:pPr>
        <w:rPr>
          <w:rFonts w:eastAsiaTheme="minorEastAsia"/>
        </w:rPr>
      </w:pPr>
      <w:r>
        <w:rPr>
          <w:rFonts w:eastAsiaTheme="minorEastAsia"/>
        </w:rPr>
        <w:tab/>
        <w:t xml:space="preserve">The coefficient of determination </w:t>
      </w:r>
      <m:oMath>
        <m:sSup>
          <m:sSupPr>
            <m:ctrlPr>
              <w:rPr>
                <w:rFonts w:ascii="Cambria Math" w:eastAsiaTheme="minorEastAsia" w:hAnsi="Cambria Math"/>
                <w:i/>
              </w:rPr>
            </m:ctrlPr>
          </m:sSupPr>
          <m:e>
            <m:r>
              <w:rPr>
                <w:rFonts w:ascii="Cambria Math" w:eastAsiaTheme="minorEastAsia" w:hAnsi="Cambria Math"/>
              </w:rPr>
              <m:t>R</m:t>
            </m:r>
          </m:e>
          <m:sup>
            <m:r>
              <w:rPr>
                <w:rFonts w:ascii="Cambria Math" w:eastAsiaTheme="minorEastAsia" w:hAnsi="Cambria Math"/>
              </w:rPr>
              <m:t>2</m:t>
            </m:r>
          </m:sup>
        </m:sSup>
      </m:oMath>
      <w:r>
        <w:rPr>
          <w:rFonts w:eastAsiaTheme="minorEastAsia"/>
        </w:rPr>
        <w:t xml:space="preserve"> indicates the fraction of variance explained by the model. It is given by</w:t>
      </w:r>
    </w:p>
    <w:p w14:paraId="2E058F19" w14:textId="79BFD40E" w:rsidR="00026BA1" w:rsidRPr="00BA57D8" w:rsidRDefault="00000000" w:rsidP="00BA57D8">
      <w:pPr>
        <w:pStyle w:val="NormalWeb"/>
        <w:spacing w:before="0" w:beforeAutospacing="0" w:after="0" w:afterAutospacing="0" w:line="480" w:lineRule="auto"/>
        <w:jc w:val="center"/>
        <w:rPr>
          <w:color w:val="000000"/>
        </w:rPr>
      </w:pPr>
      <m:oMath>
        <m:sSup>
          <m:sSupPr>
            <m:ctrlPr>
              <w:rPr>
                <w:rFonts w:ascii="Cambria Math" w:eastAsiaTheme="minorEastAsia" w:hAnsi="Cambria Math"/>
                <w:i/>
              </w:rPr>
            </m:ctrlPr>
          </m:sSupPr>
          <m:e>
            <m:r>
              <w:rPr>
                <w:rFonts w:ascii="Cambria Math" w:eastAsiaTheme="minorEastAsia" w:hAnsi="Cambria Math"/>
              </w:rPr>
              <m:t>R</m:t>
            </m:r>
          </m:e>
          <m:sup>
            <m:r>
              <w:rPr>
                <w:rFonts w:ascii="Cambria Math" w:eastAsiaTheme="minorEastAsia" w:hAnsi="Cambria Math"/>
              </w:rPr>
              <m:t>2</m:t>
            </m:r>
          </m:sup>
        </m:sSup>
        <m:r>
          <w:rPr>
            <w:rFonts w:ascii="Cambria Math" w:eastAsiaTheme="minorEastAsia" w:hAnsi="Cambria Math"/>
          </w:rPr>
          <m:t>=1-</m:t>
        </m:r>
        <m:f>
          <m:fPr>
            <m:ctrlPr>
              <w:rPr>
                <w:rFonts w:ascii="Cambria Math" w:eastAsiaTheme="minorEastAsia" w:hAnsi="Cambria Math"/>
              </w:rPr>
            </m:ctrlPr>
          </m:fPr>
          <m:num>
            <m:r>
              <w:rPr>
                <w:rFonts w:ascii="Cambria Math" w:eastAsiaTheme="minorEastAsia" w:hAnsi="Cambria Math"/>
              </w:rPr>
              <m:t>S</m:t>
            </m:r>
            <m:sSub>
              <m:sSubPr>
                <m:ctrlPr>
                  <w:rPr>
                    <w:rFonts w:ascii="Cambria Math" w:eastAsiaTheme="minorEastAsia" w:hAnsi="Cambria Math"/>
                    <w:i/>
                  </w:rPr>
                </m:ctrlPr>
              </m:sSubPr>
              <m:e>
                <m:r>
                  <w:rPr>
                    <w:rFonts w:ascii="Cambria Math" w:eastAsiaTheme="minorEastAsia" w:hAnsi="Cambria Math"/>
                  </w:rPr>
                  <m:t>S</m:t>
                </m:r>
              </m:e>
              <m:sub>
                <m:r>
                  <m:rPr>
                    <m:nor/>
                  </m:rPr>
                  <w:rPr>
                    <w:rFonts w:ascii="Cambria Math" w:eastAsiaTheme="minorEastAsia" w:hAnsi="Cambria Math"/>
                  </w:rPr>
                  <m:t>res</m:t>
                </m:r>
              </m:sub>
            </m:sSub>
            <m:ctrlPr>
              <w:rPr>
                <w:rFonts w:ascii="Cambria Math" w:eastAsiaTheme="minorEastAsia" w:hAnsi="Cambria Math"/>
                <w:i/>
              </w:rPr>
            </m:ctrlPr>
          </m:num>
          <m:den>
            <m:r>
              <w:rPr>
                <w:rFonts w:ascii="Cambria Math" w:eastAsiaTheme="minorEastAsia" w:hAnsi="Cambria Math"/>
              </w:rPr>
              <m:t>S</m:t>
            </m:r>
            <m:sSub>
              <m:sSubPr>
                <m:ctrlPr>
                  <w:rPr>
                    <w:rFonts w:ascii="Cambria Math" w:eastAsiaTheme="minorEastAsia" w:hAnsi="Cambria Math"/>
                    <w:i/>
                  </w:rPr>
                </m:ctrlPr>
              </m:sSubPr>
              <m:e>
                <m:r>
                  <w:rPr>
                    <w:rFonts w:ascii="Cambria Math" w:eastAsiaTheme="minorEastAsia" w:hAnsi="Cambria Math"/>
                  </w:rPr>
                  <m:t>S</m:t>
                </m:r>
              </m:e>
              <m:sub>
                <m:r>
                  <m:rPr>
                    <m:nor/>
                  </m:rPr>
                  <w:rPr>
                    <w:rFonts w:ascii="Cambria Math" w:eastAsiaTheme="minorEastAsia" w:hAnsi="Cambria Math"/>
                  </w:rPr>
                  <m:t>tot</m:t>
                </m:r>
              </m:sub>
            </m:sSub>
            <m:ctrlPr>
              <w:rPr>
                <w:rFonts w:ascii="Cambria Math" w:eastAsiaTheme="minorEastAsia" w:hAnsi="Cambria Math"/>
                <w:i/>
              </w:rPr>
            </m:ctrlPr>
          </m:den>
        </m:f>
      </m:oMath>
      <w:r w:rsidR="00BA57D8">
        <w:rPr>
          <w:color w:val="000000"/>
        </w:rPr>
        <w:t xml:space="preserve">                                (Eq. </w:t>
      </w:r>
      <w:r w:rsidR="00A36745">
        <w:rPr>
          <w:color w:val="000000"/>
        </w:rPr>
        <w:t>10</w:t>
      </w:r>
      <w:r w:rsidR="00BA57D8">
        <w:rPr>
          <w:color w:val="000000"/>
        </w:rPr>
        <w:t>)</w:t>
      </w:r>
    </w:p>
    <w:p w14:paraId="264F76B8" w14:textId="77777777" w:rsidR="00026BA1" w:rsidRDefault="00026BA1" w:rsidP="00026BA1">
      <w:pPr>
        <w:rPr>
          <w:rFonts w:eastAsiaTheme="minorEastAsia"/>
        </w:rPr>
      </w:pPr>
      <w:r>
        <w:rPr>
          <w:rFonts w:eastAsiaTheme="minorEastAsia"/>
        </w:rPr>
        <w:t xml:space="preserve">where </w:t>
      </w:r>
      <m:oMath>
        <m:r>
          <w:rPr>
            <w:rFonts w:ascii="Cambria Math" w:eastAsiaTheme="minorEastAsia" w:hAnsi="Cambria Math"/>
          </w:rPr>
          <m:t>S</m:t>
        </m:r>
        <m:sSub>
          <m:sSubPr>
            <m:ctrlPr>
              <w:rPr>
                <w:rFonts w:ascii="Cambria Math" w:eastAsiaTheme="minorEastAsia" w:hAnsi="Cambria Math"/>
                <w:i/>
              </w:rPr>
            </m:ctrlPr>
          </m:sSubPr>
          <m:e>
            <m:r>
              <w:rPr>
                <w:rFonts w:ascii="Cambria Math" w:eastAsiaTheme="minorEastAsia" w:hAnsi="Cambria Math"/>
              </w:rPr>
              <m:t>S</m:t>
            </m:r>
          </m:e>
          <m:sub>
            <m:r>
              <m:rPr>
                <m:nor/>
              </m:rPr>
              <w:rPr>
                <w:rFonts w:ascii="Cambria Math" w:eastAsiaTheme="minorEastAsia" w:hAnsi="Cambria Math"/>
              </w:rPr>
              <m:t>res</m:t>
            </m:r>
          </m:sub>
        </m:sSub>
        <m:r>
          <w:rPr>
            <w:rFonts w:ascii="Cambria Math" w:eastAsiaTheme="minorEastAsia" w:hAnsi="Cambria Math"/>
          </w:rPr>
          <m:t>=</m:t>
        </m:r>
        <m:nary>
          <m:naryPr>
            <m:chr m:val="∑"/>
            <m:ctrlPr>
              <w:rPr>
                <w:rFonts w:ascii="Cambria Math" w:eastAsiaTheme="minorEastAsia" w:hAnsi="Cambria Math"/>
              </w:rPr>
            </m:ctrlPr>
          </m:naryPr>
          <m:sub>
            <m:r>
              <w:rPr>
                <w:rFonts w:ascii="Cambria Math" w:eastAsiaTheme="minorEastAsia" w:hAnsi="Cambria Math"/>
              </w:rPr>
              <m:t>i=1</m:t>
            </m:r>
            <m:ctrlPr>
              <w:rPr>
                <w:rFonts w:ascii="Cambria Math" w:eastAsiaTheme="minorEastAsia" w:hAnsi="Cambria Math"/>
                <w:i/>
              </w:rPr>
            </m:ctrlPr>
          </m:sub>
          <m:sup>
            <m:r>
              <w:rPr>
                <w:rFonts w:ascii="Cambria Math" w:eastAsiaTheme="minorEastAsia" w:hAnsi="Cambria Math"/>
              </w:rPr>
              <m:t>N</m:t>
            </m:r>
            <m:ctrlPr>
              <w:rPr>
                <w:rFonts w:ascii="Cambria Math" w:eastAsiaTheme="minorEastAsia" w:hAnsi="Cambria Math"/>
                <w:i/>
              </w:rPr>
            </m:ctrlPr>
          </m:sup>
          <m:e>
            <m:sSup>
              <m:sSupPr>
                <m:ctrlPr>
                  <w:rPr>
                    <w:rFonts w:ascii="Cambria Math" w:eastAsiaTheme="minorEastAsia" w:hAnsi="Cambria Math"/>
                    <w:i/>
                  </w:rPr>
                </m:ctrlPr>
              </m:sSupPr>
              <m:e>
                <m:d>
                  <m:dPr>
                    <m:ctrlPr>
                      <w:rPr>
                        <w:rFonts w:ascii="Cambria Math" w:eastAsiaTheme="minorEastAsia" w:hAnsi="Cambria Math"/>
                      </w:rPr>
                    </m:ctrlPr>
                  </m:dPr>
                  <m:e>
                    <m:acc>
                      <m:accPr>
                        <m:ctrlPr>
                          <w:rPr>
                            <w:rFonts w:ascii="Cambria Math" w:eastAsiaTheme="minorEastAsia" w:hAnsi="Cambria Math"/>
                          </w:rPr>
                        </m:ctrlPr>
                      </m:accPr>
                      <m:e>
                        <m:sSub>
                          <m:sSubPr>
                            <m:ctrlPr>
                              <w:rPr>
                                <w:rFonts w:ascii="Cambria Math" w:eastAsiaTheme="minorEastAsia" w:hAnsi="Cambria Math"/>
                                <w:i/>
                              </w:rPr>
                            </m:ctrlPr>
                          </m:sSubPr>
                          <m:e>
                            <m:r>
                              <w:rPr>
                                <w:rFonts w:ascii="Cambria Math" w:eastAsiaTheme="minorEastAsia" w:hAnsi="Cambria Math"/>
                              </w:rPr>
                              <m:t>y</m:t>
                            </m:r>
                            <m:ctrlPr>
                              <w:rPr>
                                <w:rFonts w:ascii="Cambria Math" w:eastAsiaTheme="minorEastAsia" w:hAnsi="Cambria Math"/>
                              </w:rPr>
                            </m:ctrlPr>
                          </m:e>
                          <m:sub>
                            <m:r>
                              <w:rPr>
                                <w:rFonts w:ascii="Cambria Math" w:eastAsiaTheme="minorEastAsia" w:hAnsi="Cambria Math"/>
                              </w:rPr>
                              <m:t>i</m:t>
                            </m:r>
                          </m:sub>
                        </m:sSub>
                      </m:e>
                    </m:acc>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y</m:t>
                        </m:r>
                      </m:e>
                      <m:sub>
                        <m:r>
                          <w:rPr>
                            <w:rFonts w:ascii="Cambria Math" w:eastAsiaTheme="minorEastAsia" w:hAnsi="Cambria Math"/>
                          </w:rPr>
                          <m:t>i</m:t>
                        </m:r>
                      </m:sub>
                    </m:sSub>
                    <m:ctrlPr>
                      <w:rPr>
                        <w:rFonts w:ascii="Cambria Math" w:eastAsiaTheme="minorEastAsia" w:hAnsi="Cambria Math"/>
                        <w:i/>
                      </w:rPr>
                    </m:ctrlPr>
                  </m:e>
                </m:d>
              </m:e>
              <m:sup>
                <m:r>
                  <w:rPr>
                    <w:rFonts w:ascii="Cambria Math" w:eastAsiaTheme="minorEastAsia" w:hAnsi="Cambria Math"/>
                  </w:rPr>
                  <m:t>2</m:t>
                </m:r>
              </m:sup>
            </m:sSup>
            <m:ctrlPr>
              <w:rPr>
                <w:rFonts w:ascii="Cambria Math" w:eastAsiaTheme="minorEastAsia" w:hAnsi="Cambria Math"/>
                <w:i/>
              </w:rPr>
            </m:ctrlPr>
          </m:e>
        </m:nary>
      </m:oMath>
      <w:r>
        <w:rPr>
          <w:rFonts w:eastAsiaTheme="minorEastAsia"/>
        </w:rPr>
        <w:t xml:space="preserve"> is the residual sum of squares and </w:t>
      </w:r>
      <m:oMath>
        <m:r>
          <w:rPr>
            <w:rFonts w:ascii="Cambria Math" w:eastAsiaTheme="minorEastAsia" w:hAnsi="Cambria Math"/>
          </w:rPr>
          <m:t>S</m:t>
        </m:r>
        <m:sSub>
          <m:sSubPr>
            <m:ctrlPr>
              <w:rPr>
                <w:rFonts w:ascii="Cambria Math" w:eastAsiaTheme="minorEastAsia" w:hAnsi="Cambria Math"/>
                <w:i/>
              </w:rPr>
            </m:ctrlPr>
          </m:sSubPr>
          <m:e>
            <m:r>
              <w:rPr>
                <w:rFonts w:ascii="Cambria Math" w:eastAsiaTheme="minorEastAsia" w:hAnsi="Cambria Math"/>
              </w:rPr>
              <m:t>S</m:t>
            </m:r>
          </m:e>
          <m:sub>
            <m:r>
              <m:rPr>
                <m:nor/>
              </m:rPr>
              <w:rPr>
                <w:rFonts w:ascii="Cambria Math" w:eastAsiaTheme="minorEastAsia" w:hAnsi="Cambria Math"/>
              </w:rPr>
              <m:t>tot</m:t>
            </m:r>
          </m:sub>
        </m:sSub>
        <m:r>
          <w:rPr>
            <w:rFonts w:ascii="Cambria Math" w:eastAsiaTheme="minorEastAsia" w:hAnsi="Cambria Math"/>
          </w:rPr>
          <m:t>=</m:t>
        </m:r>
        <m:nary>
          <m:naryPr>
            <m:chr m:val="∑"/>
            <m:ctrlPr>
              <w:rPr>
                <w:rFonts w:ascii="Cambria Math" w:eastAsiaTheme="minorEastAsia" w:hAnsi="Cambria Math"/>
              </w:rPr>
            </m:ctrlPr>
          </m:naryPr>
          <m:sub>
            <m:r>
              <w:rPr>
                <w:rFonts w:ascii="Cambria Math" w:eastAsiaTheme="minorEastAsia" w:hAnsi="Cambria Math"/>
              </w:rPr>
              <m:t>i=1</m:t>
            </m:r>
            <m:ctrlPr>
              <w:rPr>
                <w:rFonts w:ascii="Cambria Math" w:eastAsiaTheme="minorEastAsia" w:hAnsi="Cambria Math"/>
                <w:i/>
              </w:rPr>
            </m:ctrlPr>
          </m:sub>
          <m:sup>
            <m:r>
              <w:rPr>
                <w:rFonts w:ascii="Cambria Math" w:eastAsiaTheme="minorEastAsia" w:hAnsi="Cambria Math"/>
              </w:rPr>
              <m:t>N</m:t>
            </m:r>
            <m:ctrlPr>
              <w:rPr>
                <w:rFonts w:ascii="Cambria Math" w:eastAsiaTheme="minorEastAsia" w:hAnsi="Cambria Math"/>
                <w:i/>
              </w:rPr>
            </m:ctrlPr>
          </m:sup>
          <m:e>
            <m:sSup>
              <m:sSupPr>
                <m:ctrlPr>
                  <w:rPr>
                    <w:rFonts w:ascii="Cambria Math" w:eastAsiaTheme="minorEastAsia" w:hAnsi="Cambria Math"/>
                    <w:i/>
                  </w:rPr>
                </m:ctrlPr>
              </m:sSupPr>
              <m:e>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y</m:t>
                        </m:r>
                      </m:e>
                      <m:sub>
                        <m:r>
                          <w:rPr>
                            <w:rFonts w:ascii="Cambria Math" w:eastAsiaTheme="minorEastAsia" w:hAnsi="Cambria Math"/>
                          </w:rPr>
                          <m:t>i</m:t>
                        </m:r>
                      </m:sub>
                    </m:sSub>
                    <m:r>
                      <w:rPr>
                        <w:rFonts w:ascii="Cambria Math" w:eastAsiaTheme="minorEastAsia" w:hAnsi="Cambria Math"/>
                      </w:rPr>
                      <m:t>-</m:t>
                    </m:r>
                    <m:bar>
                      <m:barPr>
                        <m:pos m:val="top"/>
                        <m:ctrlPr>
                          <w:rPr>
                            <w:rFonts w:ascii="Cambria Math" w:eastAsiaTheme="minorEastAsia" w:hAnsi="Cambria Math"/>
                          </w:rPr>
                        </m:ctrlPr>
                      </m:barPr>
                      <m:e>
                        <m:r>
                          <w:rPr>
                            <w:rFonts w:ascii="Cambria Math" w:eastAsiaTheme="minorEastAsia" w:hAnsi="Cambria Math"/>
                          </w:rPr>
                          <m:t>y</m:t>
                        </m:r>
                      </m:e>
                    </m:bar>
                  </m:e>
                </m:d>
                <m:ctrlPr>
                  <w:rPr>
                    <w:rFonts w:ascii="Cambria Math" w:eastAsiaTheme="minorEastAsia" w:hAnsi="Cambria Math"/>
                  </w:rPr>
                </m:ctrlPr>
              </m:e>
              <m:sup>
                <m:r>
                  <w:rPr>
                    <w:rFonts w:ascii="Cambria Math" w:eastAsiaTheme="minorEastAsia" w:hAnsi="Cambria Math"/>
                  </w:rPr>
                  <m:t>2</m:t>
                </m:r>
              </m:sup>
            </m:sSup>
          </m:e>
        </m:nary>
      </m:oMath>
      <w:r>
        <w:rPr>
          <w:rFonts w:eastAsiaTheme="minorEastAsia"/>
        </w:rPr>
        <w:t xml:space="preserve">is the total sum of squares. </w:t>
      </w:r>
      <m:oMath>
        <m:sSup>
          <m:sSupPr>
            <m:ctrlPr>
              <w:rPr>
                <w:rFonts w:ascii="Cambria Math" w:eastAsiaTheme="minorEastAsia" w:hAnsi="Cambria Math"/>
                <w:i/>
              </w:rPr>
            </m:ctrlPr>
          </m:sSupPr>
          <m:e>
            <m:r>
              <w:rPr>
                <w:rFonts w:ascii="Cambria Math" w:eastAsiaTheme="minorEastAsia" w:hAnsi="Cambria Math"/>
              </w:rPr>
              <m:t>R</m:t>
            </m:r>
          </m:e>
          <m:sup>
            <m:r>
              <w:rPr>
                <w:rFonts w:ascii="Cambria Math" w:eastAsiaTheme="minorEastAsia" w:hAnsi="Cambria Math"/>
              </w:rPr>
              <m:t>2</m:t>
            </m:r>
          </m:sup>
        </m:sSup>
      </m:oMath>
      <w:r>
        <w:rPr>
          <w:rFonts w:eastAsiaTheme="minorEastAsia"/>
        </w:rPr>
        <w:t xml:space="preserve"> is equal to 1 when the model perfectly predicts all values, 0 when the model always predicts the mean of the dataset, and can extend into the negatives if it performs worse.</w:t>
      </w:r>
    </w:p>
    <w:p w14:paraId="518A3301" w14:textId="77777777" w:rsidR="00026BA1" w:rsidRDefault="00026BA1" w:rsidP="00026BA1">
      <w:pPr>
        <w:rPr>
          <w:rFonts w:eastAsiaTheme="minorEastAsia"/>
        </w:rPr>
      </w:pPr>
      <w:r>
        <w:rPr>
          <w:rFonts w:eastAsiaTheme="minorEastAsia"/>
        </w:rPr>
        <w:tab/>
        <w:t>The normalized mean bias indicates the average bias of predicted values as a fraction of the average true value, and is given by</w:t>
      </w:r>
    </w:p>
    <w:p w14:paraId="3DD3961D" w14:textId="497DC05F" w:rsidR="00026BA1" w:rsidRPr="00BA57D8" w:rsidRDefault="00026BA1" w:rsidP="00BA57D8">
      <w:pPr>
        <w:pStyle w:val="NormalWeb"/>
        <w:spacing w:before="0" w:beforeAutospacing="0" w:after="0" w:afterAutospacing="0" w:line="480" w:lineRule="auto"/>
        <w:jc w:val="center"/>
        <w:rPr>
          <w:color w:val="000000"/>
        </w:rPr>
      </w:pPr>
      <m:oMath>
        <m:r>
          <w:rPr>
            <w:rFonts w:ascii="Cambria Math" w:eastAsiaTheme="minorEastAsia" w:hAnsi="Cambria Math"/>
          </w:rPr>
          <m:t>NMB=</m:t>
        </m:r>
        <m:f>
          <m:fPr>
            <m:ctrlPr>
              <w:rPr>
                <w:rFonts w:ascii="Cambria Math" w:eastAsiaTheme="minorEastAsia" w:hAnsi="Cambria Math"/>
              </w:rPr>
            </m:ctrlPr>
          </m:fPr>
          <m:num>
            <m:nary>
              <m:naryPr>
                <m:chr m:val="∑"/>
                <m:ctrlPr>
                  <w:rPr>
                    <w:rFonts w:ascii="Cambria Math" w:eastAsiaTheme="minorEastAsia" w:hAnsi="Cambria Math"/>
                  </w:rPr>
                </m:ctrlPr>
              </m:naryPr>
              <m:sub>
                <m:r>
                  <w:rPr>
                    <w:rFonts w:ascii="Cambria Math" w:eastAsiaTheme="minorEastAsia" w:hAnsi="Cambria Math"/>
                  </w:rPr>
                  <m:t>i=1</m:t>
                </m:r>
                <m:ctrlPr>
                  <w:rPr>
                    <w:rFonts w:ascii="Cambria Math" w:eastAsiaTheme="minorEastAsia" w:hAnsi="Cambria Math"/>
                    <w:i/>
                  </w:rPr>
                </m:ctrlPr>
              </m:sub>
              <m:sup>
                <m:r>
                  <w:rPr>
                    <w:rFonts w:ascii="Cambria Math" w:eastAsiaTheme="minorEastAsia" w:hAnsi="Cambria Math"/>
                  </w:rPr>
                  <m:t>N</m:t>
                </m:r>
                <m:ctrlPr>
                  <w:rPr>
                    <w:rFonts w:ascii="Cambria Math" w:eastAsiaTheme="minorEastAsia" w:hAnsi="Cambria Math"/>
                    <w:i/>
                  </w:rPr>
                </m:ctrlPr>
              </m:sup>
              <m:e>
                <m:d>
                  <m:dPr>
                    <m:ctrlPr>
                      <w:rPr>
                        <w:rFonts w:ascii="Cambria Math" w:eastAsiaTheme="minorEastAsia" w:hAnsi="Cambria Math"/>
                        <w:i/>
                      </w:rPr>
                    </m:ctrlPr>
                  </m:dPr>
                  <m:e>
                    <m:acc>
                      <m:accPr>
                        <m:ctrlPr>
                          <w:rPr>
                            <w:rFonts w:ascii="Cambria Math" w:eastAsiaTheme="minorEastAsia" w:hAnsi="Cambria Math"/>
                          </w:rPr>
                        </m:ctrlPr>
                      </m:accPr>
                      <m:e>
                        <m:sSub>
                          <m:sSubPr>
                            <m:ctrlPr>
                              <w:rPr>
                                <w:rFonts w:ascii="Cambria Math" w:eastAsiaTheme="minorEastAsia" w:hAnsi="Cambria Math"/>
                                <w:i/>
                              </w:rPr>
                            </m:ctrlPr>
                          </m:sSubPr>
                          <m:e>
                            <m:r>
                              <w:rPr>
                                <w:rFonts w:ascii="Cambria Math" w:eastAsiaTheme="minorEastAsia" w:hAnsi="Cambria Math"/>
                              </w:rPr>
                              <m:t>y</m:t>
                            </m:r>
                            <m:ctrlPr>
                              <w:rPr>
                                <w:rFonts w:ascii="Cambria Math" w:eastAsiaTheme="minorEastAsia" w:hAnsi="Cambria Math"/>
                              </w:rPr>
                            </m:ctrlPr>
                          </m:e>
                          <m:sub>
                            <m:r>
                              <w:rPr>
                                <w:rFonts w:ascii="Cambria Math" w:eastAsiaTheme="minorEastAsia" w:hAnsi="Cambria Math"/>
                              </w:rPr>
                              <m:t>i</m:t>
                            </m:r>
                          </m:sub>
                        </m:sSub>
                      </m:e>
                    </m:acc>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y</m:t>
                        </m:r>
                      </m:e>
                      <m:sub>
                        <m:r>
                          <w:rPr>
                            <w:rFonts w:ascii="Cambria Math" w:eastAsiaTheme="minorEastAsia" w:hAnsi="Cambria Math"/>
                          </w:rPr>
                          <m:t>i</m:t>
                        </m:r>
                      </m:sub>
                    </m:sSub>
                  </m:e>
                </m:d>
              </m:e>
            </m:nary>
            <m:ctrlPr>
              <w:rPr>
                <w:rFonts w:ascii="Cambria Math" w:eastAsiaTheme="minorEastAsia" w:hAnsi="Cambria Math"/>
                <w:i/>
              </w:rPr>
            </m:ctrlPr>
          </m:num>
          <m:den>
            <m:nary>
              <m:naryPr>
                <m:chr m:val="∑"/>
                <m:ctrlPr>
                  <w:rPr>
                    <w:rFonts w:ascii="Cambria Math" w:eastAsiaTheme="minorEastAsia" w:hAnsi="Cambria Math"/>
                  </w:rPr>
                </m:ctrlPr>
              </m:naryPr>
              <m:sub>
                <m:r>
                  <w:rPr>
                    <w:rFonts w:ascii="Cambria Math" w:eastAsiaTheme="minorEastAsia" w:hAnsi="Cambria Math"/>
                  </w:rPr>
                  <m:t>i=1</m:t>
                </m:r>
                <m:ctrlPr>
                  <w:rPr>
                    <w:rFonts w:ascii="Cambria Math" w:eastAsiaTheme="minorEastAsia" w:hAnsi="Cambria Math"/>
                    <w:i/>
                  </w:rPr>
                </m:ctrlPr>
              </m:sub>
              <m:sup>
                <m:r>
                  <w:rPr>
                    <w:rFonts w:ascii="Cambria Math" w:eastAsiaTheme="minorEastAsia" w:hAnsi="Cambria Math"/>
                  </w:rPr>
                  <m:t>N</m:t>
                </m:r>
                <m:ctrlPr>
                  <w:rPr>
                    <w:rFonts w:ascii="Cambria Math" w:eastAsiaTheme="minorEastAsia" w:hAnsi="Cambria Math"/>
                    <w:i/>
                  </w:rPr>
                </m:ctrlPr>
              </m:sup>
              <m:e>
                <m:sSub>
                  <m:sSubPr>
                    <m:ctrlPr>
                      <w:rPr>
                        <w:rFonts w:ascii="Cambria Math" w:eastAsiaTheme="minorEastAsia" w:hAnsi="Cambria Math"/>
                        <w:i/>
                      </w:rPr>
                    </m:ctrlPr>
                  </m:sSubPr>
                  <m:e>
                    <m:r>
                      <w:rPr>
                        <w:rFonts w:ascii="Cambria Math" w:eastAsiaTheme="minorEastAsia" w:hAnsi="Cambria Math"/>
                      </w:rPr>
                      <m:t>y</m:t>
                    </m:r>
                  </m:e>
                  <m:sub>
                    <m:r>
                      <w:rPr>
                        <w:rFonts w:ascii="Cambria Math" w:eastAsiaTheme="minorEastAsia" w:hAnsi="Cambria Math"/>
                      </w:rPr>
                      <m:t>i</m:t>
                    </m:r>
                  </m:sub>
                </m:sSub>
                <m:ctrlPr>
                  <w:rPr>
                    <w:rFonts w:ascii="Cambria Math" w:eastAsiaTheme="minorEastAsia" w:hAnsi="Cambria Math"/>
                    <w:i/>
                  </w:rPr>
                </m:ctrlPr>
              </m:e>
            </m:nary>
            <m:ctrlPr>
              <w:rPr>
                <w:rFonts w:ascii="Cambria Math" w:eastAsiaTheme="minorEastAsia" w:hAnsi="Cambria Math"/>
                <w:i/>
              </w:rPr>
            </m:ctrlPr>
          </m:den>
        </m:f>
        <m:r>
          <w:rPr>
            <w:rFonts w:ascii="Cambria Math" w:eastAsiaTheme="minorEastAsia" w:hAnsi="Cambria Math"/>
          </w:rPr>
          <m:t>.</m:t>
        </m:r>
      </m:oMath>
      <w:r w:rsidR="00BA57D8">
        <w:rPr>
          <w:color w:val="000000"/>
        </w:rPr>
        <w:t xml:space="preserve">                                (Eq. 1</w:t>
      </w:r>
      <w:r w:rsidR="00A36745">
        <w:rPr>
          <w:color w:val="000000"/>
        </w:rPr>
        <w:t>1</w:t>
      </w:r>
      <w:r w:rsidR="00BA57D8">
        <w:rPr>
          <w:color w:val="000000"/>
        </w:rPr>
        <w:t>)</w:t>
      </w:r>
    </w:p>
    <w:p w14:paraId="1595EBF0" w14:textId="77777777" w:rsidR="00BA57D8" w:rsidRDefault="00026BA1" w:rsidP="00BA57D8">
      <w:pPr>
        <w:rPr>
          <w:rFonts w:eastAsiaTheme="minorEastAsia"/>
        </w:rPr>
      </w:pPr>
      <w:r>
        <w:rPr>
          <w:rFonts w:eastAsiaTheme="minorEastAsia"/>
        </w:rPr>
        <w:t>This value will be positive if the model tends to overestimate and negative otherwise.</w:t>
      </w:r>
    </w:p>
    <w:p w14:paraId="7A2F9A1B" w14:textId="578980CA" w:rsidR="000E3BAF" w:rsidRDefault="008062A6" w:rsidP="00BA57D8">
      <w:pPr>
        <w:ind w:firstLine="720"/>
        <w:rPr>
          <w:color w:val="000000"/>
        </w:rPr>
      </w:pPr>
      <w:r>
        <w:rPr>
          <w:color w:val="000000"/>
        </w:rPr>
        <w:lastRenderedPageBreak/>
        <w:t xml:space="preserve">To compute these metrics, </w:t>
      </w:r>
      <w:r w:rsidR="005E7420">
        <w:rPr>
          <w:color w:val="000000"/>
        </w:rPr>
        <w:t>outputs from the model</w:t>
      </w:r>
      <w:r w:rsidR="00AC49A5">
        <w:rPr>
          <w:color w:val="000000"/>
        </w:rPr>
        <w:t xml:space="preserve"> are collocated with </w:t>
      </w:r>
      <w:r w:rsidR="001042FC">
        <w:rPr>
          <w:color w:val="000000"/>
        </w:rPr>
        <w:t xml:space="preserve">AERONET stations within a 25 km radius, as per </w:t>
      </w:r>
      <w:r w:rsidR="00A94860">
        <w:rPr>
          <w:color w:val="000000"/>
        </w:rPr>
        <w:fldChar w:fldCharType="begin"/>
      </w:r>
      <w:r w:rsidR="00BB6527">
        <w:rPr>
          <w:color w:val="000000"/>
        </w:rPr>
        <w:instrText xml:space="preserve"> ADDIN ZOTERO_ITEM CSL_CITATION {"citationID":"EXs3lS3v","properties":{"formattedCitation":"(N. C. Hsu et al., 2019; Andrew M. Sayer, 2020)","plainCitation":"(N. C. Hsu et al., 2019; Andrew M. Sayer, 2020)","dontUpdate":true,"noteIndex":0},"citationItems":[{"id":357,"uris":["http://zotero.org/groups/4584967/items/ZW5KD32D"],"itemData":{"id":357,"type":"article-journal","abstract":"A primary goal of the Deep Blue (DB) project is to create consistent long-term aerosol data records, suitable for climate studies, using multiple satellite instruments. In order to continue Earth Observing System (EOS)-era aerosol products into the Joint Polar Satellite System era, we have successfully ported the DB algorithm to process data from the Visible Infrared Imaging Radiometer Suite (VIIRS). Although the basic structure of the VIIRS algorithm is similar to that for the Moderate Resolution Imaging Spectroradiometer (MODIS), many enhancements have been made compared to the MODIS collection 6 (C6) version. Most have also been implemented in the latest MODIS Collection 6.1 (C6.1). For example, a new smoke mask was developed based on the spectral curvature of measured reflectance to distinguish biomass burning smoke from weakly absorbing urban/industrial aerosols. Consequently, a new aerosol-type flag was added into the VIIRS DB data set. In addition, new dust models have been developed to account for the nonsphericity of mineral dust. As a result, a discontinuity in the retrieved aerosol optical depth (AOD) of Saharan dust plumes seen in MODIS C6 products near the boundary between North Africa and the Atlantic has been much reduced. We have also evaluated the VIIRS and MODIS Terra/Aqua C6.1 AOD against Aerosol Robotic Network data. VIIRS and MODIS retrievals show similar performance; around 80% of matchups agree with Aerosol Robotic Network within the expected error of ±(0.05 + 20)%, indicating that DB can provide consistent AOD through the historical EOS and present Joint Polar Satellite System eras.","container-title":"Journal of Geophysical Research: Atmospheres","DOI":"10.1029/2018JD029688","ISSN":"2169-8996","issue":"7","language":"en","license":"Published 2019. This article is a US Government work and is in the public domain in the USA.","page":"4026-4053","source":"Wiley Online Library","title":"VIIRS Deep Blue Aerosol Products Over Land: Extending the EOS Long-Term Aerosol Data Records","title-short":"VIIRS Deep Blue Aerosol Products Over Land","volume":"124","author":[{"family":"Hsu","given":"N. C."},{"family":"Lee","given":"J."},{"family":"Sayer","given":"A. M."},{"family":"Kim","given":"W."},{"family":"Bettenhausen","given":"C."},{"family":"Tsay","given":"S.-C."}],"issued":{"date-parts":[["2019"]]},"citation-key":"hsuVIIRSDeepBlue2019"}},{"id":97,"uris":["http://zotero.org/groups/4584967/items/75ZZ69V7"],"itemData":{"id":97,"type":"article-journal","abstract":"Geophysical data sets derived from satellite sensors, ground/airborne instrumentation, and computational models are often compared against each other. A common example is the validation of satellite aerosol optical depth (AOD) retrievals against measurements from Aerosol Robotic Network (AERONET) Sun photometers. Spatiotemporal mismatch between data set sampling means that uncaptured variation in the underlying geophysical field introduces apparent disagreement into such comparisons, known as representation or collocation matchup uncertainty. This study uses variogram analysis of AERONET data to estimate temporal mismatch uncertainties and decorrelation time scales for the global AERONET record. As well as total AOD, the fine- and coarse-mode AODs, Ångström Exponent (AE), and fine-mode fraction (FMF) of AOD are analyzed. Globally, a time difference of 30 min typically induces from 0.011–0.035 variation in AOD. For total, fine, and coarse AODs the typical time to decorrelation is around 2–10 days. For AE and FMF it is 3–33 days; that is, aerosol systems often persist significantly longer than individual events in them. Biomass burning regions tend to show the largest and fastest subdaily AOD variability and also longest times to decorrelation. Some sites show significant season-to-season variations in behavior. These results can be used to inform site-specific time collocation thresholds for aerosol validation analyses and account for temporal variation when estimating data set uncertainty. They also have implications for comparisons between different satellite products or models, data aggregation, and time series analyses. Results are provided on a site-by-site basis to facilitate use by other researchers.","container-title":"Earth and Space Science","DOI":"10.1029/2020EA001290","ISSN":"2333-5084","issue":"9","language":"en","license":"©2020. The Authors.","note":"_eprint: https://onlinelibrary.wiley.com/doi/pdf/10.1029/2020EA001290","page":"e2020EA001290","source":"Wiley Online Library","title":"How Long Is Too Long? Variogram Analysis of AERONET Data to Aid Aerosol Validation and Intercomparison Studies","title-short":"How Long Is Too Long?","volume":"7","author":[{"family":"Sayer","given":"Andrew M."}],"issued":{"date-parts":[["2020"]]},"citation-key":"sayerHowLongToo2020"}}],"schema":"https://github.com/citation-style-language/schema/raw/master/csl-citation.json"} </w:instrText>
      </w:r>
      <w:r w:rsidR="00A94860">
        <w:rPr>
          <w:color w:val="000000"/>
        </w:rPr>
        <w:fldChar w:fldCharType="separate"/>
      </w:r>
      <w:r w:rsidR="00B214D8" w:rsidRPr="00B214D8">
        <w:rPr>
          <w:rFonts w:cs="Times New Roman"/>
        </w:rPr>
        <w:t>(Hsu et al., 2019; Sayer, 2020)</w:t>
      </w:r>
      <w:r w:rsidR="00A94860">
        <w:rPr>
          <w:color w:val="000000"/>
        </w:rPr>
        <w:fldChar w:fldCharType="end"/>
      </w:r>
      <w:r w:rsidR="008E1D7E">
        <w:rPr>
          <w:color w:val="000000"/>
        </w:rPr>
        <w:t xml:space="preserve">. Comparisons are made </w:t>
      </w:r>
      <w:r w:rsidR="00B72108">
        <w:rPr>
          <w:color w:val="000000"/>
        </w:rPr>
        <w:t>using</w:t>
      </w:r>
      <w:r w:rsidR="008E1D7E">
        <w:rPr>
          <w:color w:val="000000"/>
        </w:rPr>
        <w:t xml:space="preserve"> </w:t>
      </w:r>
      <w:r w:rsidR="00B72108">
        <w:rPr>
          <w:color w:val="000000"/>
        </w:rPr>
        <w:t>UNet 3+ predictions</w:t>
      </w:r>
      <w:r w:rsidR="000E3BAF">
        <w:rPr>
          <w:color w:val="000000"/>
        </w:rPr>
        <w:t xml:space="preserve"> and the gap-filled product</w:t>
      </w:r>
      <w:r w:rsidR="00B72108">
        <w:rPr>
          <w:color w:val="000000"/>
        </w:rPr>
        <w:t xml:space="preserve"> as well as satellite DB AOD retrievals</w:t>
      </w:r>
      <w:r w:rsidR="000E3BAF">
        <w:rPr>
          <w:color w:val="000000"/>
        </w:rPr>
        <w:t xml:space="preserve"> and</w:t>
      </w:r>
      <w:r w:rsidR="00B72108">
        <w:rPr>
          <w:color w:val="000000"/>
        </w:rPr>
        <w:t xml:space="preserve"> MERRA-2</w:t>
      </w:r>
      <w:r w:rsidR="000E3BAF">
        <w:rPr>
          <w:color w:val="000000"/>
        </w:rPr>
        <w:t xml:space="preserve"> AOD as a point of comparison.</w:t>
      </w:r>
    </w:p>
    <w:p w14:paraId="5DAA6758" w14:textId="413F01F0" w:rsidR="00A774BD" w:rsidRDefault="00CD6F54" w:rsidP="00A774BD">
      <w:pPr>
        <w:rPr>
          <w:rFonts w:cs="Times New Roman"/>
          <w:szCs w:val="24"/>
        </w:rPr>
      </w:pPr>
      <w:r>
        <w:rPr>
          <w:color w:val="000000"/>
        </w:rPr>
        <w:tab/>
      </w:r>
      <w:r w:rsidR="00AF096D">
        <w:rPr>
          <w:rFonts w:cs="Times New Roman"/>
          <w:szCs w:val="24"/>
        </w:rPr>
        <w:t>AERONET AOD was interpolated to 550 nm to match DB AOD retrievals</w:t>
      </w:r>
      <w:r w:rsidR="00C76EEF">
        <w:rPr>
          <w:rFonts w:cs="Times New Roman"/>
          <w:szCs w:val="24"/>
        </w:rPr>
        <w:t xml:space="preserve"> </w:t>
      </w:r>
      <w:r w:rsidR="00734BD1">
        <w:rPr>
          <w:rFonts w:cs="Times New Roman"/>
          <w:szCs w:val="24"/>
        </w:rPr>
        <w:t xml:space="preserve">according to Eck et al., </w:t>
      </w:r>
      <w:r w:rsidR="00C76EEF">
        <w:rPr>
          <w:rFonts w:cs="Times New Roman"/>
          <w:szCs w:val="24"/>
        </w:rPr>
        <w:t>(1999)</w:t>
      </w:r>
    </w:p>
    <w:p w14:paraId="6D4B7900" w14:textId="4EBE00C7" w:rsidR="00A774BD" w:rsidRPr="005811E7" w:rsidRDefault="00A774BD" w:rsidP="008B4E7D">
      <w:pPr>
        <w:jc w:val="center"/>
        <w:rPr>
          <w:rFonts w:eastAsiaTheme="minorEastAsia" w:cs="Times New Roman"/>
          <w:szCs w:val="24"/>
        </w:rPr>
      </w:pPr>
      <m:oMath>
        <m:r>
          <w:rPr>
            <w:rFonts w:ascii="Cambria Math" w:hAnsi="Cambria Math" w:cs="Times New Roman"/>
            <w:szCs w:val="24"/>
          </w:rPr>
          <m:t>AO</m:t>
        </m:r>
        <m:sSub>
          <m:sSubPr>
            <m:ctrlPr>
              <w:rPr>
                <w:rFonts w:ascii="Cambria Math" w:hAnsi="Cambria Math" w:cs="Times New Roman"/>
                <w:i/>
                <w:szCs w:val="24"/>
              </w:rPr>
            </m:ctrlPr>
          </m:sSubPr>
          <m:e>
            <m:r>
              <w:rPr>
                <w:rFonts w:ascii="Cambria Math" w:hAnsi="Cambria Math" w:cs="Times New Roman"/>
                <w:szCs w:val="24"/>
              </w:rPr>
              <m:t>D</m:t>
            </m:r>
          </m:e>
          <m:sub>
            <m:r>
              <w:rPr>
                <w:rFonts w:ascii="Cambria Math" w:hAnsi="Cambria Math" w:cs="Times New Roman"/>
                <w:szCs w:val="24"/>
              </w:rPr>
              <m:t>550nm</m:t>
            </m:r>
          </m:sub>
        </m:sSub>
        <m:r>
          <w:rPr>
            <w:rFonts w:ascii="Cambria Math" w:hAnsi="Cambria Math" w:cs="Times New Roman"/>
            <w:szCs w:val="24"/>
          </w:rPr>
          <m:t>≈AO</m:t>
        </m:r>
        <m:sSub>
          <m:sSubPr>
            <m:ctrlPr>
              <w:rPr>
                <w:rFonts w:ascii="Cambria Math" w:hAnsi="Cambria Math" w:cs="Times New Roman"/>
                <w:i/>
                <w:szCs w:val="24"/>
              </w:rPr>
            </m:ctrlPr>
          </m:sSubPr>
          <m:e>
            <m:r>
              <w:rPr>
                <w:rFonts w:ascii="Cambria Math" w:hAnsi="Cambria Math" w:cs="Times New Roman"/>
                <w:szCs w:val="24"/>
              </w:rPr>
              <m:t>D</m:t>
            </m:r>
          </m:e>
          <m:sub>
            <m:r>
              <w:rPr>
                <w:rFonts w:ascii="Cambria Math" w:hAnsi="Cambria Math" w:cs="Times New Roman"/>
                <w:szCs w:val="24"/>
              </w:rPr>
              <m:t>675nm</m:t>
            </m:r>
          </m:sub>
        </m:sSub>
        <m:f>
          <m:fPr>
            <m:ctrlPr>
              <w:rPr>
                <w:rFonts w:ascii="Cambria Math" w:hAnsi="Cambria Math" w:cs="Times New Roman"/>
                <w:i/>
                <w:szCs w:val="24"/>
              </w:rPr>
            </m:ctrlPr>
          </m:fPr>
          <m:num>
            <m:sSup>
              <m:sSupPr>
                <m:ctrlPr>
                  <w:rPr>
                    <w:rFonts w:ascii="Cambria Math" w:hAnsi="Cambria Math" w:cs="Times New Roman"/>
                    <w:i/>
                    <w:szCs w:val="24"/>
                  </w:rPr>
                </m:ctrlPr>
              </m:sSupPr>
              <m:e>
                <m:r>
                  <w:rPr>
                    <w:rFonts w:ascii="Cambria Math" w:hAnsi="Cambria Math" w:cs="Times New Roman"/>
                    <w:szCs w:val="24"/>
                  </w:rPr>
                  <m:t>675</m:t>
                </m:r>
              </m:e>
              <m:sup>
                <m:r>
                  <w:rPr>
                    <w:rFonts w:ascii="Cambria Math" w:hAnsi="Cambria Math" w:cs="Times New Roman"/>
                    <w:szCs w:val="24"/>
                  </w:rPr>
                  <m:t>A</m:t>
                </m:r>
                <m:sSub>
                  <m:sSubPr>
                    <m:ctrlPr>
                      <w:rPr>
                        <w:rFonts w:ascii="Cambria Math" w:hAnsi="Cambria Math" w:cs="Times New Roman"/>
                        <w:i/>
                        <w:szCs w:val="24"/>
                      </w:rPr>
                    </m:ctrlPr>
                  </m:sSubPr>
                  <m:e>
                    <m:r>
                      <w:rPr>
                        <w:rFonts w:ascii="Cambria Math" w:hAnsi="Cambria Math" w:cs="Times New Roman"/>
                        <w:szCs w:val="24"/>
                      </w:rPr>
                      <m:t>E</m:t>
                    </m:r>
                  </m:e>
                  <m:sub>
                    <m:r>
                      <w:rPr>
                        <w:rFonts w:ascii="Cambria Math" w:hAnsi="Cambria Math" w:cs="Times New Roman"/>
                        <w:szCs w:val="24"/>
                      </w:rPr>
                      <m:t>440-675nm</m:t>
                    </m:r>
                  </m:sub>
                </m:sSub>
              </m:sup>
            </m:sSup>
          </m:num>
          <m:den>
            <m:sSup>
              <m:sSupPr>
                <m:ctrlPr>
                  <w:rPr>
                    <w:rFonts w:ascii="Cambria Math" w:hAnsi="Cambria Math" w:cs="Times New Roman"/>
                    <w:i/>
                    <w:szCs w:val="24"/>
                  </w:rPr>
                </m:ctrlPr>
              </m:sSupPr>
              <m:e>
                <m:r>
                  <w:rPr>
                    <w:rFonts w:ascii="Cambria Math" w:hAnsi="Cambria Math" w:cs="Times New Roman"/>
                    <w:szCs w:val="24"/>
                  </w:rPr>
                  <m:t>550</m:t>
                </m:r>
              </m:e>
              <m:sup>
                <m:r>
                  <w:rPr>
                    <w:rFonts w:ascii="Cambria Math" w:hAnsi="Cambria Math" w:cs="Times New Roman"/>
                    <w:szCs w:val="24"/>
                  </w:rPr>
                  <m:t>A</m:t>
                </m:r>
                <m:sSub>
                  <m:sSubPr>
                    <m:ctrlPr>
                      <w:rPr>
                        <w:rFonts w:ascii="Cambria Math" w:hAnsi="Cambria Math" w:cs="Times New Roman"/>
                        <w:i/>
                        <w:szCs w:val="24"/>
                      </w:rPr>
                    </m:ctrlPr>
                  </m:sSubPr>
                  <m:e>
                    <m:r>
                      <w:rPr>
                        <w:rFonts w:ascii="Cambria Math" w:hAnsi="Cambria Math" w:cs="Times New Roman"/>
                        <w:szCs w:val="24"/>
                      </w:rPr>
                      <m:t>E</m:t>
                    </m:r>
                  </m:e>
                  <m:sub>
                    <m:r>
                      <w:rPr>
                        <w:rFonts w:ascii="Cambria Math" w:hAnsi="Cambria Math" w:cs="Times New Roman"/>
                        <w:szCs w:val="24"/>
                      </w:rPr>
                      <m:t>440-675nm</m:t>
                    </m:r>
                  </m:sub>
                </m:sSub>
              </m:sup>
            </m:sSup>
          </m:den>
        </m:f>
        <m:r>
          <w:rPr>
            <w:rFonts w:ascii="Cambria Math" w:hAnsi="Cambria Math" w:cs="Times New Roman"/>
            <w:szCs w:val="24"/>
          </w:rPr>
          <m:t xml:space="preserve">. </m:t>
        </m:r>
      </m:oMath>
      <w:r w:rsidR="008B4E7D">
        <w:rPr>
          <w:color w:val="000000"/>
        </w:rPr>
        <w:t xml:space="preserve">                                (Eq. 11)</w:t>
      </w:r>
    </w:p>
    <w:p w14:paraId="0D6F0DF1" w14:textId="45C9D1D2" w:rsidR="005D7A90" w:rsidRPr="005D7A90" w:rsidRDefault="000E3BAF" w:rsidP="005D7A90">
      <w:pPr>
        <w:pStyle w:val="NormalWeb"/>
        <w:spacing w:before="0" w:beforeAutospacing="0" w:after="0" w:afterAutospacing="0" w:line="480" w:lineRule="auto"/>
      </w:pPr>
      <w:r>
        <w:rPr>
          <w:color w:val="000000"/>
        </w:rPr>
        <w:tab/>
        <w:t>We</w:t>
      </w:r>
      <w:r w:rsidR="006D7BE5">
        <w:rPr>
          <w:color w:val="000000"/>
        </w:rPr>
        <w:t xml:space="preserve"> use visual inspections to</w:t>
      </w:r>
      <w:r>
        <w:rPr>
          <w:color w:val="000000"/>
        </w:rPr>
        <w:t xml:space="preserve"> evaluate the model qualitatively </w:t>
      </w:r>
      <w:r w:rsidR="009B429A">
        <w:rPr>
          <w:color w:val="000000"/>
        </w:rPr>
        <w:t>and comparing them to satellite visible imagery. This is a</w:t>
      </w:r>
      <w:r w:rsidR="00F3544F">
        <w:rPr>
          <w:color w:val="000000"/>
        </w:rPr>
        <w:t xml:space="preserve">n imperfect mode of analysis due to </w:t>
      </w:r>
      <w:r w:rsidR="00F21823">
        <w:rPr>
          <w:color w:val="000000"/>
        </w:rPr>
        <w:t xml:space="preserve">the </w:t>
      </w:r>
      <w:r w:rsidR="009E1844">
        <w:rPr>
          <w:color w:val="000000"/>
        </w:rPr>
        <w:t xml:space="preserve">fact that many of the </w:t>
      </w:r>
      <w:r w:rsidR="00067D58">
        <w:rPr>
          <w:color w:val="000000"/>
        </w:rPr>
        <w:t>obstacles stopping AOD retrieval algorithms also prevent visual analysis (i.e.</w:t>
      </w:r>
      <w:r w:rsidR="00F21823">
        <w:rPr>
          <w:color w:val="000000"/>
        </w:rPr>
        <w:t>,</w:t>
      </w:r>
      <w:r w:rsidR="00067D58">
        <w:rPr>
          <w:color w:val="000000"/>
        </w:rPr>
        <w:t xml:space="preserve"> cloud cover)</w:t>
      </w:r>
      <w:r w:rsidR="00F3544F">
        <w:rPr>
          <w:color w:val="000000"/>
        </w:rPr>
        <w:t>, but certain</w:t>
      </w:r>
      <w:r w:rsidR="00067D58">
        <w:rPr>
          <w:color w:val="000000"/>
        </w:rPr>
        <w:t xml:space="preserve"> desirable and </w:t>
      </w:r>
      <w:r w:rsidR="002C6D47">
        <w:rPr>
          <w:color w:val="000000"/>
        </w:rPr>
        <w:t xml:space="preserve">undesirable features can be noted by </w:t>
      </w:r>
      <w:r w:rsidR="00CF0FBF">
        <w:rPr>
          <w:color w:val="000000"/>
        </w:rPr>
        <w:t xml:space="preserve">a satellite, aerosol, and </w:t>
      </w:r>
      <w:r w:rsidR="001A1D32">
        <w:rPr>
          <w:color w:val="000000"/>
        </w:rPr>
        <w:t xml:space="preserve">atmospheric composition expert such as my advisor Dr. </w:t>
      </w:r>
      <w:r w:rsidR="005D7A90" w:rsidRPr="005D7A90">
        <w:t>Loría-Salazar</w:t>
      </w:r>
      <w:r w:rsidR="005D7A90">
        <w:t>.</w:t>
      </w:r>
    </w:p>
    <w:p w14:paraId="4CA56024" w14:textId="5DFB1DB0" w:rsidR="00F12779" w:rsidRDefault="00F12779" w:rsidP="00A32411">
      <w:pPr>
        <w:pStyle w:val="NormalWeb"/>
        <w:spacing w:before="0" w:beforeAutospacing="0" w:after="0" w:afterAutospacing="0" w:line="480" w:lineRule="auto"/>
        <w:rPr>
          <w:color w:val="000000"/>
          <w:sz w:val="40"/>
          <w:szCs w:val="40"/>
          <w:u w:val="single"/>
        </w:rPr>
      </w:pPr>
      <w:r>
        <w:rPr>
          <w:color w:val="000000"/>
          <w:sz w:val="40"/>
          <w:szCs w:val="40"/>
          <w:u w:val="single"/>
        </w:rPr>
        <w:br w:type="page"/>
      </w:r>
    </w:p>
    <w:p w14:paraId="61C5F2FB" w14:textId="33C457D4" w:rsidR="00601F10" w:rsidRDefault="00F12779" w:rsidP="00E65F65">
      <w:pPr>
        <w:pStyle w:val="Heading1"/>
      </w:pPr>
      <w:bookmarkStart w:id="84" w:name="_Toc161431110"/>
      <w:r>
        <w:lastRenderedPageBreak/>
        <w:t xml:space="preserve">4. </w:t>
      </w:r>
      <w:r w:rsidRPr="00F12779">
        <w:t>Results</w:t>
      </w:r>
      <w:r>
        <w:t xml:space="preserve"> and Discussion</w:t>
      </w:r>
      <w:bookmarkEnd w:id="84"/>
    </w:p>
    <w:p w14:paraId="0E9CB941" w14:textId="03F5AE8D" w:rsidR="00347D6C" w:rsidRDefault="00B3173E" w:rsidP="00741E73">
      <w:pPr>
        <w:pStyle w:val="Heading2"/>
      </w:pPr>
      <w:bookmarkStart w:id="85" w:name="_Toc161431111"/>
      <w:r>
        <w:t>4.1</w:t>
      </w:r>
      <w:r w:rsidR="006755DB">
        <w:t xml:space="preserve"> Quantitative Results</w:t>
      </w:r>
      <w:bookmarkEnd w:id="85"/>
    </w:p>
    <w:p w14:paraId="41E8F751" w14:textId="0A6BDAC5" w:rsidR="00C0453D" w:rsidRDefault="00226262" w:rsidP="00226262">
      <w:pPr>
        <w:pStyle w:val="Heading3"/>
        <w:rPr>
          <w:rFonts w:eastAsiaTheme="minorEastAsia"/>
        </w:rPr>
      </w:pPr>
      <w:bookmarkStart w:id="86" w:name="_Toc161431112"/>
      <w:r>
        <w:rPr>
          <w:rFonts w:eastAsiaTheme="minorEastAsia"/>
        </w:rPr>
        <w:t>4.1.</w:t>
      </w:r>
      <w:r w:rsidR="008B4E7D">
        <w:rPr>
          <w:rFonts w:eastAsiaTheme="minorEastAsia"/>
        </w:rPr>
        <w:t>1</w:t>
      </w:r>
      <w:r>
        <w:rPr>
          <w:rFonts w:eastAsiaTheme="minorEastAsia"/>
        </w:rPr>
        <w:t xml:space="preserve"> </w:t>
      </w:r>
      <w:r w:rsidR="00903E6A">
        <w:rPr>
          <w:rFonts w:eastAsiaTheme="minorEastAsia"/>
        </w:rPr>
        <w:t>Comparison With AERONET</w:t>
      </w:r>
      <w:bookmarkEnd w:id="86"/>
    </w:p>
    <w:p w14:paraId="04B2A4B0" w14:textId="6D226B13" w:rsidR="00FC12E1" w:rsidRPr="000E6889" w:rsidRDefault="00903E6A" w:rsidP="002D6F2C">
      <w:pPr>
        <w:spacing w:after="0"/>
        <w:rPr>
          <w:rFonts w:eastAsia="Times New Roman" w:cs="Times New Roman"/>
          <w:szCs w:val="24"/>
        </w:rPr>
      </w:pPr>
      <w:r>
        <w:tab/>
      </w:r>
      <w:r w:rsidR="00DD7637">
        <w:t xml:space="preserve">The performance metrics of MERRA-2 AOD, satellite DB AOD, UNet 3+ AOD, and gap-filled AOD against AERONET AOD can be found in </w:t>
      </w:r>
      <w:r w:rsidR="00BE5432">
        <w:t>Table 5</w:t>
      </w:r>
      <w:r w:rsidR="00DD7637">
        <w:t xml:space="preserve">. </w:t>
      </w:r>
      <w:r w:rsidR="003048E6">
        <w:t>The RMSE</w:t>
      </w:r>
      <w:r w:rsidR="00B10A1E">
        <w:t>~0.09</w:t>
      </w:r>
      <w:r w:rsidR="003048E6">
        <w:t xml:space="preserve"> and r</w:t>
      </w:r>
      <w:r w:rsidR="00B10A1E">
        <w:t>~0.79</w:t>
      </w:r>
      <w:r w:rsidR="003048E6">
        <w:t xml:space="preserve"> indicate that </w:t>
      </w:r>
      <w:r w:rsidR="00D019F4">
        <w:t xml:space="preserve">UNet 3+ and gap-filled </w:t>
      </w:r>
      <w:r w:rsidR="005A03D1">
        <w:t xml:space="preserve">AOD values generally do not deviate from AERONET </w:t>
      </w:r>
      <w:r w:rsidR="00AE3272">
        <w:t xml:space="preserve">AOD </w:t>
      </w:r>
      <w:r w:rsidR="006C60C8">
        <w:t>values and follow the same overall trend. The R</w:t>
      </w:r>
      <w:r w:rsidR="006C60C8">
        <w:rPr>
          <w:vertAlign w:val="superscript"/>
        </w:rPr>
        <w:t>2</w:t>
      </w:r>
      <w:r w:rsidR="00B10A1E" w:rsidRPr="00B10A1E">
        <w:t>~</w:t>
      </w:r>
      <w:r w:rsidR="00F60B3E">
        <w:t>0.34</w:t>
      </w:r>
      <w:r w:rsidR="006C60C8">
        <w:t xml:space="preserve"> </w:t>
      </w:r>
      <w:r w:rsidR="00F60B3E">
        <w:t>suggests</w:t>
      </w:r>
      <w:r w:rsidR="009E05FC">
        <w:t xml:space="preserve"> that UNet 3+ AOD </w:t>
      </w:r>
      <w:r w:rsidR="00880A06">
        <w:t xml:space="preserve">struggles to </w:t>
      </w:r>
      <w:r w:rsidR="0018389D">
        <w:t xml:space="preserve">capture as much of the variance in AERONET AOD </w:t>
      </w:r>
      <w:r w:rsidR="008819AB">
        <w:t>as</w:t>
      </w:r>
      <w:r w:rsidR="0018389D">
        <w:t xml:space="preserve"> MERRA-2</w:t>
      </w:r>
      <w:r w:rsidR="00F60B3E">
        <w:t xml:space="preserve"> (R</w:t>
      </w:r>
      <w:r w:rsidR="00F60B3E">
        <w:rPr>
          <w:vertAlign w:val="superscript"/>
        </w:rPr>
        <w:t>2</w:t>
      </w:r>
      <w:r w:rsidR="00F60B3E" w:rsidRPr="00B10A1E">
        <w:t>~</w:t>
      </w:r>
      <w:r w:rsidR="00F60B3E">
        <w:t>0.</w:t>
      </w:r>
      <w:r w:rsidR="00DF4871">
        <w:t>56</w:t>
      </w:r>
      <w:r w:rsidR="00F60B3E">
        <w:t>)</w:t>
      </w:r>
      <w:r w:rsidR="0018389D">
        <w:t xml:space="preserve"> or </w:t>
      </w:r>
      <w:r w:rsidR="00F21823">
        <w:t xml:space="preserve">DB </w:t>
      </w:r>
      <w:r w:rsidR="00F60B3E">
        <w:t>(R</w:t>
      </w:r>
      <w:r w:rsidR="00F60B3E">
        <w:rPr>
          <w:vertAlign w:val="superscript"/>
        </w:rPr>
        <w:t>2</w:t>
      </w:r>
      <w:r w:rsidR="00F60B3E" w:rsidRPr="00B10A1E">
        <w:t>~</w:t>
      </w:r>
      <w:r w:rsidR="00F60B3E">
        <w:t>0.</w:t>
      </w:r>
      <w:r w:rsidR="00DF4871">
        <w:t>41</w:t>
      </w:r>
      <w:r w:rsidR="00F60B3E">
        <w:t>)</w:t>
      </w:r>
      <w:r w:rsidR="0018389D">
        <w:t xml:space="preserve">. </w:t>
      </w:r>
      <w:r w:rsidR="00DF4871">
        <w:t>However,</w:t>
      </w:r>
      <w:r w:rsidR="0018389D">
        <w:t xml:space="preserve"> </w:t>
      </w:r>
      <w:r w:rsidR="00C90A6D">
        <w:t xml:space="preserve">the gap-filled AOD </w:t>
      </w:r>
      <w:r w:rsidR="000D27E1">
        <w:t>does not have as much of this problem, as its R</w:t>
      </w:r>
      <w:r w:rsidR="000D27E1">
        <w:rPr>
          <w:vertAlign w:val="superscript"/>
        </w:rPr>
        <w:t>2</w:t>
      </w:r>
      <w:r w:rsidR="00DF4871">
        <w:t>~</w:t>
      </w:r>
      <w:r w:rsidR="00E730D5">
        <w:t>0.51</w:t>
      </w:r>
      <w:r w:rsidR="000D27E1">
        <w:t xml:space="preserve"> is on par with that of MERRA-2 and satellite.</w:t>
      </w:r>
      <w:r w:rsidR="00FC12E1">
        <w:t xml:space="preserve"> The </w:t>
      </w:r>
      <w:r w:rsidR="00FC12E1">
        <w:rPr>
          <w:rFonts w:eastAsia="Times New Roman" w:cs="Times New Roman"/>
          <w:color w:val="000000"/>
          <w:szCs w:val="24"/>
        </w:rPr>
        <w:t>R</w:t>
      </w:r>
      <w:r w:rsidR="00FC12E1">
        <w:rPr>
          <w:rFonts w:eastAsia="Times New Roman" w:cs="Times New Roman"/>
          <w:color w:val="000000"/>
          <w:szCs w:val="24"/>
          <w:vertAlign w:val="superscript"/>
        </w:rPr>
        <w:t>2</w:t>
      </w:r>
      <w:r w:rsidR="00FC12E1" w:rsidRPr="000E6889">
        <w:rPr>
          <w:rFonts w:eastAsia="Times New Roman" w:cs="Times New Roman"/>
          <w:color w:val="000000"/>
          <w:szCs w:val="24"/>
        </w:rPr>
        <w:t xml:space="preserve"> values are difficult to interpret due to the extreme skewness of the AOD distribution. Due to this skewness, the majority of variance in the data comes in the form of small fluctuations around (low) baseline AOD values. AERONET AOD, for example, has a mean of 0.096 and </w:t>
      </w:r>
      <w:r w:rsidR="00E730D5">
        <w:rPr>
          <w:rFonts w:eastAsia="Times New Roman" w:cs="Times New Roman"/>
          <w:color w:val="000000"/>
          <w:szCs w:val="24"/>
        </w:rPr>
        <w:t xml:space="preserve">a </w:t>
      </w:r>
      <w:r w:rsidR="00FC12E1" w:rsidRPr="000E6889">
        <w:rPr>
          <w:rFonts w:eastAsia="Times New Roman" w:cs="Times New Roman"/>
          <w:color w:val="000000"/>
          <w:szCs w:val="24"/>
        </w:rPr>
        <w:t xml:space="preserve">standard deviation of 0.11. It is </w:t>
      </w:r>
      <w:r w:rsidR="00146CD7">
        <w:rPr>
          <w:rFonts w:eastAsia="Times New Roman" w:cs="Times New Roman"/>
          <w:color w:val="000000"/>
          <w:szCs w:val="24"/>
        </w:rPr>
        <w:t xml:space="preserve"> challenging</w:t>
      </w:r>
      <w:r w:rsidR="00FC12E1" w:rsidRPr="000E6889">
        <w:rPr>
          <w:rFonts w:eastAsia="Times New Roman" w:cs="Times New Roman"/>
          <w:color w:val="000000"/>
          <w:szCs w:val="24"/>
        </w:rPr>
        <w:t xml:space="preserve"> to capture a large percentage of these </w:t>
      </w:r>
      <w:r w:rsidR="00146CD7">
        <w:rPr>
          <w:rFonts w:eastAsia="Times New Roman" w:cs="Times New Roman"/>
          <w:color w:val="000000"/>
          <w:szCs w:val="24"/>
        </w:rPr>
        <w:t>minor</w:t>
      </w:r>
      <w:r w:rsidR="00146CD7" w:rsidRPr="000E6889">
        <w:rPr>
          <w:rFonts w:eastAsia="Times New Roman" w:cs="Times New Roman"/>
          <w:color w:val="000000"/>
          <w:szCs w:val="24"/>
        </w:rPr>
        <w:t xml:space="preserve"> </w:t>
      </w:r>
      <w:r w:rsidR="00FC12E1" w:rsidRPr="000E6889">
        <w:rPr>
          <w:rFonts w:eastAsia="Times New Roman" w:cs="Times New Roman"/>
          <w:color w:val="000000"/>
          <w:szCs w:val="24"/>
        </w:rPr>
        <w:t xml:space="preserve">fluctuations, </w:t>
      </w:r>
      <w:r w:rsidR="00E730D5">
        <w:rPr>
          <w:rFonts w:eastAsia="Times New Roman" w:cs="Times New Roman"/>
          <w:color w:val="000000"/>
          <w:szCs w:val="24"/>
        </w:rPr>
        <w:t xml:space="preserve">as evidenced by </w:t>
      </w:r>
      <w:r w:rsidR="00FC12E1" w:rsidRPr="000E6889">
        <w:rPr>
          <w:rFonts w:eastAsia="Times New Roman" w:cs="Times New Roman"/>
          <w:color w:val="000000"/>
          <w:szCs w:val="24"/>
        </w:rPr>
        <w:t>the</w:t>
      </w:r>
      <w:r w:rsidR="008E7B8E">
        <w:rPr>
          <w:rFonts w:eastAsia="Times New Roman" w:cs="Times New Roman"/>
          <w:color w:val="000000"/>
          <w:szCs w:val="24"/>
        </w:rPr>
        <w:t xml:space="preserve"> low</w:t>
      </w:r>
      <w:r w:rsidR="00FC12E1" w:rsidRPr="000E6889">
        <w:rPr>
          <w:rFonts w:eastAsia="Times New Roman" w:cs="Times New Roman"/>
          <w:color w:val="000000"/>
          <w:szCs w:val="24"/>
        </w:rPr>
        <w:t xml:space="preserve"> MERRA-2 and </w:t>
      </w:r>
      <w:r w:rsidR="008E7B8E">
        <w:rPr>
          <w:rFonts w:eastAsia="Times New Roman" w:cs="Times New Roman"/>
          <w:color w:val="000000"/>
          <w:szCs w:val="24"/>
        </w:rPr>
        <w:t xml:space="preserve">DB </w:t>
      </w:r>
      <w:r w:rsidR="0057766B" w:rsidRPr="0057766B">
        <w:rPr>
          <w:rFonts w:eastAsia="Times New Roman" w:cs="Times New Roman"/>
          <w:color w:val="000000"/>
          <w:szCs w:val="24"/>
        </w:rPr>
        <w:t>R</w:t>
      </w:r>
      <w:r w:rsidR="0057766B" w:rsidRPr="0057766B">
        <w:rPr>
          <w:rFonts w:eastAsia="Times New Roman" w:cs="Times New Roman"/>
          <w:color w:val="000000"/>
          <w:szCs w:val="24"/>
          <w:vertAlign w:val="superscript"/>
        </w:rPr>
        <w:t>2</w:t>
      </w:r>
      <w:r w:rsidR="0057766B">
        <w:rPr>
          <w:rFonts w:eastAsia="Times New Roman" w:cs="Times New Roman"/>
          <w:color w:val="000000"/>
          <w:szCs w:val="24"/>
        </w:rPr>
        <w:t xml:space="preserve"> values</w:t>
      </w:r>
      <w:r w:rsidR="00FC12E1" w:rsidRPr="000E6889">
        <w:rPr>
          <w:rFonts w:eastAsia="Times New Roman" w:cs="Times New Roman"/>
          <w:color w:val="000000"/>
          <w:szCs w:val="24"/>
        </w:rPr>
        <w:t>. However,</w:t>
      </w:r>
      <w:r w:rsidR="00911EE5" w:rsidRPr="000E6889" w:rsidDel="00911EE5">
        <w:rPr>
          <w:rFonts w:eastAsia="Times New Roman" w:cs="Times New Roman"/>
          <w:color w:val="000000"/>
          <w:szCs w:val="24"/>
        </w:rPr>
        <w:t xml:space="preserve"> </w:t>
      </w:r>
      <w:r w:rsidR="00146CD7">
        <w:rPr>
          <w:rFonts w:eastAsia="Times New Roman" w:cs="Times New Roman"/>
          <w:color w:val="000000"/>
          <w:szCs w:val="24"/>
        </w:rPr>
        <w:t>characterizing these small fluctuations in certain contexts</w:t>
      </w:r>
      <w:r w:rsidR="001334AF">
        <w:rPr>
          <w:rFonts w:eastAsia="Times New Roman" w:cs="Times New Roman"/>
          <w:color w:val="000000"/>
          <w:szCs w:val="24"/>
        </w:rPr>
        <w:t>,</w:t>
      </w:r>
      <w:r w:rsidR="00146CD7">
        <w:rPr>
          <w:rFonts w:eastAsia="Times New Roman" w:cs="Times New Roman"/>
          <w:color w:val="000000"/>
          <w:szCs w:val="24"/>
        </w:rPr>
        <w:t xml:space="preserve"> such as air quality studie</w:t>
      </w:r>
      <w:r w:rsidR="00FC12E1" w:rsidRPr="000E6889">
        <w:rPr>
          <w:rFonts w:eastAsia="Times New Roman" w:cs="Times New Roman"/>
          <w:color w:val="000000"/>
          <w:szCs w:val="24"/>
        </w:rPr>
        <w:t>s</w:t>
      </w:r>
      <w:r w:rsidR="001334AF">
        <w:rPr>
          <w:rFonts w:eastAsia="Times New Roman" w:cs="Times New Roman"/>
          <w:color w:val="000000"/>
          <w:szCs w:val="24"/>
        </w:rPr>
        <w:t>,</w:t>
      </w:r>
      <w:r w:rsidR="008E7B8E">
        <w:rPr>
          <w:rFonts w:eastAsia="Times New Roman" w:cs="Times New Roman"/>
          <w:color w:val="000000"/>
          <w:szCs w:val="24"/>
        </w:rPr>
        <w:t xml:space="preserve"> </w:t>
      </w:r>
      <w:r w:rsidR="00CA1D7A">
        <w:rPr>
          <w:rFonts w:eastAsia="Times New Roman" w:cs="Times New Roman"/>
          <w:color w:val="000000"/>
          <w:szCs w:val="24"/>
        </w:rPr>
        <w:t>has</w:t>
      </w:r>
      <w:r w:rsidR="001E165E">
        <w:rPr>
          <w:rFonts w:eastAsia="Times New Roman" w:cs="Times New Roman"/>
          <w:color w:val="000000"/>
          <w:szCs w:val="24"/>
        </w:rPr>
        <w:t xml:space="preserve"> a</w:t>
      </w:r>
      <w:r w:rsidR="00CA1D7A">
        <w:rPr>
          <w:rFonts w:eastAsia="Times New Roman" w:cs="Times New Roman"/>
          <w:color w:val="000000"/>
          <w:szCs w:val="24"/>
        </w:rPr>
        <w:t xml:space="preserve"> low impact </w:t>
      </w:r>
      <w:r w:rsidR="001E165E">
        <w:rPr>
          <w:rFonts w:eastAsia="Times New Roman" w:cs="Times New Roman"/>
          <w:color w:val="000000"/>
          <w:szCs w:val="24"/>
        </w:rPr>
        <w:t>o</w:t>
      </w:r>
      <w:r w:rsidR="00CA1D7A">
        <w:rPr>
          <w:rFonts w:eastAsia="Times New Roman" w:cs="Times New Roman"/>
          <w:color w:val="000000"/>
          <w:szCs w:val="24"/>
        </w:rPr>
        <w:t>n results</w:t>
      </w:r>
      <w:r w:rsidR="008E7B8E">
        <w:rPr>
          <w:rFonts w:eastAsia="Times New Roman" w:cs="Times New Roman"/>
          <w:color w:val="000000"/>
          <w:szCs w:val="24"/>
        </w:rPr>
        <w:t xml:space="preserve"> </w:t>
      </w:r>
      <w:r w:rsidR="00FC12E1" w:rsidRPr="000E6889">
        <w:rPr>
          <w:rFonts w:eastAsia="Times New Roman" w:cs="Times New Roman"/>
          <w:color w:val="000000"/>
          <w:szCs w:val="24"/>
        </w:rPr>
        <w:t xml:space="preserve">as long as the overall AOD loading is characterized </w:t>
      </w:r>
      <w:r w:rsidR="001E165E">
        <w:rPr>
          <w:rFonts w:eastAsia="Times New Roman" w:cs="Times New Roman"/>
          <w:color w:val="000000"/>
          <w:szCs w:val="24"/>
        </w:rPr>
        <w:t xml:space="preserve">correctly </w:t>
      </w:r>
      <w:r w:rsidR="00CA1D7A">
        <w:rPr>
          <w:rFonts w:eastAsia="Times New Roman" w:cs="Times New Roman"/>
          <w:color w:val="000000"/>
          <w:szCs w:val="24"/>
        </w:rPr>
        <w:t>(</w:t>
      </w:r>
      <w:r w:rsidR="008E7B8E" w:rsidRPr="000E6889">
        <w:rPr>
          <w:rFonts w:eastAsia="Times New Roman" w:cs="Times New Roman"/>
          <w:color w:val="000000"/>
          <w:szCs w:val="24"/>
        </w:rPr>
        <w:t>i.e.</w:t>
      </w:r>
      <w:r w:rsidR="008E7B8E">
        <w:rPr>
          <w:rFonts w:eastAsia="Times New Roman" w:cs="Times New Roman"/>
          <w:color w:val="000000"/>
          <w:szCs w:val="24"/>
        </w:rPr>
        <w:t>,</w:t>
      </w:r>
      <w:r w:rsidR="00FC12E1" w:rsidRPr="000E6889">
        <w:rPr>
          <w:rFonts w:eastAsia="Times New Roman" w:cs="Times New Roman"/>
          <w:color w:val="000000"/>
          <w:szCs w:val="24"/>
        </w:rPr>
        <w:t xml:space="preserve"> low/medium/high</w:t>
      </w:r>
      <w:r w:rsidR="00D153A0">
        <w:rPr>
          <w:rFonts w:eastAsia="Times New Roman" w:cs="Times New Roman"/>
          <w:color w:val="000000"/>
          <w:szCs w:val="24"/>
        </w:rPr>
        <w:t xml:space="preserve"> aerosol loadings</w:t>
      </w:r>
      <w:r w:rsidR="00CA1D7A">
        <w:rPr>
          <w:rFonts w:eastAsia="Times New Roman" w:cs="Times New Roman"/>
          <w:color w:val="000000"/>
          <w:szCs w:val="24"/>
        </w:rPr>
        <w:t>)</w:t>
      </w:r>
      <w:r w:rsidR="00FC12E1" w:rsidRPr="000E6889">
        <w:rPr>
          <w:rFonts w:eastAsia="Times New Roman" w:cs="Times New Roman"/>
          <w:color w:val="000000"/>
          <w:szCs w:val="24"/>
        </w:rPr>
        <w:t>.</w:t>
      </w:r>
      <w:r w:rsidR="008E7B8E">
        <w:rPr>
          <w:rFonts w:eastAsia="Times New Roman" w:cs="Times New Roman"/>
          <w:color w:val="000000"/>
          <w:szCs w:val="24"/>
        </w:rPr>
        <w:t xml:space="preserve"> </w:t>
      </w:r>
      <w:r w:rsidR="00FC5BBA">
        <w:rPr>
          <w:rFonts w:eastAsia="Times New Roman" w:cs="Times New Roman"/>
          <w:color w:val="000000"/>
          <w:szCs w:val="24"/>
        </w:rPr>
        <w:t xml:space="preserve">The NMB shows that </w:t>
      </w:r>
      <w:r w:rsidR="00134052">
        <w:rPr>
          <w:rFonts w:eastAsia="Times New Roman" w:cs="Times New Roman"/>
          <w:color w:val="000000"/>
          <w:szCs w:val="24"/>
        </w:rPr>
        <w:t xml:space="preserve">all AOD </w:t>
      </w:r>
      <w:r w:rsidR="00455AD0">
        <w:rPr>
          <w:rFonts w:eastAsia="Times New Roman" w:cs="Times New Roman"/>
          <w:color w:val="000000"/>
          <w:szCs w:val="24"/>
        </w:rPr>
        <w:t>products have a positive bias</w:t>
      </w:r>
      <w:r w:rsidR="00D153A0">
        <w:rPr>
          <w:rFonts w:eastAsia="Times New Roman" w:cs="Times New Roman"/>
          <w:color w:val="000000"/>
          <w:szCs w:val="24"/>
        </w:rPr>
        <w:t xml:space="preserve"> (~ 20%)</w:t>
      </w:r>
      <w:r w:rsidR="00455AD0">
        <w:rPr>
          <w:rFonts w:eastAsia="Times New Roman" w:cs="Times New Roman"/>
          <w:color w:val="000000"/>
          <w:szCs w:val="24"/>
        </w:rPr>
        <w:t xml:space="preserve"> against AERONET</w:t>
      </w:r>
      <w:r w:rsidR="00BF5EF5">
        <w:rPr>
          <w:rFonts w:eastAsia="Times New Roman" w:cs="Times New Roman"/>
          <w:color w:val="000000"/>
          <w:szCs w:val="24"/>
        </w:rPr>
        <w:t>.</w:t>
      </w:r>
      <w:r w:rsidR="009867E7">
        <w:rPr>
          <w:rFonts w:eastAsia="Times New Roman" w:cs="Times New Roman"/>
          <w:color w:val="000000"/>
          <w:szCs w:val="24"/>
        </w:rPr>
        <w:t xml:space="preserve"> S</w:t>
      </w:r>
      <w:r w:rsidR="00911EE5">
        <w:rPr>
          <w:rFonts w:eastAsia="Times New Roman" w:cs="Times New Roman"/>
          <w:color w:val="000000"/>
          <w:szCs w:val="24"/>
        </w:rPr>
        <w:t>uperimposing DB AOD on top of UNet 3+ AOD</w:t>
      </w:r>
      <w:r w:rsidR="00BB65D7">
        <w:rPr>
          <w:rFonts w:eastAsia="Times New Roman" w:cs="Times New Roman"/>
          <w:color w:val="000000"/>
          <w:szCs w:val="24"/>
        </w:rPr>
        <w:t xml:space="preserve"> to create the gap-filled AOD </w:t>
      </w:r>
      <w:r w:rsidR="00911EE5">
        <w:rPr>
          <w:rFonts w:eastAsia="Times New Roman" w:cs="Times New Roman"/>
          <w:color w:val="000000"/>
          <w:szCs w:val="24"/>
        </w:rPr>
        <w:t>increases NMB from 19.1% to 21.4%, despite satellite DB AOD generally</w:t>
      </w:r>
      <w:r w:rsidR="00811AC4">
        <w:rPr>
          <w:rFonts w:eastAsia="Times New Roman" w:cs="Times New Roman"/>
          <w:color w:val="000000"/>
          <w:szCs w:val="24"/>
        </w:rPr>
        <w:t xml:space="preserve"> having a lower NMB of 17.3%</w:t>
      </w:r>
      <w:r w:rsidR="00007219">
        <w:rPr>
          <w:rFonts w:eastAsia="Times New Roman" w:cs="Times New Roman"/>
          <w:color w:val="000000"/>
          <w:szCs w:val="24"/>
        </w:rPr>
        <w:t xml:space="preserve">. This suggests that </w:t>
      </w:r>
      <w:r w:rsidR="00533DEA">
        <w:rPr>
          <w:rFonts w:eastAsia="Times New Roman" w:cs="Times New Roman"/>
          <w:color w:val="000000"/>
          <w:szCs w:val="24"/>
        </w:rPr>
        <w:t xml:space="preserve">UNet 3+ tends to </w:t>
      </w:r>
      <w:r w:rsidR="00BE309B">
        <w:rPr>
          <w:rFonts w:eastAsia="Times New Roman" w:cs="Times New Roman"/>
          <w:color w:val="000000"/>
          <w:szCs w:val="24"/>
        </w:rPr>
        <w:t>overestimate</w:t>
      </w:r>
      <w:r w:rsidR="002A0297">
        <w:rPr>
          <w:rFonts w:eastAsia="Times New Roman" w:cs="Times New Roman"/>
          <w:color w:val="000000"/>
          <w:szCs w:val="24"/>
        </w:rPr>
        <w:t xml:space="preserve"> </w:t>
      </w:r>
      <w:r w:rsidR="00BE309B">
        <w:rPr>
          <w:rFonts w:eastAsia="Times New Roman" w:cs="Times New Roman"/>
          <w:color w:val="000000"/>
          <w:szCs w:val="24"/>
        </w:rPr>
        <w:lastRenderedPageBreak/>
        <w:t>AOD</w:t>
      </w:r>
      <w:r w:rsidR="001E165E">
        <w:rPr>
          <w:rFonts w:eastAsia="Times New Roman" w:cs="Times New Roman"/>
          <w:color w:val="000000"/>
          <w:szCs w:val="24"/>
        </w:rPr>
        <w:t>,</w:t>
      </w:r>
      <w:r w:rsidR="00D27688">
        <w:rPr>
          <w:rFonts w:eastAsia="Times New Roman" w:cs="Times New Roman"/>
          <w:color w:val="000000"/>
          <w:szCs w:val="24"/>
        </w:rPr>
        <w:t xml:space="preserve"> particularly</w:t>
      </w:r>
      <w:r w:rsidR="00BE309B">
        <w:rPr>
          <w:rFonts w:eastAsia="Times New Roman" w:cs="Times New Roman"/>
          <w:color w:val="000000"/>
          <w:szCs w:val="24"/>
        </w:rPr>
        <w:t xml:space="preserve"> in </w:t>
      </w:r>
      <w:r w:rsidR="002A0297">
        <w:rPr>
          <w:rFonts w:eastAsia="Times New Roman" w:cs="Times New Roman"/>
          <w:color w:val="000000"/>
          <w:szCs w:val="24"/>
        </w:rPr>
        <w:t>areas with</w:t>
      </w:r>
      <w:r w:rsidR="00BE309B">
        <w:rPr>
          <w:rFonts w:eastAsia="Times New Roman" w:cs="Times New Roman"/>
          <w:color w:val="000000"/>
          <w:szCs w:val="24"/>
        </w:rPr>
        <w:t xml:space="preserve"> DB retrieval gaps</w:t>
      </w:r>
      <w:r w:rsidR="00A21E9F">
        <w:rPr>
          <w:rFonts w:eastAsia="Times New Roman" w:cs="Times New Roman"/>
          <w:color w:val="000000"/>
          <w:szCs w:val="24"/>
        </w:rPr>
        <w:t>.</w:t>
      </w:r>
      <w:r w:rsidR="00811AC4">
        <w:rPr>
          <w:rFonts w:eastAsia="Times New Roman" w:cs="Times New Roman"/>
          <w:color w:val="000000"/>
          <w:szCs w:val="24"/>
        </w:rPr>
        <w:t xml:space="preserve"> </w:t>
      </w:r>
      <w:r w:rsidR="00896D60">
        <w:rPr>
          <w:rFonts w:eastAsia="Times New Roman" w:cs="Times New Roman"/>
          <w:color w:val="000000"/>
          <w:szCs w:val="24"/>
        </w:rPr>
        <w:t xml:space="preserve">Finally, </w:t>
      </w:r>
      <w:r w:rsidR="00896D60" w:rsidRPr="000E6889">
        <w:rPr>
          <w:rFonts w:eastAsia="Times New Roman" w:cs="Times New Roman"/>
          <w:color w:val="000000"/>
          <w:szCs w:val="24"/>
        </w:rPr>
        <w:t>gap-filling</w:t>
      </w:r>
      <w:r w:rsidR="00C43083">
        <w:rPr>
          <w:rFonts w:eastAsia="Times New Roman" w:cs="Times New Roman"/>
          <w:color w:val="000000"/>
          <w:szCs w:val="24"/>
        </w:rPr>
        <w:t xml:space="preserve"> </w:t>
      </w:r>
      <w:r w:rsidR="00A53A85">
        <w:rPr>
          <w:rFonts w:eastAsia="Times New Roman" w:cs="Times New Roman"/>
          <w:color w:val="000000"/>
          <w:szCs w:val="24"/>
        </w:rPr>
        <w:t xml:space="preserve">the </w:t>
      </w:r>
      <w:r w:rsidR="00C43083">
        <w:rPr>
          <w:rFonts w:eastAsia="Times New Roman" w:cs="Times New Roman"/>
          <w:color w:val="000000"/>
          <w:szCs w:val="24"/>
        </w:rPr>
        <w:t>satellite DB AOD</w:t>
      </w:r>
      <w:r w:rsidR="00896D60" w:rsidRPr="000E6889">
        <w:rPr>
          <w:rFonts w:eastAsia="Times New Roman" w:cs="Times New Roman"/>
          <w:color w:val="000000"/>
          <w:szCs w:val="24"/>
        </w:rPr>
        <w:t xml:space="preserve"> </w:t>
      </w:r>
      <w:r w:rsidR="00A53A85">
        <w:rPr>
          <w:rFonts w:eastAsia="Times New Roman" w:cs="Times New Roman"/>
          <w:color w:val="000000"/>
          <w:szCs w:val="24"/>
        </w:rPr>
        <w:t xml:space="preserve">retrievals </w:t>
      </w:r>
      <w:r w:rsidR="00896D60" w:rsidRPr="000E6889">
        <w:rPr>
          <w:rFonts w:eastAsia="Times New Roman" w:cs="Times New Roman"/>
          <w:color w:val="000000"/>
          <w:szCs w:val="24"/>
        </w:rPr>
        <w:t xml:space="preserve">results </w:t>
      </w:r>
      <w:r w:rsidR="0009019A">
        <w:rPr>
          <w:rFonts w:eastAsia="Times New Roman" w:cs="Times New Roman"/>
          <w:color w:val="000000"/>
          <w:szCs w:val="24"/>
        </w:rPr>
        <w:t>in</w:t>
      </w:r>
      <w:r w:rsidR="00896D60" w:rsidRPr="000E6889">
        <w:rPr>
          <w:rFonts w:eastAsia="Times New Roman" w:cs="Times New Roman"/>
          <w:color w:val="000000"/>
          <w:szCs w:val="24"/>
        </w:rPr>
        <w:t xml:space="preserve"> an additional ~30,000 collocated </w:t>
      </w:r>
      <w:r w:rsidR="00896D60">
        <w:rPr>
          <w:rFonts w:eastAsia="Times New Roman" w:cs="Times New Roman"/>
          <w:color w:val="000000"/>
          <w:szCs w:val="24"/>
        </w:rPr>
        <w:t>observations</w:t>
      </w:r>
      <w:r w:rsidR="00896D60" w:rsidRPr="000E6889">
        <w:rPr>
          <w:rFonts w:eastAsia="Times New Roman" w:cs="Times New Roman"/>
          <w:color w:val="000000"/>
          <w:szCs w:val="24"/>
        </w:rPr>
        <w:t xml:space="preserve"> with AERONET over the </w:t>
      </w:r>
      <w:r w:rsidR="008E010A" w:rsidRPr="000E6889">
        <w:rPr>
          <w:rFonts w:eastAsia="Times New Roman" w:cs="Times New Roman"/>
          <w:color w:val="000000"/>
          <w:szCs w:val="24"/>
        </w:rPr>
        <w:t>11</w:t>
      </w:r>
      <w:r w:rsidR="008E010A">
        <w:rPr>
          <w:rFonts w:eastAsia="Times New Roman" w:cs="Times New Roman"/>
          <w:color w:val="000000"/>
          <w:szCs w:val="24"/>
        </w:rPr>
        <w:t>-year</w:t>
      </w:r>
      <w:r w:rsidR="00896D60" w:rsidRPr="000E6889">
        <w:rPr>
          <w:rFonts w:eastAsia="Times New Roman" w:cs="Times New Roman"/>
          <w:color w:val="000000"/>
          <w:szCs w:val="24"/>
        </w:rPr>
        <w:t xml:space="preserve"> period.</w:t>
      </w:r>
    </w:p>
    <w:p w14:paraId="0380DD43" w14:textId="77777777" w:rsidR="00581180" w:rsidRDefault="00581180" w:rsidP="00903E6A">
      <w:pPr>
        <w:rPr>
          <w:rFonts w:eastAsia="Times New Roman" w:cs="Times New Roman"/>
          <w:color w:val="000000"/>
          <w:szCs w:val="24"/>
        </w:rPr>
      </w:pPr>
    </w:p>
    <w:tbl>
      <w:tblPr>
        <w:tblStyle w:val="TableGrid"/>
        <w:tblW w:w="0" w:type="auto"/>
        <w:tblLook w:val="04A0" w:firstRow="1" w:lastRow="0" w:firstColumn="1" w:lastColumn="0" w:noHBand="0" w:noVBand="1"/>
      </w:tblPr>
      <w:tblGrid>
        <w:gridCol w:w="1757"/>
        <w:gridCol w:w="1558"/>
        <w:gridCol w:w="1486"/>
        <w:gridCol w:w="1486"/>
        <w:gridCol w:w="1706"/>
        <w:gridCol w:w="1357"/>
      </w:tblGrid>
      <w:tr w:rsidR="00853DAD" w14:paraId="69FA5A44" w14:textId="27AC3DDC" w:rsidTr="00853DAD">
        <w:tc>
          <w:tcPr>
            <w:tcW w:w="1757" w:type="dxa"/>
          </w:tcPr>
          <w:p w14:paraId="074249C8" w14:textId="77777777" w:rsidR="00853DAD" w:rsidRDefault="00853DAD" w:rsidP="00903E6A"/>
        </w:tc>
        <w:tc>
          <w:tcPr>
            <w:tcW w:w="1558" w:type="dxa"/>
          </w:tcPr>
          <w:p w14:paraId="15152D3D" w14:textId="4DED43EE" w:rsidR="00853DAD" w:rsidRPr="00E11FBF" w:rsidRDefault="00853DAD" w:rsidP="00940231">
            <w:pPr>
              <w:jc w:val="center"/>
              <w:rPr>
                <w:b/>
                <w:bCs/>
              </w:rPr>
            </w:pPr>
            <w:r w:rsidRPr="00E11FBF">
              <w:rPr>
                <w:b/>
                <w:bCs/>
              </w:rPr>
              <w:t>RMSE</w:t>
            </w:r>
          </w:p>
        </w:tc>
        <w:tc>
          <w:tcPr>
            <w:tcW w:w="1486" w:type="dxa"/>
          </w:tcPr>
          <w:p w14:paraId="68753DBF" w14:textId="2253D382" w:rsidR="00853DAD" w:rsidRPr="00E11FBF" w:rsidRDefault="00853DAD" w:rsidP="00940231">
            <w:pPr>
              <w:jc w:val="center"/>
              <w:rPr>
                <w:b/>
                <w:bCs/>
              </w:rPr>
            </w:pPr>
            <w:r w:rsidRPr="00E11FBF">
              <w:rPr>
                <w:b/>
                <w:bCs/>
              </w:rPr>
              <w:t>r</w:t>
            </w:r>
          </w:p>
        </w:tc>
        <w:tc>
          <w:tcPr>
            <w:tcW w:w="1486" w:type="dxa"/>
          </w:tcPr>
          <w:p w14:paraId="74CEB840" w14:textId="7ACED52F" w:rsidR="00853DAD" w:rsidRPr="00E11FBF" w:rsidRDefault="00853DAD" w:rsidP="00940231">
            <w:pPr>
              <w:jc w:val="center"/>
              <w:rPr>
                <w:b/>
                <w:bCs/>
                <w:vertAlign w:val="subscript"/>
              </w:rPr>
            </w:pPr>
            <w:r w:rsidRPr="00E11FBF">
              <w:rPr>
                <w:b/>
                <w:bCs/>
              </w:rPr>
              <w:t>R</w:t>
            </w:r>
            <w:r w:rsidRPr="00E11FBF">
              <w:rPr>
                <w:b/>
                <w:bCs/>
                <w:vertAlign w:val="superscript"/>
              </w:rPr>
              <w:t>2</w:t>
            </w:r>
          </w:p>
        </w:tc>
        <w:tc>
          <w:tcPr>
            <w:tcW w:w="1706" w:type="dxa"/>
          </w:tcPr>
          <w:p w14:paraId="397F76B9" w14:textId="712D7D6E" w:rsidR="00853DAD" w:rsidRPr="00E11FBF" w:rsidRDefault="00853DAD" w:rsidP="00940231">
            <w:pPr>
              <w:jc w:val="center"/>
              <w:rPr>
                <w:b/>
                <w:bCs/>
              </w:rPr>
            </w:pPr>
            <w:r w:rsidRPr="00E11FBF">
              <w:rPr>
                <w:b/>
                <w:bCs/>
              </w:rPr>
              <w:t>NMB</w:t>
            </w:r>
          </w:p>
        </w:tc>
        <w:tc>
          <w:tcPr>
            <w:tcW w:w="1357" w:type="dxa"/>
          </w:tcPr>
          <w:p w14:paraId="15CDE602" w14:textId="26940494" w:rsidR="00853DAD" w:rsidRPr="00E11FBF" w:rsidRDefault="00892284" w:rsidP="00940231">
            <w:pPr>
              <w:jc w:val="center"/>
              <w:rPr>
                <w:b/>
                <w:bCs/>
              </w:rPr>
            </w:pPr>
            <w:r w:rsidRPr="00E11FBF">
              <w:rPr>
                <w:b/>
                <w:bCs/>
              </w:rPr>
              <w:t>N</w:t>
            </w:r>
          </w:p>
        </w:tc>
      </w:tr>
      <w:tr w:rsidR="00853DAD" w14:paraId="23B9A377" w14:textId="7041B13D" w:rsidTr="00853DAD">
        <w:tc>
          <w:tcPr>
            <w:tcW w:w="1757" w:type="dxa"/>
          </w:tcPr>
          <w:p w14:paraId="4465D259" w14:textId="146CC4E4" w:rsidR="00853DAD" w:rsidRPr="00E11FBF" w:rsidRDefault="00853DAD" w:rsidP="00903E6A">
            <w:pPr>
              <w:rPr>
                <w:b/>
                <w:bCs/>
              </w:rPr>
            </w:pPr>
            <w:r w:rsidRPr="00E11FBF">
              <w:rPr>
                <w:b/>
                <w:bCs/>
              </w:rPr>
              <w:t>MERRA-2</w:t>
            </w:r>
          </w:p>
        </w:tc>
        <w:tc>
          <w:tcPr>
            <w:tcW w:w="1558" w:type="dxa"/>
          </w:tcPr>
          <w:p w14:paraId="11436C8A" w14:textId="11CFC222" w:rsidR="00853DAD" w:rsidRDefault="00853DAD" w:rsidP="00903E6A">
            <w:r>
              <w:t>0.07</w:t>
            </w:r>
          </w:p>
        </w:tc>
        <w:tc>
          <w:tcPr>
            <w:tcW w:w="1486" w:type="dxa"/>
          </w:tcPr>
          <w:p w14:paraId="62A79331" w14:textId="791DD8B5" w:rsidR="00853DAD" w:rsidRDefault="00853DAD" w:rsidP="00903E6A">
            <w:r>
              <w:t>0.78</w:t>
            </w:r>
          </w:p>
        </w:tc>
        <w:tc>
          <w:tcPr>
            <w:tcW w:w="1486" w:type="dxa"/>
          </w:tcPr>
          <w:p w14:paraId="51C6AD52" w14:textId="502A6946" w:rsidR="00853DAD" w:rsidRDefault="00853DAD" w:rsidP="00903E6A">
            <w:r>
              <w:t>0.56</w:t>
            </w:r>
          </w:p>
        </w:tc>
        <w:tc>
          <w:tcPr>
            <w:tcW w:w="1706" w:type="dxa"/>
          </w:tcPr>
          <w:p w14:paraId="4DF3F98E" w14:textId="70915664" w:rsidR="00853DAD" w:rsidRDefault="00853DAD" w:rsidP="00903E6A">
            <w:r w:rsidRPr="000E6889">
              <w:rPr>
                <w:rFonts w:eastAsia="Times New Roman" w:cs="Times New Roman"/>
                <w:color w:val="000000"/>
                <w:szCs w:val="24"/>
              </w:rPr>
              <w:t>19.5%</w:t>
            </w:r>
          </w:p>
        </w:tc>
        <w:tc>
          <w:tcPr>
            <w:tcW w:w="1357" w:type="dxa"/>
          </w:tcPr>
          <w:p w14:paraId="233973B0" w14:textId="6562EFD0" w:rsidR="00853DAD" w:rsidRPr="000E6889" w:rsidRDefault="00892284" w:rsidP="00903E6A">
            <w:pPr>
              <w:rPr>
                <w:rFonts w:eastAsia="Times New Roman" w:cs="Times New Roman"/>
                <w:color w:val="000000"/>
                <w:szCs w:val="24"/>
              </w:rPr>
            </w:pPr>
            <w:r>
              <w:rPr>
                <w:rFonts w:eastAsia="Times New Roman" w:cs="Times New Roman"/>
                <w:color w:val="000000"/>
                <w:szCs w:val="24"/>
              </w:rPr>
              <w:t>138,709</w:t>
            </w:r>
          </w:p>
        </w:tc>
      </w:tr>
      <w:tr w:rsidR="00853DAD" w14:paraId="1DE6E3C5" w14:textId="754EA4A1" w:rsidTr="00853DAD">
        <w:tc>
          <w:tcPr>
            <w:tcW w:w="1757" w:type="dxa"/>
          </w:tcPr>
          <w:p w14:paraId="23C0CEC5" w14:textId="0CFB0CCC" w:rsidR="00853DAD" w:rsidRPr="00E11FBF" w:rsidRDefault="00892284" w:rsidP="00903E6A">
            <w:pPr>
              <w:rPr>
                <w:b/>
                <w:bCs/>
              </w:rPr>
            </w:pPr>
            <w:r w:rsidRPr="00E11FBF">
              <w:rPr>
                <w:b/>
                <w:bCs/>
              </w:rPr>
              <w:t>DB</w:t>
            </w:r>
          </w:p>
        </w:tc>
        <w:tc>
          <w:tcPr>
            <w:tcW w:w="1558" w:type="dxa"/>
          </w:tcPr>
          <w:p w14:paraId="36C91A6F" w14:textId="5E8EE489" w:rsidR="00853DAD" w:rsidRDefault="00853DAD" w:rsidP="00903E6A">
            <w:r>
              <w:t>0.09</w:t>
            </w:r>
          </w:p>
        </w:tc>
        <w:tc>
          <w:tcPr>
            <w:tcW w:w="1486" w:type="dxa"/>
          </w:tcPr>
          <w:p w14:paraId="5C07D702" w14:textId="311108CB" w:rsidR="00853DAD" w:rsidRDefault="00853DAD" w:rsidP="00903E6A">
            <w:r>
              <w:t>0.82</w:t>
            </w:r>
          </w:p>
        </w:tc>
        <w:tc>
          <w:tcPr>
            <w:tcW w:w="1486" w:type="dxa"/>
          </w:tcPr>
          <w:p w14:paraId="33D05AE4" w14:textId="6B1A50F7" w:rsidR="00853DAD" w:rsidRDefault="00853DAD" w:rsidP="00903E6A">
            <w:r>
              <w:t>0.41</w:t>
            </w:r>
          </w:p>
        </w:tc>
        <w:tc>
          <w:tcPr>
            <w:tcW w:w="1706" w:type="dxa"/>
          </w:tcPr>
          <w:p w14:paraId="5B3BBDA2" w14:textId="6A86D725" w:rsidR="00853DAD" w:rsidRDefault="00853DAD" w:rsidP="00903E6A">
            <w:r w:rsidRPr="000E6889">
              <w:rPr>
                <w:rFonts w:eastAsia="Times New Roman" w:cs="Times New Roman"/>
                <w:color w:val="000000"/>
                <w:szCs w:val="24"/>
              </w:rPr>
              <w:t>17.3%</w:t>
            </w:r>
          </w:p>
        </w:tc>
        <w:tc>
          <w:tcPr>
            <w:tcW w:w="1357" w:type="dxa"/>
          </w:tcPr>
          <w:p w14:paraId="650EBB35" w14:textId="03B287A0" w:rsidR="00853DAD" w:rsidRPr="000E6889" w:rsidRDefault="00892284" w:rsidP="00903E6A">
            <w:pPr>
              <w:rPr>
                <w:rFonts w:eastAsia="Times New Roman" w:cs="Times New Roman"/>
                <w:color w:val="000000"/>
                <w:szCs w:val="24"/>
              </w:rPr>
            </w:pPr>
            <w:r>
              <w:rPr>
                <w:rFonts w:eastAsia="Times New Roman" w:cs="Times New Roman"/>
                <w:color w:val="000000"/>
                <w:szCs w:val="24"/>
              </w:rPr>
              <w:t>108,725</w:t>
            </w:r>
          </w:p>
        </w:tc>
      </w:tr>
      <w:tr w:rsidR="00853DAD" w14:paraId="4066C048" w14:textId="0200207C" w:rsidTr="00853DAD">
        <w:tc>
          <w:tcPr>
            <w:tcW w:w="1757" w:type="dxa"/>
          </w:tcPr>
          <w:p w14:paraId="3DBCAFF8" w14:textId="32935AB5" w:rsidR="00853DAD" w:rsidRPr="00E11FBF" w:rsidRDefault="00853DAD" w:rsidP="00903E6A">
            <w:pPr>
              <w:rPr>
                <w:b/>
                <w:bCs/>
              </w:rPr>
            </w:pPr>
            <w:r w:rsidRPr="00E11FBF">
              <w:rPr>
                <w:b/>
                <w:bCs/>
              </w:rPr>
              <w:t>UNet 3+</w:t>
            </w:r>
          </w:p>
        </w:tc>
        <w:tc>
          <w:tcPr>
            <w:tcW w:w="1558" w:type="dxa"/>
          </w:tcPr>
          <w:p w14:paraId="0AB787CD" w14:textId="59DBC414" w:rsidR="00853DAD" w:rsidRDefault="00853DAD" w:rsidP="00903E6A">
            <w:r>
              <w:t>0.09</w:t>
            </w:r>
          </w:p>
        </w:tc>
        <w:tc>
          <w:tcPr>
            <w:tcW w:w="1486" w:type="dxa"/>
          </w:tcPr>
          <w:p w14:paraId="3DE17A9F" w14:textId="2EF62696" w:rsidR="00853DAD" w:rsidRDefault="00853DAD" w:rsidP="00903E6A">
            <w:r>
              <w:t>0.79</w:t>
            </w:r>
          </w:p>
        </w:tc>
        <w:tc>
          <w:tcPr>
            <w:tcW w:w="1486" w:type="dxa"/>
          </w:tcPr>
          <w:p w14:paraId="0E29F39E" w14:textId="37307F01" w:rsidR="00853DAD" w:rsidRDefault="00853DAD" w:rsidP="00903E6A">
            <w:r>
              <w:t>0.34</w:t>
            </w:r>
          </w:p>
        </w:tc>
        <w:tc>
          <w:tcPr>
            <w:tcW w:w="1706" w:type="dxa"/>
          </w:tcPr>
          <w:p w14:paraId="7A739D4E" w14:textId="0351F2B6" w:rsidR="00853DAD" w:rsidRDefault="00853DAD" w:rsidP="00903E6A">
            <w:r w:rsidRPr="000E6889">
              <w:rPr>
                <w:rFonts w:eastAsia="Times New Roman" w:cs="Times New Roman"/>
                <w:color w:val="000000"/>
                <w:szCs w:val="24"/>
              </w:rPr>
              <w:t>19.1%</w:t>
            </w:r>
          </w:p>
        </w:tc>
        <w:tc>
          <w:tcPr>
            <w:tcW w:w="1357" w:type="dxa"/>
          </w:tcPr>
          <w:p w14:paraId="59EAE72C" w14:textId="7D9BE3AD" w:rsidR="00853DAD" w:rsidRPr="000E6889" w:rsidRDefault="00892284" w:rsidP="00903E6A">
            <w:pPr>
              <w:rPr>
                <w:rFonts w:eastAsia="Times New Roman" w:cs="Times New Roman"/>
                <w:color w:val="000000"/>
                <w:szCs w:val="24"/>
              </w:rPr>
            </w:pPr>
            <w:r>
              <w:rPr>
                <w:rFonts w:eastAsia="Times New Roman" w:cs="Times New Roman"/>
                <w:color w:val="000000"/>
                <w:szCs w:val="24"/>
              </w:rPr>
              <w:t>138,709</w:t>
            </w:r>
          </w:p>
        </w:tc>
      </w:tr>
      <w:tr w:rsidR="00853DAD" w14:paraId="56FF1787" w14:textId="53F34ADD" w:rsidTr="00853DAD">
        <w:tc>
          <w:tcPr>
            <w:tcW w:w="1757" w:type="dxa"/>
          </w:tcPr>
          <w:p w14:paraId="40EB693E" w14:textId="0F38A1A4" w:rsidR="00853DAD" w:rsidRPr="00E11FBF" w:rsidRDefault="00853DAD" w:rsidP="00903E6A">
            <w:pPr>
              <w:rPr>
                <w:b/>
                <w:bCs/>
              </w:rPr>
            </w:pPr>
            <w:r w:rsidRPr="00E11FBF">
              <w:rPr>
                <w:b/>
                <w:bCs/>
              </w:rPr>
              <w:t>Gap-Filled</w:t>
            </w:r>
          </w:p>
        </w:tc>
        <w:tc>
          <w:tcPr>
            <w:tcW w:w="1558" w:type="dxa"/>
          </w:tcPr>
          <w:p w14:paraId="22313642" w14:textId="4E5F95F5" w:rsidR="00853DAD" w:rsidRDefault="00853DAD" w:rsidP="00903E6A">
            <w:r>
              <w:t>0.08</w:t>
            </w:r>
          </w:p>
        </w:tc>
        <w:tc>
          <w:tcPr>
            <w:tcW w:w="1486" w:type="dxa"/>
          </w:tcPr>
          <w:p w14:paraId="54FB476F" w14:textId="4167A63D" w:rsidR="00853DAD" w:rsidRDefault="00853DAD" w:rsidP="00903E6A">
            <w:r>
              <w:t>0.84</w:t>
            </w:r>
          </w:p>
        </w:tc>
        <w:tc>
          <w:tcPr>
            <w:tcW w:w="1486" w:type="dxa"/>
          </w:tcPr>
          <w:p w14:paraId="46F055C6" w14:textId="0480124A" w:rsidR="00853DAD" w:rsidRDefault="00853DAD" w:rsidP="00903E6A">
            <w:r>
              <w:t>0.51</w:t>
            </w:r>
          </w:p>
        </w:tc>
        <w:tc>
          <w:tcPr>
            <w:tcW w:w="1706" w:type="dxa"/>
          </w:tcPr>
          <w:p w14:paraId="0D176EB7" w14:textId="57302D67" w:rsidR="00853DAD" w:rsidRDefault="00853DAD" w:rsidP="00E37938">
            <w:pPr>
              <w:keepNext/>
            </w:pPr>
            <w:r w:rsidRPr="000E6889">
              <w:rPr>
                <w:rFonts w:eastAsia="Times New Roman" w:cs="Times New Roman"/>
                <w:color w:val="000000"/>
                <w:szCs w:val="24"/>
              </w:rPr>
              <w:t>21.4%</w:t>
            </w:r>
          </w:p>
        </w:tc>
        <w:tc>
          <w:tcPr>
            <w:tcW w:w="1357" w:type="dxa"/>
          </w:tcPr>
          <w:p w14:paraId="378BE5E4" w14:textId="607A5596" w:rsidR="00853DAD" w:rsidRPr="000E6889" w:rsidRDefault="00892284" w:rsidP="00E37938">
            <w:pPr>
              <w:keepNext/>
              <w:rPr>
                <w:rFonts w:eastAsia="Times New Roman" w:cs="Times New Roman"/>
                <w:color w:val="000000"/>
                <w:szCs w:val="24"/>
              </w:rPr>
            </w:pPr>
            <w:r>
              <w:rPr>
                <w:rFonts w:eastAsia="Times New Roman" w:cs="Times New Roman"/>
                <w:color w:val="000000"/>
                <w:szCs w:val="24"/>
              </w:rPr>
              <w:t>138,709</w:t>
            </w:r>
          </w:p>
        </w:tc>
      </w:tr>
    </w:tbl>
    <w:p w14:paraId="16E207F9" w14:textId="4B95C094" w:rsidR="00581180" w:rsidRPr="00C0453D" w:rsidRDefault="00E37938" w:rsidP="00D52313">
      <w:pPr>
        <w:pStyle w:val="Caption"/>
      </w:pPr>
      <w:bookmarkStart w:id="87" w:name="_Ref158806050"/>
      <w:bookmarkStart w:id="88" w:name="_Ref158806044"/>
      <w:bookmarkStart w:id="89" w:name="_Toc159825961"/>
      <w:r>
        <w:t xml:space="preserve">Table </w:t>
      </w:r>
      <w:r>
        <w:fldChar w:fldCharType="begin"/>
      </w:r>
      <w:r>
        <w:instrText xml:space="preserve"> SEQ Table \* ARABIC </w:instrText>
      </w:r>
      <w:r>
        <w:fldChar w:fldCharType="separate"/>
      </w:r>
      <w:r w:rsidR="00C54A78">
        <w:rPr>
          <w:noProof/>
        </w:rPr>
        <w:t>5</w:t>
      </w:r>
      <w:r>
        <w:rPr>
          <w:noProof/>
        </w:rPr>
        <w:fldChar w:fldCharType="end"/>
      </w:r>
      <w:bookmarkEnd w:id="87"/>
      <w:r>
        <w:t xml:space="preserve">: Statistics of MERRA-2 AOD, </w:t>
      </w:r>
      <w:r>
        <w:rPr>
          <w:noProof/>
        </w:rPr>
        <w:t>DB AOD, UNet 3+ AOD, and gap-filled AOD against AERONET AOD</w:t>
      </w:r>
      <w:bookmarkEnd w:id="88"/>
      <w:bookmarkEnd w:id="89"/>
    </w:p>
    <w:p w14:paraId="7DC75F8C" w14:textId="69EA918C" w:rsidR="00310872" w:rsidRDefault="00006F7B" w:rsidP="00310872">
      <w:pPr>
        <w:spacing w:after="0"/>
        <w:rPr>
          <w:rFonts w:eastAsiaTheme="minorEastAsia"/>
        </w:rPr>
      </w:pPr>
      <w:r>
        <w:rPr>
          <w:rFonts w:eastAsiaTheme="minorEastAsia"/>
        </w:rPr>
        <w:tab/>
      </w:r>
      <w:r w:rsidR="00404649">
        <w:rPr>
          <w:rFonts w:eastAsiaTheme="minorEastAsia"/>
        </w:rPr>
        <w:t>The corresponding scatterplots are shown in Figure 1</w:t>
      </w:r>
      <w:r w:rsidR="00A53A85">
        <w:rPr>
          <w:rFonts w:eastAsiaTheme="minorEastAsia"/>
        </w:rPr>
        <w:t>4</w:t>
      </w:r>
      <w:r w:rsidR="00404649">
        <w:rPr>
          <w:rFonts w:eastAsiaTheme="minorEastAsia"/>
        </w:rPr>
        <w:t xml:space="preserve">. </w:t>
      </w:r>
      <w:r w:rsidR="002613C3">
        <w:rPr>
          <w:rFonts w:eastAsiaTheme="minorEastAsia"/>
        </w:rPr>
        <w:t xml:space="preserve">MERRA-2 </w:t>
      </w:r>
      <w:r w:rsidR="00611A39">
        <w:rPr>
          <w:rFonts w:eastAsiaTheme="minorEastAsia"/>
        </w:rPr>
        <w:t>(</w:t>
      </w:r>
      <w:r w:rsidR="009D5CF9">
        <w:rPr>
          <w:rFonts w:eastAsiaTheme="minorEastAsia"/>
        </w:rPr>
        <w:t>Figure 14</w:t>
      </w:r>
      <w:r w:rsidR="00D8638E">
        <w:rPr>
          <w:rFonts w:eastAsiaTheme="minorEastAsia"/>
        </w:rPr>
        <w:t>.</w:t>
      </w:r>
      <w:r w:rsidR="00611A39">
        <w:rPr>
          <w:rFonts w:eastAsiaTheme="minorEastAsia"/>
        </w:rPr>
        <w:t xml:space="preserve">a) </w:t>
      </w:r>
      <w:r w:rsidR="00EB1C50">
        <w:rPr>
          <w:rFonts w:eastAsiaTheme="minorEastAsia"/>
        </w:rPr>
        <w:t xml:space="preserve">appears to underestimate </w:t>
      </w:r>
      <w:r w:rsidR="00611A39">
        <w:rPr>
          <w:rFonts w:eastAsiaTheme="minorEastAsia"/>
        </w:rPr>
        <w:t xml:space="preserve">most AOD values </w:t>
      </w:r>
      <w:r w:rsidR="00CD5088">
        <w:rPr>
          <w:rFonts w:eastAsiaTheme="minorEastAsia"/>
        </w:rPr>
        <w:t>larger than 1</w:t>
      </w:r>
      <w:r w:rsidR="00BE40BE">
        <w:rPr>
          <w:rFonts w:eastAsiaTheme="minorEastAsia"/>
        </w:rPr>
        <w:t xml:space="preserve"> but is </w:t>
      </w:r>
      <w:r w:rsidR="00CD5088">
        <w:rPr>
          <w:rFonts w:eastAsiaTheme="minorEastAsia"/>
        </w:rPr>
        <w:t>reasonably</w:t>
      </w:r>
      <w:r w:rsidR="00BE40BE">
        <w:rPr>
          <w:rFonts w:eastAsiaTheme="minorEastAsia"/>
        </w:rPr>
        <w:t xml:space="preserve"> accurate for lower values of AOD</w:t>
      </w:r>
      <w:r w:rsidR="00050A94">
        <w:rPr>
          <w:rFonts w:eastAsiaTheme="minorEastAsia"/>
        </w:rPr>
        <w:t xml:space="preserve"> </w:t>
      </w:r>
      <w:r w:rsidR="00D8638E">
        <w:rPr>
          <w:rFonts w:eastAsiaTheme="minorEastAsia"/>
        </w:rPr>
        <w:t>(RMSE~0.07,</w:t>
      </w:r>
      <w:r w:rsidR="006E6A70">
        <w:rPr>
          <w:rFonts w:eastAsiaTheme="minorEastAsia"/>
        </w:rPr>
        <w:t xml:space="preserve"> r~0.78,</w:t>
      </w:r>
      <w:r w:rsidR="00D8638E">
        <w:rPr>
          <w:rFonts w:eastAsiaTheme="minorEastAsia"/>
        </w:rPr>
        <w:t xml:space="preserve"> NMB~19.5%)</w:t>
      </w:r>
      <w:r w:rsidR="00BE40BE">
        <w:rPr>
          <w:rFonts w:eastAsiaTheme="minorEastAsia"/>
        </w:rPr>
        <w:t xml:space="preserve">. </w:t>
      </w:r>
      <w:r w:rsidR="00395D1F">
        <w:rPr>
          <w:rFonts w:eastAsiaTheme="minorEastAsia"/>
        </w:rPr>
        <w:t xml:space="preserve">DB </w:t>
      </w:r>
      <w:r w:rsidR="001E6288">
        <w:rPr>
          <w:rFonts w:eastAsiaTheme="minorEastAsia"/>
        </w:rPr>
        <w:t>(</w:t>
      </w:r>
      <w:r w:rsidR="00D8638E">
        <w:rPr>
          <w:rFonts w:eastAsiaTheme="minorEastAsia"/>
        </w:rPr>
        <w:t>Figure 14.</w:t>
      </w:r>
      <w:r w:rsidR="001E6288">
        <w:rPr>
          <w:rFonts w:eastAsiaTheme="minorEastAsia"/>
        </w:rPr>
        <w:t>b)</w:t>
      </w:r>
      <w:r w:rsidR="00395D1F">
        <w:rPr>
          <w:rFonts w:eastAsiaTheme="minorEastAsia"/>
        </w:rPr>
        <w:t xml:space="preserve"> </w:t>
      </w:r>
      <w:r w:rsidR="00AC1F19">
        <w:rPr>
          <w:rFonts w:eastAsiaTheme="minorEastAsia"/>
        </w:rPr>
        <w:t xml:space="preserve">on the other hand </w:t>
      </w:r>
      <w:r w:rsidR="00395D1F">
        <w:rPr>
          <w:rFonts w:eastAsiaTheme="minorEastAsia"/>
        </w:rPr>
        <w:t xml:space="preserve">appear to </w:t>
      </w:r>
      <w:r w:rsidR="00AC1F19">
        <w:rPr>
          <w:rFonts w:eastAsiaTheme="minorEastAsia"/>
        </w:rPr>
        <w:t xml:space="preserve">overestimate </w:t>
      </w:r>
      <w:r w:rsidR="00451DAE">
        <w:rPr>
          <w:rFonts w:eastAsiaTheme="minorEastAsia"/>
        </w:rPr>
        <w:t xml:space="preserve">most </w:t>
      </w:r>
      <w:r w:rsidR="00AC1F19">
        <w:rPr>
          <w:rFonts w:eastAsiaTheme="minorEastAsia"/>
        </w:rPr>
        <w:t xml:space="preserve">AOD values </w:t>
      </w:r>
      <w:r w:rsidR="00451DAE">
        <w:rPr>
          <w:rFonts w:eastAsiaTheme="minorEastAsia"/>
        </w:rPr>
        <w:t>larger than 1</w:t>
      </w:r>
      <w:r w:rsidR="003662AC">
        <w:rPr>
          <w:rFonts w:eastAsiaTheme="minorEastAsia"/>
        </w:rPr>
        <w:t xml:space="preserve">. There also appears to be a </w:t>
      </w:r>
      <w:r w:rsidR="001E6288">
        <w:rPr>
          <w:rFonts w:eastAsiaTheme="minorEastAsia"/>
        </w:rPr>
        <w:t>cluster of points</w:t>
      </w:r>
      <w:r w:rsidR="00451DAE">
        <w:rPr>
          <w:rFonts w:eastAsiaTheme="minorEastAsia"/>
        </w:rPr>
        <w:t xml:space="preserve"> where </w:t>
      </w:r>
      <w:r w:rsidR="002009FC">
        <w:rPr>
          <w:rFonts w:eastAsiaTheme="minorEastAsia"/>
        </w:rPr>
        <w:t>DB suggested high AOD</w:t>
      </w:r>
      <w:r w:rsidR="002B6B5D">
        <w:rPr>
          <w:rFonts w:eastAsiaTheme="minorEastAsia"/>
        </w:rPr>
        <w:t xml:space="preserve"> (&gt; 0.5) despite</w:t>
      </w:r>
      <w:r w:rsidR="007D5611">
        <w:rPr>
          <w:rFonts w:eastAsiaTheme="minorEastAsia"/>
        </w:rPr>
        <w:t xml:space="preserve"> collocated AERONET retrievals at around 0.1. This is likely due to </w:t>
      </w:r>
      <w:r w:rsidR="003D5751">
        <w:rPr>
          <w:rFonts w:eastAsiaTheme="minorEastAsia"/>
        </w:rPr>
        <w:t xml:space="preserve">smoke plumes within a </w:t>
      </w:r>
      <w:r w:rsidR="00FE592E">
        <w:rPr>
          <w:rFonts w:eastAsiaTheme="minorEastAsia"/>
        </w:rPr>
        <w:t xml:space="preserve">DB </w:t>
      </w:r>
      <w:r w:rsidR="009C396E">
        <w:rPr>
          <w:rFonts w:eastAsiaTheme="minorEastAsia"/>
        </w:rPr>
        <w:t xml:space="preserve">retrieval </w:t>
      </w:r>
      <w:r w:rsidR="00095325">
        <w:rPr>
          <w:rFonts w:eastAsiaTheme="minorEastAsia"/>
        </w:rPr>
        <w:t>pixel but not directly over an AERONET station</w:t>
      </w:r>
      <w:r w:rsidR="00910F45">
        <w:rPr>
          <w:rFonts w:eastAsiaTheme="minorEastAsia"/>
        </w:rPr>
        <w:t>, but further investigation is required to confirm this</w:t>
      </w:r>
      <w:r w:rsidR="00095325">
        <w:rPr>
          <w:rFonts w:eastAsiaTheme="minorEastAsia"/>
        </w:rPr>
        <w:t>.</w:t>
      </w:r>
      <w:r w:rsidR="0046507B" w:rsidRPr="0046507B">
        <w:rPr>
          <w:rFonts w:eastAsiaTheme="minorEastAsia"/>
        </w:rPr>
        <w:t xml:space="preserve"> </w:t>
      </w:r>
      <w:r w:rsidR="0046507B">
        <w:rPr>
          <w:rFonts w:eastAsiaTheme="minorEastAsia"/>
        </w:rPr>
        <w:t xml:space="preserve">The statistical evaluation for DB shows RMSE~0.09, </w:t>
      </w:r>
      <w:r w:rsidR="006E6A70">
        <w:rPr>
          <w:rFonts w:eastAsiaTheme="minorEastAsia"/>
        </w:rPr>
        <w:t xml:space="preserve">r~0.82, </w:t>
      </w:r>
      <w:r w:rsidR="0046507B">
        <w:rPr>
          <w:rFonts w:eastAsiaTheme="minorEastAsia"/>
        </w:rPr>
        <w:t>and NMB~</w:t>
      </w:r>
      <w:r w:rsidR="006045B4">
        <w:rPr>
          <w:rFonts w:eastAsiaTheme="minorEastAsia"/>
        </w:rPr>
        <w:t>17.3</w:t>
      </w:r>
      <w:r w:rsidR="0046507B">
        <w:rPr>
          <w:rFonts w:eastAsiaTheme="minorEastAsia"/>
        </w:rPr>
        <w:t>%.</w:t>
      </w:r>
      <w:r w:rsidR="00095325">
        <w:rPr>
          <w:rFonts w:eastAsiaTheme="minorEastAsia"/>
        </w:rPr>
        <w:t xml:space="preserve"> </w:t>
      </w:r>
      <w:r w:rsidR="00B50DEB">
        <w:rPr>
          <w:rFonts w:eastAsiaTheme="minorEastAsia"/>
        </w:rPr>
        <w:t xml:space="preserve">UNet 3+ </w:t>
      </w:r>
      <w:r w:rsidR="007A6F37">
        <w:rPr>
          <w:rFonts w:eastAsiaTheme="minorEastAsia"/>
        </w:rPr>
        <w:t>(</w:t>
      </w:r>
      <w:r w:rsidR="00D8638E">
        <w:rPr>
          <w:rFonts w:eastAsiaTheme="minorEastAsia"/>
        </w:rPr>
        <w:t>Figure 14.</w:t>
      </w:r>
      <w:r w:rsidR="00162607">
        <w:rPr>
          <w:rFonts w:eastAsiaTheme="minorEastAsia"/>
        </w:rPr>
        <w:t xml:space="preserve">c) has performance metrics </w:t>
      </w:r>
      <w:r w:rsidR="00580835">
        <w:rPr>
          <w:rFonts w:eastAsiaTheme="minorEastAsia"/>
        </w:rPr>
        <w:t xml:space="preserve">(RMSE~0.09, </w:t>
      </w:r>
      <w:r w:rsidR="00DB6C63">
        <w:rPr>
          <w:rFonts w:eastAsiaTheme="minorEastAsia"/>
        </w:rPr>
        <w:t xml:space="preserve">r~0.79, </w:t>
      </w:r>
      <w:r w:rsidR="00580835">
        <w:rPr>
          <w:rFonts w:eastAsiaTheme="minorEastAsia"/>
        </w:rPr>
        <w:t>NMB~</w:t>
      </w:r>
      <w:r w:rsidR="00DB6C63">
        <w:rPr>
          <w:rFonts w:eastAsiaTheme="minorEastAsia"/>
        </w:rPr>
        <w:t>19</w:t>
      </w:r>
      <w:r w:rsidR="00580835">
        <w:rPr>
          <w:rFonts w:eastAsiaTheme="minorEastAsia"/>
        </w:rPr>
        <w:t>.</w:t>
      </w:r>
      <w:r w:rsidR="00DB6C63">
        <w:rPr>
          <w:rFonts w:eastAsiaTheme="minorEastAsia"/>
        </w:rPr>
        <w:t>1</w:t>
      </w:r>
      <w:r w:rsidR="00580835">
        <w:rPr>
          <w:rFonts w:eastAsiaTheme="minorEastAsia"/>
        </w:rPr>
        <w:t>%)</w:t>
      </w:r>
      <w:r w:rsidR="0046507B">
        <w:rPr>
          <w:rFonts w:eastAsiaTheme="minorEastAsia"/>
        </w:rPr>
        <w:t xml:space="preserve"> </w:t>
      </w:r>
      <w:r w:rsidR="00C166DC">
        <w:rPr>
          <w:rFonts w:eastAsiaTheme="minorEastAsia"/>
        </w:rPr>
        <w:t xml:space="preserve">similar </w:t>
      </w:r>
      <w:r w:rsidR="00162607">
        <w:rPr>
          <w:rFonts w:eastAsiaTheme="minorEastAsia"/>
        </w:rPr>
        <w:t>to the previous two comparisons</w:t>
      </w:r>
      <w:r w:rsidR="00BF0E1F">
        <w:rPr>
          <w:rFonts w:eastAsiaTheme="minorEastAsia"/>
        </w:rPr>
        <w:t>. However, unlike MERRA-2, it appears to overestimate at higher values of AOD (&gt;0.3)</w:t>
      </w:r>
      <w:r w:rsidR="00190B74">
        <w:rPr>
          <w:rFonts w:eastAsiaTheme="minorEastAsia"/>
        </w:rPr>
        <w:t>. Also, it lac</w:t>
      </w:r>
      <w:r w:rsidR="00275AD9">
        <w:rPr>
          <w:rFonts w:eastAsiaTheme="minorEastAsia"/>
        </w:rPr>
        <w:t xml:space="preserve">ks the cluster of overestimations </w:t>
      </w:r>
      <w:r w:rsidR="005406AA">
        <w:rPr>
          <w:rFonts w:eastAsiaTheme="minorEastAsia"/>
        </w:rPr>
        <w:t xml:space="preserve">for low AOD values </w:t>
      </w:r>
      <w:r w:rsidR="00275AD9">
        <w:rPr>
          <w:rFonts w:eastAsiaTheme="minorEastAsia"/>
        </w:rPr>
        <w:t xml:space="preserve">mentioned previously </w:t>
      </w:r>
      <w:r w:rsidR="005406AA">
        <w:rPr>
          <w:rFonts w:eastAsiaTheme="minorEastAsia"/>
        </w:rPr>
        <w:t>for DB</w:t>
      </w:r>
      <w:r w:rsidR="003C58E7">
        <w:rPr>
          <w:rFonts w:eastAsiaTheme="minorEastAsia"/>
        </w:rPr>
        <w:t xml:space="preserve">, </w:t>
      </w:r>
      <w:r w:rsidR="002A1775">
        <w:rPr>
          <w:rFonts w:eastAsiaTheme="minorEastAsia"/>
        </w:rPr>
        <w:t xml:space="preserve">suggesting that </w:t>
      </w:r>
      <w:r w:rsidR="0071265E">
        <w:rPr>
          <w:rFonts w:eastAsiaTheme="minorEastAsia"/>
        </w:rPr>
        <w:t xml:space="preserve">there is </w:t>
      </w:r>
      <w:r w:rsidR="00776256">
        <w:rPr>
          <w:rFonts w:eastAsiaTheme="minorEastAsia"/>
        </w:rPr>
        <w:t xml:space="preserve">a systematic mischaracterization of certain low AOD events </w:t>
      </w:r>
      <w:r w:rsidR="00130CF6">
        <w:rPr>
          <w:rFonts w:eastAsiaTheme="minorEastAsia"/>
        </w:rPr>
        <w:t xml:space="preserve">by DB that UNet 3+ </w:t>
      </w:r>
      <w:r w:rsidR="00C166DC">
        <w:rPr>
          <w:rFonts w:eastAsiaTheme="minorEastAsia"/>
        </w:rPr>
        <w:t>can</w:t>
      </w:r>
      <w:r w:rsidR="00130CF6">
        <w:rPr>
          <w:rFonts w:eastAsiaTheme="minorEastAsia"/>
        </w:rPr>
        <w:t xml:space="preserve"> avoid</w:t>
      </w:r>
      <w:r w:rsidR="00717B1C">
        <w:rPr>
          <w:rFonts w:eastAsiaTheme="minorEastAsia"/>
        </w:rPr>
        <w:t>. The gap-filled AOD (</w:t>
      </w:r>
      <w:r w:rsidR="00D8638E">
        <w:rPr>
          <w:rFonts w:eastAsiaTheme="minorEastAsia"/>
        </w:rPr>
        <w:t>Figure 14.</w:t>
      </w:r>
      <w:r w:rsidR="00717B1C">
        <w:rPr>
          <w:rFonts w:eastAsiaTheme="minorEastAsia"/>
        </w:rPr>
        <w:t xml:space="preserve">d) shows </w:t>
      </w:r>
      <w:r w:rsidR="00CB01E2">
        <w:rPr>
          <w:rFonts w:eastAsiaTheme="minorEastAsia"/>
        </w:rPr>
        <w:t xml:space="preserve">some of </w:t>
      </w:r>
      <w:r w:rsidR="00717B1C">
        <w:rPr>
          <w:rFonts w:eastAsiaTheme="minorEastAsia"/>
        </w:rPr>
        <w:t>the best performance metrics</w:t>
      </w:r>
      <w:r w:rsidR="00C166DC">
        <w:rPr>
          <w:rFonts w:eastAsiaTheme="minorEastAsia"/>
        </w:rPr>
        <w:t xml:space="preserve"> </w:t>
      </w:r>
      <w:r w:rsidR="00CB01E2">
        <w:rPr>
          <w:rFonts w:eastAsiaTheme="minorEastAsia"/>
        </w:rPr>
        <w:t xml:space="preserve">yet (RMSE~0.08, </w:t>
      </w:r>
      <w:r w:rsidR="00CB01E2">
        <w:rPr>
          <w:rFonts w:eastAsiaTheme="minorEastAsia"/>
        </w:rPr>
        <w:lastRenderedPageBreak/>
        <w:t>r~0.84, NMB~21.4%)</w:t>
      </w:r>
      <w:r w:rsidR="00624778">
        <w:rPr>
          <w:rFonts w:eastAsiaTheme="minorEastAsia"/>
        </w:rPr>
        <w:t xml:space="preserve">, combining the high correlation </w:t>
      </w:r>
      <w:r w:rsidR="00F0229A">
        <w:rPr>
          <w:rFonts w:eastAsiaTheme="minorEastAsia"/>
        </w:rPr>
        <w:t xml:space="preserve">from DB with </w:t>
      </w:r>
      <w:r w:rsidR="00B91C29">
        <w:rPr>
          <w:rFonts w:eastAsiaTheme="minorEastAsia"/>
        </w:rPr>
        <w:t xml:space="preserve">the low RMSE from MERRA-2 and </w:t>
      </w:r>
      <w:r w:rsidR="00334D93">
        <w:rPr>
          <w:rFonts w:eastAsiaTheme="minorEastAsia"/>
        </w:rPr>
        <w:t>proper characterization by UNet 3+.</w:t>
      </w:r>
    </w:p>
    <w:p w14:paraId="617F7438" w14:textId="77777777" w:rsidR="0033189E" w:rsidRDefault="0033189E" w:rsidP="0033189E">
      <w:pPr>
        <w:keepNext/>
        <w:spacing w:after="0"/>
      </w:pPr>
      <w:r w:rsidRPr="0033189E">
        <w:rPr>
          <w:noProof/>
          <w:sz w:val="16"/>
          <w:szCs w:val="16"/>
        </w:rPr>
        <w:drawing>
          <wp:inline distT="0" distB="0" distL="0" distR="0" wp14:anchorId="7689EA25" wp14:editId="05E451E4">
            <wp:extent cx="5943600" cy="4750435"/>
            <wp:effectExtent l="0" t="0" r="0" b="0"/>
            <wp:docPr id="5" name="Picture 4" descr="A collage of graphs showing different types of data&#10;&#10;Description automatically generated">
              <a:extLst xmlns:a="http://schemas.openxmlformats.org/drawingml/2006/main">
                <a:ext uri="{FF2B5EF4-FFF2-40B4-BE49-F238E27FC236}">
                  <a16:creationId xmlns:a16="http://schemas.microsoft.com/office/drawing/2014/main" id="{B642D98C-E266-0B3C-26C5-2040B303BFD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A collage of graphs showing different types of data&#10;&#10;Description automatically generated">
                      <a:extLst>
                        <a:ext uri="{FF2B5EF4-FFF2-40B4-BE49-F238E27FC236}">
                          <a16:creationId xmlns:a16="http://schemas.microsoft.com/office/drawing/2014/main" id="{B642D98C-E266-0B3C-26C5-2040B303BFD1}"/>
                        </a:ext>
                      </a:extLst>
                    </pic:cNvPr>
                    <pic:cNvPicPr>
                      <a:picLocks noChangeAspect="1"/>
                    </pic:cNvPicPr>
                  </pic:nvPicPr>
                  <pic:blipFill>
                    <a:blip r:embed="rId22"/>
                    <a:stretch>
                      <a:fillRect/>
                    </a:stretch>
                  </pic:blipFill>
                  <pic:spPr>
                    <a:xfrm>
                      <a:off x="0" y="0"/>
                      <a:ext cx="5943600" cy="4750435"/>
                    </a:xfrm>
                    <a:prstGeom prst="rect">
                      <a:avLst/>
                    </a:prstGeom>
                  </pic:spPr>
                </pic:pic>
              </a:graphicData>
            </a:graphic>
          </wp:inline>
        </w:drawing>
      </w:r>
    </w:p>
    <w:p w14:paraId="796BE34A" w14:textId="2C8DC26B" w:rsidR="0033189E" w:rsidRPr="00665150" w:rsidRDefault="0033189E" w:rsidP="00D52313">
      <w:pPr>
        <w:pStyle w:val="Caption"/>
      </w:pPr>
      <w:bookmarkStart w:id="90" w:name="_Toc159825976"/>
      <w:r>
        <w:t xml:space="preserve">Figure </w:t>
      </w:r>
      <w:r>
        <w:fldChar w:fldCharType="begin"/>
      </w:r>
      <w:r>
        <w:instrText xml:space="preserve"> SEQ Figure \* ARABIC </w:instrText>
      </w:r>
      <w:r>
        <w:fldChar w:fldCharType="separate"/>
      </w:r>
      <w:r w:rsidR="00C54A78">
        <w:rPr>
          <w:noProof/>
        </w:rPr>
        <w:t>14</w:t>
      </w:r>
      <w:r>
        <w:fldChar w:fldCharType="end"/>
      </w:r>
      <w:r>
        <w:t>: Scatter plots of (a) MERRA-2 AOD, (b) DB AOD,</w:t>
      </w:r>
      <w:r>
        <w:rPr>
          <w:noProof/>
        </w:rPr>
        <w:t xml:space="preserve"> (c) UNet 3+ AOD, and (d) gap-filled AOD against AERONET AOD at 550 nm.</w:t>
      </w:r>
      <w:r w:rsidR="009E5CAC" w:rsidRPr="009E5CAC">
        <w:rPr>
          <w:noProof/>
        </w:rPr>
        <w:t xml:space="preserve"> </w:t>
      </w:r>
      <w:r w:rsidR="009E5CAC">
        <w:rPr>
          <w:noProof/>
        </w:rPr>
        <w:t xml:space="preserve">The color scale represents the </w:t>
      </w:r>
      <w:r w:rsidR="00741E73">
        <w:rPr>
          <w:noProof/>
        </w:rPr>
        <w:t>density of samples</w:t>
      </w:r>
      <w:r w:rsidR="009E5CAC">
        <w:rPr>
          <w:noProof/>
        </w:rPr>
        <w:t>, and the black line represents the 1:1 line.</w:t>
      </w:r>
      <w:bookmarkEnd w:id="90"/>
    </w:p>
    <w:p w14:paraId="01487E1B" w14:textId="0BEC4B74" w:rsidR="002B339A" w:rsidRDefault="002B339A" w:rsidP="002B339A">
      <w:pPr>
        <w:pStyle w:val="Heading3"/>
      </w:pPr>
      <w:bookmarkStart w:id="91" w:name="_Toc161431113"/>
      <w:r>
        <w:t xml:space="preserve">4.1.2 </w:t>
      </w:r>
      <w:r w:rsidR="0025250E">
        <w:t xml:space="preserve">Spatial </w:t>
      </w:r>
      <w:r>
        <w:t>E</w:t>
      </w:r>
      <w:r w:rsidR="0025250E">
        <w:t>valuation</w:t>
      </w:r>
      <w:bookmarkEnd w:id="91"/>
      <w:r w:rsidR="0025250E">
        <w:t xml:space="preserve"> </w:t>
      </w:r>
    </w:p>
    <w:p w14:paraId="3101AE6E" w14:textId="5296968B" w:rsidR="00774412" w:rsidRDefault="00774412" w:rsidP="00774412">
      <w:pPr>
        <w:spacing w:after="0"/>
        <w:ind w:firstLine="720"/>
        <w:rPr>
          <w:rFonts w:eastAsia="Times New Roman" w:cs="Times New Roman"/>
          <w:color w:val="000000"/>
          <w:szCs w:val="24"/>
        </w:rPr>
      </w:pPr>
      <w:r>
        <w:rPr>
          <w:rFonts w:eastAsia="Times New Roman" w:cs="Times New Roman"/>
          <w:color w:val="000000"/>
          <w:szCs w:val="24"/>
        </w:rPr>
        <w:t>A</w:t>
      </w:r>
      <w:r w:rsidRPr="000E6889">
        <w:rPr>
          <w:rFonts w:eastAsia="Times New Roman" w:cs="Times New Roman"/>
          <w:color w:val="000000"/>
          <w:szCs w:val="24"/>
        </w:rPr>
        <w:t xml:space="preserve"> </w:t>
      </w:r>
      <w:r>
        <w:rPr>
          <w:rFonts w:eastAsia="Times New Roman" w:cs="Times New Roman"/>
          <w:color w:val="000000"/>
          <w:szCs w:val="24"/>
        </w:rPr>
        <w:t>spatial evaluation between UNet 3+ and DB AODagainst AERONET AOD is shown in Figures 15-19</w:t>
      </w:r>
      <w:r w:rsidRPr="000E6889">
        <w:rPr>
          <w:rFonts w:eastAsia="Times New Roman" w:cs="Times New Roman"/>
          <w:color w:val="000000"/>
          <w:szCs w:val="24"/>
        </w:rPr>
        <w:t xml:space="preserve">, </w:t>
      </w:r>
      <w:r>
        <w:rPr>
          <w:rFonts w:eastAsia="Times New Roman" w:cs="Times New Roman"/>
          <w:color w:val="000000"/>
          <w:szCs w:val="24"/>
        </w:rPr>
        <w:t xml:space="preserve">the figures show results from spatial </w:t>
      </w:r>
      <w:r w:rsidRPr="000E6889">
        <w:rPr>
          <w:rFonts w:eastAsia="Times New Roman" w:cs="Times New Roman"/>
          <w:color w:val="000000"/>
          <w:szCs w:val="24"/>
        </w:rPr>
        <w:t>RMSE, r, and R</w:t>
      </w:r>
      <w:r>
        <w:rPr>
          <w:rFonts w:eastAsia="Times New Roman" w:cs="Times New Roman"/>
          <w:color w:val="000000"/>
          <w:szCs w:val="24"/>
          <w:vertAlign w:val="superscript"/>
        </w:rPr>
        <w:t>2</w:t>
      </w:r>
      <w:r w:rsidRPr="000E6889">
        <w:rPr>
          <w:rFonts w:eastAsia="Times New Roman" w:cs="Times New Roman"/>
          <w:color w:val="000000"/>
          <w:szCs w:val="24"/>
        </w:rPr>
        <w:t xml:space="preserve"> between AERONET and UNet 3+/</w:t>
      </w:r>
      <w:r>
        <w:rPr>
          <w:rFonts w:eastAsia="Times New Roman" w:cs="Times New Roman"/>
          <w:color w:val="000000"/>
          <w:szCs w:val="24"/>
        </w:rPr>
        <w:t>DB</w:t>
      </w:r>
      <w:r w:rsidRPr="000E6889">
        <w:rPr>
          <w:rFonts w:eastAsia="Times New Roman" w:cs="Times New Roman"/>
          <w:color w:val="000000"/>
          <w:szCs w:val="24"/>
        </w:rPr>
        <w:t xml:space="preserve"> for all stations that had at least 1</w:t>
      </w:r>
      <w:r>
        <w:rPr>
          <w:rFonts w:eastAsia="Times New Roman" w:cs="Times New Roman"/>
          <w:color w:val="000000"/>
          <w:szCs w:val="24"/>
        </w:rPr>
        <w:t>,</w:t>
      </w:r>
      <w:r w:rsidRPr="000E6889">
        <w:rPr>
          <w:rFonts w:eastAsia="Times New Roman" w:cs="Times New Roman"/>
          <w:color w:val="000000"/>
          <w:szCs w:val="24"/>
        </w:rPr>
        <w:t xml:space="preserve">000 collocated points throughout the study period. </w:t>
      </w:r>
      <w:r>
        <w:rPr>
          <w:rFonts w:eastAsia="Times New Roman" w:cs="Times New Roman"/>
          <w:color w:val="000000"/>
          <w:szCs w:val="24"/>
        </w:rPr>
        <w:t xml:space="preserve">From overall evaluations (Figure 15), </w:t>
      </w:r>
      <w:r w:rsidRPr="000E6889">
        <w:rPr>
          <w:rFonts w:eastAsia="Times New Roman" w:cs="Times New Roman"/>
          <w:color w:val="000000"/>
          <w:szCs w:val="24"/>
        </w:rPr>
        <w:t xml:space="preserve">UNet 3+ </w:t>
      </w:r>
      <w:r>
        <w:rPr>
          <w:rFonts w:eastAsia="Times New Roman" w:cs="Times New Roman"/>
          <w:color w:val="000000"/>
          <w:szCs w:val="24"/>
        </w:rPr>
        <w:t xml:space="preserve">performs slightly better in RMSE </w:t>
      </w:r>
      <w:r w:rsidRPr="000E6889">
        <w:rPr>
          <w:rFonts w:eastAsia="Times New Roman" w:cs="Times New Roman"/>
          <w:color w:val="000000"/>
          <w:szCs w:val="24"/>
        </w:rPr>
        <w:t xml:space="preserve">throughout </w:t>
      </w:r>
      <w:r w:rsidRPr="000E6889">
        <w:rPr>
          <w:rFonts w:eastAsia="Times New Roman" w:cs="Times New Roman"/>
          <w:color w:val="000000"/>
          <w:szCs w:val="24"/>
        </w:rPr>
        <w:lastRenderedPageBreak/>
        <w:t xml:space="preserve">eastern CONUS and the Midwest </w:t>
      </w:r>
      <w:r>
        <w:rPr>
          <w:rFonts w:eastAsia="Times New Roman" w:cs="Times New Roman"/>
          <w:color w:val="000000"/>
          <w:szCs w:val="24"/>
        </w:rPr>
        <w:t>than</w:t>
      </w:r>
      <w:r w:rsidRPr="000E6889">
        <w:rPr>
          <w:rFonts w:eastAsia="Times New Roman" w:cs="Times New Roman"/>
          <w:color w:val="000000"/>
          <w:szCs w:val="24"/>
        </w:rPr>
        <w:t xml:space="preserve"> </w:t>
      </w:r>
      <w:r>
        <w:rPr>
          <w:rFonts w:eastAsia="Times New Roman" w:cs="Times New Roman"/>
          <w:color w:val="000000"/>
          <w:szCs w:val="24"/>
        </w:rPr>
        <w:t>DB, e.g., RMSE~0.12 in Illinois and Texas for DB compared to RMSE~0.07 for UNet 3+</w:t>
      </w:r>
      <w:r w:rsidRPr="000E6889">
        <w:rPr>
          <w:rFonts w:eastAsia="Times New Roman" w:cs="Times New Roman"/>
          <w:color w:val="000000"/>
          <w:szCs w:val="24"/>
        </w:rPr>
        <w:t xml:space="preserve">. The main improvement here is arguably the increased coverage since RMSE is already </w:t>
      </w:r>
      <w:r>
        <w:rPr>
          <w:rFonts w:eastAsia="Times New Roman" w:cs="Times New Roman"/>
          <w:color w:val="000000"/>
          <w:szCs w:val="24"/>
        </w:rPr>
        <w:t>relatively</w:t>
      </w:r>
      <w:r w:rsidRPr="000E6889">
        <w:rPr>
          <w:rFonts w:eastAsia="Times New Roman" w:cs="Times New Roman"/>
          <w:color w:val="000000"/>
          <w:szCs w:val="24"/>
        </w:rPr>
        <w:t xml:space="preserve"> low in this region.</w:t>
      </w:r>
      <w:r>
        <w:rPr>
          <w:rFonts w:eastAsia="Times New Roman" w:cs="Times New Roman"/>
          <w:color w:val="000000"/>
          <w:szCs w:val="24"/>
        </w:rPr>
        <w:t xml:space="preserve"> Note the increased number of station points in the northern half of the map due to the gap-filling.</w:t>
      </w:r>
    </w:p>
    <w:p w14:paraId="288D6F67" w14:textId="27EBAF36" w:rsidR="00774412" w:rsidRPr="000E6889" w:rsidRDefault="00774412" w:rsidP="00774412">
      <w:pPr>
        <w:spacing w:after="0"/>
        <w:ind w:firstLine="720"/>
        <w:rPr>
          <w:rFonts w:eastAsia="Times New Roman" w:cs="Times New Roman"/>
          <w:szCs w:val="24"/>
        </w:rPr>
      </w:pPr>
      <w:r w:rsidRPr="000E6889">
        <w:rPr>
          <w:rFonts w:eastAsia="Times New Roman" w:cs="Times New Roman"/>
          <w:color w:val="000000"/>
          <w:szCs w:val="24"/>
        </w:rPr>
        <w:t xml:space="preserve">UNet 3+ appears to struggle the most in the Pacific Northwest. </w:t>
      </w:r>
      <w:r>
        <w:rPr>
          <w:rFonts w:eastAsia="Times New Roman" w:cs="Times New Roman"/>
          <w:color w:val="000000"/>
          <w:szCs w:val="24"/>
        </w:rPr>
        <w:t xml:space="preserve">RMSE’s in this region are increased to around 0.15-0.25, compared to the &lt;0.07 values present throughout the rest of CONUS. </w:t>
      </w:r>
      <w:r w:rsidRPr="000E6889">
        <w:rPr>
          <w:rFonts w:eastAsia="Times New Roman" w:cs="Times New Roman"/>
          <w:color w:val="000000"/>
          <w:szCs w:val="24"/>
        </w:rPr>
        <w:t xml:space="preserve">However, DB AOD retrievals </w:t>
      </w:r>
      <w:r>
        <w:rPr>
          <w:rFonts w:eastAsia="Times New Roman" w:cs="Times New Roman"/>
          <w:color w:val="000000"/>
          <w:szCs w:val="24"/>
        </w:rPr>
        <w:t>also show similar difficulty in properly characterizing AOD loadings in this region</w:t>
      </w:r>
      <w:r w:rsidRPr="000E6889">
        <w:rPr>
          <w:rFonts w:eastAsia="Times New Roman" w:cs="Times New Roman"/>
          <w:color w:val="000000"/>
          <w:szCs w:val="24"/>
        </w:rPr>
        <w:t xml:space="preserve">. This is likely due to the complex smoke loading and heterogeneous vertical transport, involving </w:t>
      </w:r>
      <w:r>
        <w:rPr>
          <w:rFonts w:eastAsia="Times New Roman" w:cs="Times New Roman"/>
          <w:color w:val="000000"/>
          <w:szCs w:val="24"/>
        </w:rPr>
        <w:t>fresh smoke from local sources and</w:t>
      </w:r>
      <w:r w:rsidR="00D52313">
        <w:rPr>
          <w:rFonts w:eastAsia="Times New Roman" w:cs="Times New Roman"/>
          <w:color w:val="000000"/>
          <w:szCs w:val="24"/>
        </w:rPr>
        <w:t xml:space="preserve"> </w:t>
      </w:r>
      <w:r w:rsidRPr="000E6889">
        <w:rPr>
          <w:rFonts w:eastAsia="Times New Roman" w:cs="Times New Roman"/>
          <w:color w:val="000000"/>
          <w:szCs w:val="24"/>
        </w:rPr>
        <w:t xml:space="preserve"> aged smoke transported from long range. VIIRS and MODIS spectral channels might be challenged in characterizing the loading of aged smoke, as these are better detected in the UV band. This challenge could be resolved with the upcoming </w:t>
      </w:r>
      <w:r>
        <w:rPr>
          <w:rFonts w:eastAsia="Times New Roman" w:cs="Times New Roman"/>
          <w:color w:val="000000"/>
          <w:szCs w:val="24"/>
        </w:rPr>
        <w:t>NASA PACE mission</w:t>
      </w:r>
      <w:r w:rsidRPr="000E6889">
        <w:rPr>
          <w:rFonts w:eastAsia="Times New Roman" w:cs="Times New Roman"/>
          <w:color w:val="000000"/>
          <w:szCs w:val="24"/>
        </w:rPr>
        <w:t xml:space="preserve"> equipped with the Ocean Color Instrument (OCI) with a hyperspectral band (ultraviolet - shortwave infrared). Because of the MODIS and VIIRS spectral bands, aerosol retrievals need to assume the aerosol absorption nature and the aerosol height. Due to the spectral band capabilities of OCI, it will be possible to retrieve aerosol loading without assuming either aerosol absorption or height components</w:t>
      </w:r>
      <w:r>
        <w:rPr>
          <w:rFonts w:eastAsia="Times New Roman" w:cs="Times New Roman"/>
          <w:color w:val="000000"/>
          <w:szCs w:val="24"/>
        </w:rPr>
        <w:t xml:space="preserve"> (Personal communication with Dr. Andrew Sayer, NASA PACE </w:t>
      </w:r>
      <w:r w:rsidR="00D52313">
        <w:rPr>
          <w:rFonts w:eastAsia="Times New Roman" w:cs="Times New Roman"/>
          <w:color w:val="000000"/>
          <w:szCs w:val="24"/>
        </w:rPr>
        <w:t>Mission</w:t>
      </w:r>
      <w:r>
        <w:rPr>
          <w:rFonts w:eastAsia="Times New Roman" w:cs="Times New Roman"/>
          <w:color w:val="000000"/>
          <w:szCs w:val="24"/>
        </w:rPr>
        <w:t xml:space="preserve"> Lear Scientist)</w:t>
      </w:r>
      <w:r w:rsidRPr="000E6889">
        <w:rPr>
          <w:rFonts w:eastAsia="Times New Roman" w:cs="Times New Roman"/>
          <w:color w:val="000000"/>
          <w:szCs w:val="24"/>
        </w:rPr>
        <w:t>.</w:t>
      </w:r>
    </w:p>
    <w:p w14:paraId="308FC525" w14:textId="77777777" w:rsidR="003B188D" w:rsidRDefault="000E6889" w:rsidP="003B188D">
      <w:pPr>
        <w:keepNext/>
        <w:spacing w:after="0"/>
      </w:pPr>
      <w:r w:rsidRPr="000E6889">
        <w:rPr>
          <w:rFonts w:eastAsia="Times New Roman" w:cs="Times New Roman"/>
          <w:noProof/>
          <w:color w:val="000000"/>
          <w:szCs w:val="24"/>
          <w:bdr w:val="none" w:sz="0" w:space="0" w:color="auto" w:frame="1"/>
        </w:rPr>
        <w:lastRenderedPageBreak/>
        <w:drawing>
          <wp:inline distT="0" distB="0" distL="0" distR="0" wp14:anchorId="1872F20B" wp14:editId="6035BDA4">
            <wp:extent cx="5943600" cy="5332095"/>
            <wp:effectExtent l="0" t="0" r="0" b="1905"/>
            <wp:docPr id="705435379" name="Picture 15" descr="A map of the united stat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5435379" name="Picture 15" descr="A map of the united states&#10;&#10;Description automatically generated"/>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943600" cy="5332095"/>
                    </a:xfrm>
                    <a:prstGeom prst="rect">
                      <a:avLst/>
                    </a:prstGeom>
                    <a:noFill/>
                    <a:ln>
                      <a:noFill/>
                    </a:ln>
                  </pic:spPr>
                </pic:pic>
              </a:graphicData>
            </a:graphic>
          </wp:inline>
        </w:drawing>
      </w:r>
    </w:p>
    <w:p w14:paraId="56ACA515" w14:textId="1F438CC6" w:rsidR="000E6889" w:rsidRPr="000E6889" w:rsidRDefault="003B188D" w:rsidP="00D52313">
      <w:pPr>
        <w:pStyle w:val="Caption"/>
        <w:rPr>
          <w:rFonts w:eastAsia="Times New Roman" w:cs="Times New Roman"/>
        </w:rPr>
      </w:pPr>
      <w:bookmarkStart w:id="92" w:name="_Ref158809814"/>
      <w:bookmarkStart w:id="93" w:name="_Toc159825977"/>
      <w:r>
        <w:t xml:space="preserve">Figure </w:t>
      </w:r>
      <w:r>
        <w:fldChar w:fldCharType="begin"/>
      </w:r>
      <w:r>
        <w:instrText xml:space="preserve"> SEQ Figure \* ARABIC </w:instrText>
      </w:r>
      <w:r>
        <w:fldChar w:fldCharType="separate"/>
      </w:r>
      <w:r w:rsidR="00C54A78">
        <w:rPr>
          <w:noProof/>
        </w:rPr>
        <w:t>15</w:t>
      </w:r>
      <w:r>
        <w:rPr>
          <w:noProof/>
        </w:rPr>
        <w:fldChar w:fldCharType="end"/>
      </w:r>
      <w:bookmarkEnd w:id="92"/>
      <w:r>
        <w:t xml:space="preserve">: </w:t>
      </w:r>
      <w:r w:rsidR="00D52313">
        <w:t>Spatial statistical e</w:t>
      </w:r>
      <w:r>
        <w:t>valuatio</w:t>
      </w:r>
      <w:r w:rsidR="00D52313">
        <w:t>n</w:t>
      </w:r>
      <w:r>
        <w:t xml:space="preserve"> </w:t>
      </w:r>
      <w:r w:rsidR="004C1C05">
        <w:t xml:space="preserve">of UNet 3+ and DB AOD against </w:t>
      </w:r>
      <w:r>
        <w:t>AERONET stations throughout CONUS with at least 1,000</w:t>
      </w:r>
      <w:r w:rsidR="00062375">
        <w:t xml:space="preserve"> collocated</w:t>
      </w:r>
      <w:r>
        <w:rPr>
          <w:noProof/>
        </w:rPr>
        <w:t xml:space="preserve"> observations.</w:t>
      </w:r>
      <w:bookmarkEnd w:id="93"/>
    </w:p>
    <w:p w14:paraId="43D11660" w14:textId="4BE477E1" w:rsidR="00B15D62" w:rsidRDefault="00D74A6D" w:rsidP="001C2F67">
      <w:pPr>
        <w:spacing w:after="0"/>
        <w:ind w:firstLine="720"/>
        <w:rPr>
          <w:rFonts w:eastAsia="Times New Roman" w:cs="Times New Roman"/>
          <w:color w:val="000000"/>
          <w:szCs w:val="24"/>
        </w:rPr>
      </w:pPr>
      <w:r>
        <w:rPr>
          <w:rFonts w:eastAsia="Times New Roman" w:cs="Times New Roman"/>
          <w:color w:val="000000"/>
          <w:szCs w:val="24"/>
        </w:rPr>
        <w:fldChar w:fldCharType="begin"/>
      </w:r>
      <w:r>
        <w:rPr>
          <w:rFonts w:eastAsia="Times New Roman" w:cs="Times New Roman"/>
          <w:color w:val="000000"/>
          <w:szCs w:val="24"/>
        </w:rPr>
        <w:instrText xml:space="preserve"> REF _Ref158811021 \h </w:instrText>
      </w:r>
      <w:r>
        <w:rPr>
          <w:rFonts w:eastAsia="Times New Roman" w:cs="Times New Roman"/>
          <w:color w:val="000000"/>
          <w:szCs w:val="24"/>
        </w:rPr>
      </w:r>
      <w:r>
        <w:rPr>
          <w:rFonts w:eastAsia="Times New Roman" w:cs="Times New Roman"/>
          <w:color w:val="000000"/>
          <w:szCs w:val="24"/>
        </w:rPr>
        <w:fldChar w:fldCharType="separate"/>
      </w:r>
      <w:r w:rsidR="00C54A78">
        <w:t xml:space="preserve">Figure </w:t>
      </w:r>
      <w:r w:rsidR="00C54A78">
        <w:rPr>
          <w:noProof/>
        </w:rPr>
        <w:t>17</w:t>
      </w:r>
      <w:r>
        <w:rPr>
          <w:rFonts w:eastAsia="Times New Roman" w:cs="Times New Roman"/>
          <w:color w:val="000000"/>
          <w:szCs w:val="24"/>
        </w:rPr>
        <w:fldChar w:fldCharType="end"/>
      </w:r>
      <w:r>
        <w:rPr>
          <w:rFonts w:eastAsia="Times New Roman" w:cs="Times New Roman"/>
          <w:color w:val="000000"/>
          <w:szCs w:val="24"/>
        </w:rPr>
        <w:t xml:space="preserve">, </w:t>
      </w:r>
      <w:r>
        <w:rPr>
          <w:rFonts w:eastAsia="Times New Roman" w:cs="Times New Roman"/>
          <w:color w:val="000000"/>
          <w:szCs w:val="24"/>
        </w:rPr>
        <w:fldChar w:fldCharType="begin"/>
      </w:r>
      <w:r>
        <w:rPr>
          <w:rFonts w:eastAsia="Times New Roman" w:cs="Times New Roman"/>
          <w:color w:val="000000"/>
          <w:szCs w:val="24"/>
        </w:rPr>
        <w:instrText xml:space="preserve"> REF _Ref158811024 \h </w:instrText>
      </w:r>
      <w:r>
        <w:rPr>
          <w:rFonts w:eastAsia="Times New Roman" w:cs="Times New Roman"/>
          <w:color w:val="000000"/>
          <w:szCs w:val="24"/>
        </w:rPr>
      </w:r>
      <w:r>
        <w:rPr>
          <w:rFonts w:eastAsia="Times New Roman" w:cs="Times New Roman"/>
          <w:color w:val="000000"/>
          <w:szCs w:val="24"/>
        </w:rPr>
        <w:fldChar w:fldCharType="separate"/>
      </w:r>
      <w:r w:rsidR="00C54A78">
        <w:t xml:space="preserve">Figure </w:t>
      </w:r>
      <w:r w:rsidR="00C54A78">
        <w:rPr>
          <w:noProof/>
        </w:rPr>
        <w:t>18</w:t>
      </w:r>
      <w:r>
        <w:rPr>
          <w:rFonts w:eastAsia="Times New Roman" w:cs="Times New Roman"/>
          <w:color w:val="000000"/>
          <w:szCs w:val="24"/>
        </w:rPr>
        <w:fldChar w:fldCharType="end"/>
      </w:r>
      <w:r>
        <w:rPr>
          <w:rFonts w:eastAsia="Times New Roman" w:cs="Times New Roman"/>
          <w:color w:val="000000"/>
          <w:szCs w:val="24"/>
        </w:rPr>
        <w:t xml:space="preserve">, </w:t>
      </w:r>
      <w:r>
        <w:rPr>
          <w:rFonts w:eastAsia="Times New Roman" w:cs="Times New Roman"/>
          <w:color w:val="000000"/>
          <w:szCs w:val="24"/>
        </w:rPr>
        <w:fldChar w:fldCharType="begin"/>
      </w:r>
      <w:r>
        <w:rPr>
          <w:rFonts w:eastAsia="Times New Roman" w:cs="Times New Roman"/>
          <w:color w:val="000000"/>
          <w:szCs w:val="24"/>
        </w:rPr>
        <w:instrText xml:space="preserve"> REF _Ref158811025 \h </w:instrText>
      </w:r>
      <w:r>
        <w:rPr>
          <w:rFonts w:eastAsia="Times New Roman" w:cs="Times New Roman"/>
          <w:color w:val="000000"/>
          <w:szCs w:val="24"/>
        </w:rPr>
      </w:r>
      <w:r>
        <w:rPr>
          <w:rFonts w:eastAsia="Times New Roman" w:cs="Times New Roman"/>
          <w:color w:val="000000"/>
          <w:szCs w:val="24"/>
        </w:rPr>
        <w:fldChar w:fldCharType="separate"/>
      </w:r>
      <w:r w:rsidR="00C54A78">
        <w:t xml:space="preserve">Figure </w:t>
      </w:r>
      <w:r w:rsidR="00C54A78">
        <w:rPr>
          <w:noProof/>
        </w:rPr>
        <w:t>19</w:t>
      </w:r>
      <w:r>
        <w:rPr>
          <w:rFonts w:eastAsia="Times New Roman" w:cs="Times New Roman"/>
          <w:color w:val="000000"/>
          <w:szCs w:val="24"/>
        </w:rPr>
        <w:fldChar w:fldCharType="end"/>
      </w:r>
      <w:r w:rsidR="009B4F87">
        <w:rPr>
          <w:rFonts w:eastAsia="Times New Roman" w:cs="Times New Roman"/>
          <w:color w:val="000000"/>
          <w:szCs w:val="24"/>
        </w:rPr>
        <w:t>, and Figure 19</w:t>
      </w:r>
      <w:r>
        <w:rPr>
          <w:rFonts w:eastAsia="Times New Roman" w:cs="Times New Roman"/>
          <w:color w:val="000000"/>
          <w:szCs w:val="24"/>
        </w:rPr>
        <w:t xml:space="preserve"> show </w:t>
      </w:r>
      <w:r w:rsidR="000E6889" w:rsidRPr="000E6889">
        <w:rPr>
          <w:rFonts w:eastAsia="Times New Roman" w:cs="Times New Roman"/>
          <w:color w:val="000000"/>
          <w:szCs w:val="24"/>
        </w:rPr>
        <w:t xml:space="preserve">the same analysis as the previous one but separated by season. These seasonal maps instead select stations that have at least 200 collocated points. </w:t>
      </w:r>
      <w:r w:rsidR="00400FEE">
        <w:rPr>
          <w:rFonts w:eastAsia="Times New Roman" w:cs="Times New Roman"/>
          <w:color w:val="000000"/>
          <w:szCs w:val="24"/>
        </w:rPr>
        <w:t>For winter (</w:t>
      </w:r>
      <w:r w:rsidR="009B4F87">
        <w:rPr>
          <w:rFonts w:eastAsia="Times New Roman" w:cs="Times New Roman"/>
          <w:color w:val="000000"/>
          <w:szCs w:val="24"/>
        </w:rPr>
        <w:t>Figure 16</w:t>
      </w:r>
      <w:r w:rsidR="00400FEE">
        <w:rPr>
          <w:rFonts w:eastAsia="Times New Roman" w:cs="Times New Roman"/>
          <w:color w:val="000000"/>
          <w:szCs w:val="24"/>
        </w:rPr>
        <w:t>), w</w:t>
      </w:r>
      <w:r w:rsidR="000E6889" w:rsidRPr="000E6889">
        <w:rPr>
          <w:rFonts w:eastAsia="Times New Roman" w:cs="Times New Roman"/>
          <w:color w:val="000000"/>
          <w:szCs w:val="24"/>
        </w:rPr>
        <w:t>e can see UNet 3+ achieves very low RMSE</w:t>
      </w:r>
      <w:r w:rsidR="00CA16A3">
        <w:rPr>
          <w:rFonts w:eastAsia="Times New Roman" w:cs="Times New Roman"/>
          <w:color w:val="000000"/>
          <w:szCs w:val="24"/>
        </w:rPr>
        <w:t xml:space="preserve"> (&lt;0.</w:t>
      </w:r>
      <w:r w:rsidR="00702F10">
        <w:rPr>
          <w:rFonts w:eastAsia="Times New Roman" w:cs="Times New Roman"/>
          <w:color w:val="000000"/>
          <w:szCs w:val="24"/>
        </w:rPr>
        <w:t>0</w:t>
      </w:r>
      <w:r w:rsidR="00CA16A3">
        <w:rPr>
          <w:rFonts w:eastAsia="Times New Roman" w:cs="Times New Roman"/>
          <w:color w:val="000000"/>
          <w:szCs w:val="24"/>
        </w:rPr>
        <w:t>1)</w:t>
      </w:r>
      <w:r w:rsidR="000E6889" w:rsidRPr="000E6889">
        <w:rPr>
          <w:rFonts w:eastAsia="Times New Roman" w:cs="Times New Roman"/>
          <w:color w:val="000000"/>
          <w:szCs w:val="24"/>
        </w:rPr>
        <w:t xml:space="preserve"> everywhere except for a few select stations in California</w:t>
      </w:r>
      <w:r w:rsidR="00702F10">
        <w:rPr>
          <w:rFonts w:eastAsia="Times New Roman" w:cs="Times New Roman"/>
          <w:color w:val="000000"/>
          <w:szCs w:val="24"/>
        </w:rPr>
        <w:t xml:space="preserve"> where it reaches ~0.11</w:t>
      </w:r>
      <w:r w:rsidR="000E6889" w:rsidRPr="000E6889">
        <w:rPr>
          <w:rFonts w:eastAsia="Times New Roman" w:cs="Times New Roman"/>
          <w:color w:val="000000"/>
          <w:szCs w:val="24"/>
        </w:rPr>
        <w:t xml:space="preserve">. UNet 3+ </w:t>
      </w:r>
      <w:r w:rsidR="006963AB">
        <w:rPr>
          <w:rFonts w:eastAsia="Times New Roman" w:cs="Times New Roman"/>
          <w:color w:val="000000"/>
          <w:szCs w:val="24"/>
        </w:rPr>
        <w:t xml:space="preserve">performs roughly the same as </w:t>
      </w:r>
      <w:r w:rsidR="001B76CF">
        <w:rPr>
          <w:rFonts w:eastAsia="Times New Roman" w:cs="Times New Roman"/>
          <w:color w:val="000000"/>
          <w:szCs w:val="24"/>
        </w:rPr>
        <w:t>DB</w:t>
      </w:r>
      <w:r w:rsidR="006963AB">
        <w:rPr>
          <w:rFonts w:eastAsia="Times New Roman" w:cs="Times New Roman"/>
          <w:color w:val="000000"/>
          <w:szCs w:val="24"/>
        </w:rPr>
        <w:t xml:space="preserve"> in terms of RMSE</w:t>
      </w:r>
      <w:r w:rsidR="000E6889" w:rsidRPr="000E6889">
        <w:rPr>
          <w:rFonts w:eastAsia="Times New Roman" w:cs="Times New Roman"/>
          <w:color w:val="000000"/>
          <w:szCs w:val="24"/>
        </w:rPr>
        <w:t>.</w:t>
      </w:r>
      <w:r w:rsidR="004F0ED3">
        <w:rPr>
          <w:rFonts w:eastAsia="Times New Roman" w:cs="Times New Roman"/>
          <w:color w:val="000000"/>
          <w:szCs w:val="24"/>
        </w:rPr>
        <w:t xml:space="preserve"> Notable discrepancies include </w:t>
      </w:r>
      <w:r w:rsidR="001B76CF">
        <w:rPr>
          <w:rFonts w:eastAsia="Times New Roman" w:cs="Times New Roman"/>
          <w:color w:val="000000"/>
          <w:szCs w:val="24"/>
        </w:rPr>
        <w:t xml:space="preserve">the aforementioned stations in California, where UNet 3+ </w:t>
      </w:r>
      <w:r w:rsidR="006F1F26">
        <w:rPr>
          <w:rFonts w:eastAsia="Times New Roman" w:cs="Times New Roman"/>
          <w:color w:val="000000"/>
          <w:szCs w:val="24"/>
        </w:rPr>
        <w:t>(</w:t>
      </w:r>
      <w:r w:rsidR="00C079D1">
        <w:rPr>
          <w:rFonts w:eastAsia="Times New Roman" w:cs="Times New Roman"/>
          <w:color w:val="000000"/>
          <w:szCs w:val="24"/>
        </w:rPr>
        <w:t xml:space="preserve">~0.11) </w:t>
      </w:r>
      <w:r w:rsidR="001B76CF">
        <w:rPr>
          <w:rFonts w:eastAsia="Times New Roman" w:cs="Times New Roman"/>
          <w:color w:val="000000"/>
          <w:szCs w:val="24"/>
        </w:rPr>
        <w:t>performs worse than DB</w:t>
      </w:r>
      <w:r w:rsidR="00A051B5">
        <w:rPr>
          <w:rFonts w:eastAsia="Times New Roman" w:cs="Times New Roman"/>
          <w:color w:val="000000"/>
          <w:szCs w:val="24"/>
        </w:rPr>
        <w:t xml:space="preserve"> (~0.7)</w:t>
      </w:r>
      <w:r w:rsidR="001B76CF">
        <w:rPr>
          <w:rFonts w:eastAsia="Times New Roman" w:cs="Times New Roman"/>
          <w:color w:val="000000"/>
          <w:szCs w:val="24"/>
        </w:rPr>
        <w:t xml:space="preserve">, </w:t>
      </w:r>
      <w:r w:rsidR="00181AE6">
        <w:rPr>
          <w:rFonts w:eastAsia="Times New Roman" w:cs="Times New Roman"/>
          <w:color w:val="000000"/>
          <w:szCs w:val="24"/>
        </w:rPr>
        <w:t>as well as Nevada, Texas, and Illinois, where DB</w:t>
      </w:r>
      <w:r w:rsidR="00A051B5">
        <w:rPr>
          <w:rFonts w:eastAsia="Times New Roman" w:cs="Times New Roman"/>
          <w:color w:val="000000"/>
          <w:szCs w:val="24"/>
        </w:rPr>
        <w:t xml:space="preserve"> (</w:t>
      </w:r>
      <w:r w:rsidR="00683C59">
        <w:rPr>
          <w:rFonts w:eastAsia="Times New Roman" w:cs="Times New Roman"/>
          <w:color w:val="000000"/>
          <w:szCs w:val="24"/>
        </w:rPr>
        <w:t>~0.12)</w:t>
      </w:r>
      <w:r w:rsidR="00181AE6">
        <w:rPr>
          <w:rFonts w:eastAsia="Times New Roman" w:cs="Times New Roman"/>
          <w:color w:val="000000"/>
          <w:szCs w:val="24"/>
        </w:rPr>
        <w:t xml:space="preserve"> performs worse than UNet 3+</w:t>
      </w:r>
      <w:r w:rsidR="00683C59">
        <w:rPr>
          <w:rFonts w:eastAsia="Times New Roman" w:cs="Times New Roman"/>
          <w:color w:val="000000"/>
          <w:szCs w:val="24"/>
        </w:rPr>
        <w:t xml:space="preserve"> (0.7)</w:t>
      </w:r>
      <w:r w:rsidR="00B15D62">
        <w:rPr>
          <w:rFonts w:eastAsia="Times New Roman" w:cs="Times New Roman"/>
          <w:color w:val="000000"/>
          <w:szCs w:val="24"/>
        </w:rPr>
        <w:t>.</w:t>
      </w:r>
    </w:p>
    <w:p w14:paraId="384608BF" w14:textId="6906CA07" w:rsidR="000E6889" w:rsidRPr="000E6889" w:rsidRDefault="000E6889" w:rsidP="001C2F67">
      <w:pPr>
        <w:spacing w:after="0"/>
        <w:ind w:firstLine="720"/>
        <w:rPr>
          <w:rFonts w:eastAsia="Times New Roman" w:cs="Times New Roman"/>
          <w:szCs w:val="24"/>
        </w:rPr>
      </w:pPr>
      <w:r w:rsidRPr="000E6889">
        <w:rPr>
          <w:rFonts w:eastAsia="Times New Roman" w:cs="Times New Roman"/>
          <w:color w:val="000000"/>
          <w:szCs w:val="24"/>
        </w:rPr>
        <w:lastRenderedPageBreak/>
        <w:t xml:space="preserve">The coverage gains with </w:t>
      </w:r>
      <w:r w:rsidR="00C01600">
        <w:rPr>
          <w:rFonts w:eastAsia="Times New Roman" w:cs="Times New Roman"/>
          <w:color w:val="000000"/>
          <w:szCs w:val="24"/>
        </w:rPr>
        <w:t>gap-filling</w:t>
      </w:r>
      <w:r w:rsidRPr="000E6889">
        <w:rPr>
          <w:rFonts w:eastAsia="Times New Roman" w:cs="Times New Roman"/>
          <w:color w:val="000000"/>
          <w:szCs w:val="24"/>
        </w:rPr>
        <w:t xml:space="preserve"> are </w:t>
      </w:r>
      <w:r w:rsidR="00B15D62">
        <w:rPr>
          <w:rFonts w:eastAsia="Times New Roman" w:cs="Times New Roman"/>
          <w:color w:val="000000"/>
          <w:szCs w:val="24"/>
        </w:rPr>
        <w:t>very</w:t>
      </w:r>
      <w:r w:rsidRPr="000E6889">
        <w:rPr>
          <w:rFonts w:eastAsia="Times New Roman" w:cs="Times New Roman"/>
          <w:color w:val="000000"/>
          <w:szCs w:val="24"/>
        </w:rPr>
        <w:t xml:space="preserve"> pronounced in </w:t>
      </w:r>
      <w:r w:rsidR="00400FEE">
        <w:rPr>
          <w:rFonts w:eastAsia="Times New Roman" w:cs="Times New Roman"/>
          <w:color w:val="000000"/>
          <w:szCs w:val="24"/>
        </w:rPr>
        <w:t>w</w:t>
      </w:r>
      <w:r w:rsidRPr="000E6889">
        <w:rPr>
          <w:rFonts w:eastAsia="Times New Roman" w:cs="Times New Roman"/>
          <w:color w:val="000000"/>
          <w:szCs w:val="24"/>
        </w:rPr>
        <w:t xml:space="preserve">inter. For </w:t>
      </w:r>
      <w:r w:rsidR="00E5089E">
        <w:rPr>
          <w:rFonts w:eastAsia="Times New Roman" w:cs="Times New Roman"/>
          <w:color w:val="000000"/>
          <w:szCs w:val="24"/>
        </w:rPr>
        <w:t>DB</w:t>
      </w:r>
      <w:r w:rsidRPr="000E6889">
        <w:rPr>
          <w:rFonts w:eastAsia="Times New Roman" w:cs="Times New Roman"/>
          <w:color w:val="000000"/>
          <w:szCs w:val="24"/>
        </w:rPr>
        <w:t xml:space="preserve">, the </w:t>
      </w:r>
      <w:r w:rsidR="00400FEE">
        <w:rPr>
          <w:rFonts w:eastAsia="Times New Roman" w:cs="Times New Roman"/>
          <w:color w:val="000000"/>
          <w:szCs w:val="24"/>
        </w:rPr>
        <w:t>n</w:t>
      </w:r>
      <w:r w:rsidRPr="000E6889">
        <w:rPr>
          <w:rFonts w:eastAsia="Times New Roman" w:cs="Times New Roman"/>
          <w:color w:val="000000"/>
          <w:szCs w:val="24"/>
        </w:rPr>
        <w:t>orthern half of CONUS is missing</w:t>
      </w:r>
      <w:r w:rsidR="006D4533">
        <w:rPr>
          <w:rFonts w:eastAsia="Times New Roman" w:cs="Times New Roman"/>
          <w:color w:val="000000"/>
          <w:szCs w:val="24"/>
        </w:rPr>
        <w:t xml:space="preserve">, but recovered in the UNet 3+ </w:t>
      </w:r>
      <w:r w:rsidR="001735CE">
        <w:rPr>
          <w:rFonts w:eastAsia="Times New Roman" w:cs="Times New Roman"/>
          <w:color w:val="000000"/>
          <w:szCs w:val="24"/>
        </w:rPr>
        <w:t>maps</w:t>
      </w:r>
      <w:r w:rsidR="00A2559B" w:rsidRPr="000E6889">
        <w:rPr>
          <w:rFonts w:eastAsia="Times New Roman" w:cs="Times New Roman"/>
          <w:color w:val="000000"/>
          <w:szCs w:val="24"/>
        </w:rPr>
        <w:t>. Since AOD values are chronically low throughout the winter</w:t>
      </w:r>
      <w:r w:rsidR="00E22F6C">
        <w:rPr>
          <w:rFonts w:eastAsia="Times New Roman" w:cs="Times New Roman"/>
          <w:color w:val="000000"/>
          <w:szCs w:val="24"/>
        </w:rPr>
        <w:t xml:space="preserve"> and lack much variance for UNet 3+ to capture</w:t>
      </w:r>
      <w:r w:rsidR="00A2559B" w:rsidRPr="000E6889">
        <w:rPr>
          <w:rFonts w:eastAsia="Times New Roman" w:cs="Times New Roman"/>
          <w:color w:val="000000"/>
          <w:szCs w:val="24"/>
        </w:rPr>
        <w:t>,</w:t>
      </w:r>
      <w:r w:rsidR="00E909D8">
        <w:rPr>
          <w:rFonts w:eastAsia="Times New Roman" w:cs="Times New Roman"/>
          <w:color w:val="000000"/>
          <w:szCs w:val="24"/>
        </w:rPr>
        <w:t xml:space="preserve"> r and R</w:t>
      </w:r>
      <w:r w:rsidR="00E909D8">
        <w:rPr>
          <w:rFonts w:eastAsia="Times New Roman" w:cs="Times New Roman"/>
          <w:color w:val="000000"/>
          <w:szCs w:val="24"/>
          <w:vertAlign w:val="superscript"/>
        </w:rPr>
        <w:t>2</w:t>
      </w:r>
      <w:r w:rsidR="00E909D8">
        <w:rPr>
          <w:rFonts w:eastAsia="Times New Roman" w:cs="Times New Roman"/>
          <w:color w:val="000000"/>
          <w:szCs w:val="24"/>
        </w:rPr>
        <w:t xml:space="preserve"> values are </w:t>
      </w:r>
      <w:r w:rsidR="00E22F6C">
        <w:rPr>
          <w:rFonts w:eastAsia="Times New Roman" w:cs="Times New Roman"/>
          <w:color w:val="000000"/>
          <w:szCs w:val="24"/>
        </w:rPr>
        <w:t>also lo</w:t>
      </w:r>
      <w:r w:rsidR="001C15B2">
        <w:rPr>
          <w:rFonts w:eastAsia="Times New Roman" w:cs="Times New Roman"/>
          <w:color w:val="000000"/>
          <w:szCs w:val="24"/>
        </w:rPr>
        <w:t>w</w:t>
      </w:r>
      <w:r w:rsidR="00A2559B" w:rsidRPr="000E6889">
        <w:rPr>
          <w:rFonts w:eastAsia="Times New Roman" w:cs="Times New Roman"/>
          <w:color w:val="000000"/>
          <w:szCs w:val="24"/>
        </w:rPr>
        <w:t>.</w:t>
      </w:r>
    </w:p>
    <w:p w14:paraId="605BF5F4" w14:textId="77777777" w:rsidR="001C2F67" w:rsidRDefault="000E6889" w:rsidP="001C2F67">
      <w:pPr>
        <w:keepNext/>
        <w:spacing w:after="0"/>
      </w:pPr>
      <w:r w:rsidRPr="000E6889">
        <w:rPr>
          <w:rFonts w:eastAsia="Times New Roman" w:cs="Times New Roman"/>
          <w:noProof/>
          <w:color w:val="000000"/>
          <w:szCs w:val="24"/>
          <w:bdr w:val="none" w:sz="0" w:space="0" w:color="auto" w:frame="1"/>
        </w:rPr>
        <w:drawing>
          <wp:inline distT="0" distB="0" distL="0" distR="0" wp14:anchorId="0CBC52FC" wp14:editId="7ADF365E">
            <wp:extent cx="5943600" cy="5332095"/>
            <wp:effectExtent l="0" t="0" r="0" b="1905"/>
            <wp:docPr id="1611086524" name="Picture 14" descr="A map of the united stat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1086524" name="Picture 14" descr="A map of the united states&#10;&#10;Description automatically generated"/>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943600" cy="5332095"/>
                    </a:xfrm>
                    <a:prstGeom prst="rect">
                      <a:avLst/>
                    </a:prstGeom>
                    <a:noFill/>
                    <a:ln>
                      <a:noFill/>
                    </a:ln>
                  </pic:spPr>
                </pic:pic>
              </a:graphicData>
            </a:graphic>
          </wp:inline>
        </w:drawing>
      </w:r>
    </w:p>
    <w:p w14:paraId="71CA535C" w14:textId="54465843" w:rsidR="000E6889" w:rsidRPr="000E6889" w:rsidRDefault="001C2F67" w:rsidP="00D52313">
      <w:pPr>
        <w:pStyle w:val="Caption"/>
        <w:rPr>
          <w:rFonts w:eastAsia="Times New Roman" w:cs="Times New Roman"/>
        </w:rPr>
      </w:pPr>
      <w:bookmarkStart w:id="94" w:name="_Ref158811014"/>
      <w:bookmarkStart w:id="95" w:name="_Toc159825978"/>
      <w:r>
        <w:t xml:space="preserve">Figure </w:t>
      </w:r>
      <w:r>
        <w:fldChar w:fldCharType="begin"/>
      </w:r>
      <w:r>
        <w:instrText xml:space="preserve"> SEQ Figure \* ARABIC </w:instrText>
      </w:r>
      <w:r>
        <w:fldChar w:fldCharType="separate"/>
      </w:r>
      <w:r w:rsidR="00C54A78">
        <w:rPr>
          <w:noProof/>
        </w:rPr>
        <w:t>16</w:t>
      </w:r>
      <w:r>
        <w:rPr>
          <w:noProof/>
        </w:rPr>
        <w:fldChar w:fldCharType="end"/>
      </w:r>
      <w:bookmarkEnd w:id="94"/>
      <w:r>
        <w:t>:</w:t>
      </w:r>
      <w:r w:rsidR="00B74073">
        <w:t xml:space="preserve"> Spatial statistical evaluation over winter (DJF) of UNet 3+ and DB AOD against AERONET stations throughout CONUS with at least </w:t>
      </w:r>
      <w:r w:rsidR="004141B6">
        <w:t>2</w:t>
      </w:r>
      <w:r w:rsidR="00B74073">
        <w:t>00 collocated</w:t>
      </w:r>
      <w:r w:rsidR="00B74073">
        <w:rPr>
          <w:noProof/>
        </w:rPr>
        <w:t xml:space="preserve"> observations</w:t>
      </w:r>
      <w:r w:rsidRPr="000060E0">
        <w:t>.</w:t>
      </w:r>
      <w:bookmarkEnd w:id="95"/>
    </w:p>
    <w:p w14:paraId="12E62FB8" w14:textId="179155FB" w:rsidR="000E6889" w:rsidRPr="000E6889" w:rsidRDefault="000E6889" w:rsidP="001904F0">
      <w:pPr>
        <w:spacing w:after="0"/>
        <w:ind w:firstLine="720"/>
        <w:rPr>
          <w:rFonts w:eastAsia="Times New Roman" w:cs="Times New Roman"/>
          <w:szCs w:val="24"/>
        </w:rPr>
      </w:pPr>
      <w:r w:rsidRPr="000E6889">
        <w:rPr>
          <w:rFonts w:eastAsia="Times New Roman" w:cs="Times New Roman"/>
          <w:color w:val="000000"/>
          <w:szCs w:val="24"/>
        </w:rPr>
        <w:t>In the spring</w:t>
      </w:r>
      <w:r w:rsidR="009B4F87">
        <w:rPr>
          <w:rFonts w:eastAsia="Times New Roman" w:cs="Times New Roman"/>
          <w:color w:val="000000"/>
          <w:szCs w:val="24"/>
        </w:rPr>
        <w:t xml:space="preserve"> (Figure 17)</w:t>
      </w:r>
      <w:r w:rsidRPr="000E6889">
        <w:rPr>
          <w:rFonts w:eastAsia="Times New Roman" w:cs="Times New Roman"/>
          <w:color w:val="000000"/>
          <w:szCs w:val="24"/>
        </w:rPr>
        <w:t xml:space="preserve">, RMSE is still generally low for both UNet 3+ and </w:t>
      </w:r>
      <w:r w:rsidR="00FF5EF2">
        <w:rPr>
          <w:rFonts w:eastAsia="Times New Roman" w:cs="Times New Roman"/>
          <w:color w:val="000000"/>
          <w:szCs w:val="24"/>
        </w:rPr>
        <w:t>DB</w:t>
      </w:r>
      <w:r w:rsidRPr="000E6889">
        <w:rPr>
          <w:rFonts w:eastAsia="Times New Roman" w:cs="Times New Roman"/>
          <w:color w:val="000000"/>
          <w:szCs w:val="24"/>
        </w:rPr>
        <w:t>.</w:t>
      </w:r>
      <w:r w:rsidR="008C68A6">
        <w:rPr>
          <w:rFonts w:eastAsia="Times New Roman" w:cs="Times New Roman"/>
          <w:color w:val="000000"/>
          <w:szCs w:val="24"/>
        </w:rPr>
        <w:t xml:space="preserve"> UNet 3+ </w:t>
      </w:r>
      <w:r w:rsidR="00BA2384">
        <w:rPr>
          <w:rFonts w:eastAsia="Times New Roman" w:cs="Times New Roman"/>
          <w:color w:val="000000"/>
          <w:szCs w:val="24"/>
        </w:rPr>
        <w:t>RMSEs are all below 0.1</w:t>
      </w:r>
      <w:r w:rsidR="004141B6">
        <w:rPr>
          <w:rFonts w:eastAsia="Times New Roman" w:cs="Times New Roman"/>
          <w:color w:val="000000"/>
          <w:szCs w:val="24"/>
        </w:rPr>
        <w:t>,</w:t>
      </w:r>
      <w:r w:rsidR="00BA2384">
        <w:rPr>
          <w:rFonts w:eastAsia="Times New Roman" w:cs="Times New Roman"/>
          <w:color w:val="000000"/>
          <w:szCs w:val="24"/>
        </w:rPr>
        <w:t xml:space="preserve"> while </w:t>
      </w:r>
      <w:r w:rsidR="00285463">
        <w:rPr>
          <w:rFonts w:eastAsia="Times New Roman" w:cs="Times New Roman"/>
          <w:color w:val="000000"/>
          <w:szCs w:val="24"/>
        </w:rPr>
        <w:t xml:space="preserve">just </w:t>
      </w:r>
      <w:r w:rsidR="00BA2384">
        <w:rPr>
          <w:rFonts w:eastAsia="Times New Roman" w:cs="Times New Roman"/>
          <w:color w:val="000000"/>
          <w:szCs w:val="24"/>
        </w:rPr>
        <w:t>a few</w:t>
      </w:r>
      <w:r w:rsidR="00285463">
        <w:rPr>
          <w:rFonts w:eastAsia="Times New Roman" w:cs="Times New Roman"/>
          <w:color w:val="000000"/>
          <w:szCs w:val="24"/>
        </w:rPr>
        <w:t xml:space="preserve"> DB RMSEs peak past </w:t>
      </w:r>
      <w:r w:rsidR="006211C3">
        <w:rPr>
          <w:rFonts w:eastAsia="Times New Roman" w:cs="Times New Roman"/>
          <w:color w:val="000000"/>
          <w:szCs w:val="24"/>
        </w:rPr>
        <w:t>0.1</w:t>
      </w:r>
      <w:r w:rsidR="00285463">
        <w:rPr>
          <w:rFonts w:eastAsia="Times New Roman" w:cs="Times New Roman"/>
          <w:color w:val="000000"/>
          <w:szCs w:val="24"/>
        </w:rPr>
        <w:t>.</w:t>
      </w:r>
      <w:r w:rsidRPr="000E6889">
        <w:rPr>
          <w:rFonts w:eastAsia="Times New Roman" w:cs="Times New Roman"/>
          <w:color w:val="000000"/>
          <w:szCs w:val="24"/>
        </w:rPr>
        <w:t xml:space="preserve"> However, a clear </w:t>
      </w:r>
      <w:r w:rsidR="004141B6">
        <w:rPr>
          <w:rFonts w:eastAsia="Times New Roman" w:cs="Times New Roman"/>
          <w:color w:val="000000"/>
          <w:szCs w:val="24"/>
        </w:rPr>
        <w:t>distinction</w:t>
      </w:r>
      <w:r w:rsidRPr="000E6889">
        <w:rPr>
          <w:rFonts w:eastAsia="Times New Roman" w:cs="Times New Roman"/>
          <w:color w:val="000000"/>
          <w:szCs w:val="24"/>
        </w:rPr>
        <w:t xml:space="preserve"> between east and west can be seen in the r and R</w:t>
      </w:r>
      <w:r w:rsidRPr="00C86D5B">
        <w:rPr>
          <w:rFonts w:eastAsia="Times New Roman" w:cs="Times New Roman"/>
          <w:color w:val="000000"/>
          <w:szCs w:val="24"/>
          <w:vertAlign w:val="superscript"/>
        </w:rPr>
        <w:t>2</w:t>
      </w:r>
      <w:r w:rsidRPr="000E6889">
        <w:rPr>
          <w:rFonts w:eastAsia="Times New Roman" w:cs="Times New Roman"/>
          <w:color w:val="000000"/>
          <w:szCs w:val="24"/>
        </w:rPr>
        <w:t xml:space="preserve"> maps</w:t>
      </w:r>
      <w:r w:rsidR="006211C3">
        <w:rPr>
          <w:rFonts w:eastAsia="Times New Roman" w:cs="Times New Roman"/>
          <w:color w:val="000000"/>
          <w:szCs w:val="24"/>
        </w:rPr>
        <w:t>,</w:t>
      </w:r>
      <w:r w:rsidRPr="000E6889">
        <w:rPr>
          <w:rFonts w:eastAsia="Times New Roman" w:cs="Times New Roman"/>
          <w:color w:val="000000"/>
          <w:szCs w:val="24"/>
        </w:rPr>
        <w:t xml:space="preserve"> where the west performs </w:t>
      </w:r>
      <w:r w:rsidRPr="000E6889">
        <w:rPr>
          <w:rFonts w:eastAsia="Times New Roman" w:cs="Times New Roman"/>
          <w:color w:val="000000"/>
          <w:szCs w:val="24"/>
        </w:rPr>
        <w:lastRenderedPageBreak/>
        <w:t>noticeably worse than the east for both UNet 3+ and satellite.</w:t>
      </w:r>
      <w:r w:rsidR="00EE0EFE">
        <w:rPr>
          <w:rFonts w:eastAsia="Times New Roman" w:cs="Times New Roman"/>
          <w:color w:val="000000"/>
          <w:szCs w:val="24"/>
        </w:rPr>
        <w:t xml:space="preserve"> Namely, for UNet 3+, r values do not drop below 0.7 </w:t>
      </w:r>
      <w:r w:rsidR="00EB65FA">
        <w:rPr>
          <w:rFonts w:eastAsia="Times New Roman" w:cs="Times New Roman"/>
          <w:color w:val="000000"/>
          <w:szCs w:val="24"/>
        </w:rPr>
        <w:t xml:space="preserve">in the eastern U.S. </w:t>
      </w:r>
      <w:r w:rsidR="007B0266">
        <w:rPr>
          <w:rFonts w:eastAsia="Times New Roman" w:cs="Times New Roman"/>
          <w:color w:val="000000"/>
          <w:szCs w:val="24"/>
        </w:rPr>
        <w:t>but do not exceed 0.6</w:t>
      </w:r>
      <w:r w:rsidR="005925D4">
        <w:rPr>
          <w:rFonts w:eastAsia="Times New Roman" w:cs="Times New Roman"/>
          <w:color w:val="000000"/>
          <w:szCs w:val="24"/>
        </w:rPr>
        <w:t>5 in the western U.S. except for one station.</w:t>
      </w:r>
      <w:r w:rsidRPr="000E6889">
        <w:rPr>
          <w:rFonts w:eastAsia="Times New Roman" w:cs="Times New Roman"/>
          <w:color w:val="000000"/>
          <w:szCs w:val="24"/>
        </w:rPr>
        <w:t xml:space="preserve"> </w:t>
      </w:r>
      <w:r w:rsidR="00C24DF3">
        <w:rPr>
          <w:rFonts w:eastAsia="Times New Roman" w:cs="Times New Roman"/>
          <w:color w:val="000000"/>
          <w:szCs w:val="24"/>
        </w:rPr>
        <w:t xml:space="preserve">This pattern is mirrored in DB, </w:t>
      </w:r>
      <w:r w:rsidR="009B0A77">
        <w:rPr>
          <w:rFonts w:eastAsia="Times New Roman" w:cs="Times New Roman"/>
          <w:color w:val="000000"/>
          <w:szCs w:val="24"/>
        </w:rPr>
        <w:t xml:space="preserve">where several stations in the western U.S. </w:t>
      </w:r>
      <w:r w:rsidR="009C7385">
        <w:rPr>
          <w:rFonts w:eastAsia="Times New Roman" w:cs="Times New Roman"/>
          <w:color w:val="000000"/>
          <w:szCs w:val="24"/>
        </w:rPr>
        <w:t xml:space="preserve">are near 0. </w:t>
      </w:r>
      <w:r w:rsidRPr="000E6889">
        <w:rPr>
          <w:rFonts w:eastAsia="Times New Roman" w:cs="Times New Roman"/>
          <w:color w:val="000000"/>
          <w:szCs w:val="24"/>
        </w:rPr>
        <w:t>This drop in performance is in line with previous investigations of AOD retrievals in the semi-arid western U.S.</w:t>
      </w:r>
      <w:r w:rsidR="00C86D5B">
        <w:rPr>
          <w:rFonts w:eastAsia="Times New Roman" w:cs="Times New Roman"/>
          <w:color w:val="000000"/>
          <w:szCs w:val="24"/>
        </w:rPr>
        <w:t xml:space="preserve"> </w:t>
      </w:r>
      <w:r w:rsidR="002473B3">
        <w:rPr>
          <w:rFonts w:eastAsia="Times New Roman" w:cs="Times New Roman"/>
          <w:color w:val="000000"/>
          <w:szCs w:val="24"/>
        </w:rPr>
        <w:fldChar w:fldCharType="begin"/>
      </w:r>
      <w:r w:rsidR="00BB6527">
        <w:rPr>
          <w:rFonts w:eastAsia="Times New Roman" w:cs="Times New Roman"/>
          <w:color w:val="000000"/>
          <w:szCs w:val="24"/>
        </w:rPr>
        <w:instrText xml:space="preserve"> ADDIN ZOTERO_ITEM CSL_CITATION {"citationID":"ymnkda59","properties":{"formattedCitation":"(S. M. Lor\\uc0\\u237{}a-Salazar et al., 2016)","plainCitation":"(S. M. Loría-Salazar et al., 2016)","dontUpdate":true,"noteIndex":0},"citationItems":[{"id":256,"uris":["http://zotero.org/groups/4584967/items/QGXSZ279"],"itemData":{"id":256,"type":"article-journal","abstract":"Satellite characterization of local aerosol pollution is desirable because of the potential for broad spatial coverage, enabling transport studies of pollution from major sources, such as biomass burning events. However, retrieval of quantitative measures of air pollution such as Aerosol Optical Depth (AOD) from satellite measurements is challenging over land because the underlying surface albedo may be heterogeneous in space and time. Ground-based sunphotometer measurements of AOD are unaffected by surface albedo and are crucial in enabling evaluation, testing, and further development of satellite instruments and retrieval algorithms. Columnar aerosol optical properties from ground-based sunphotometers (Cimel CE-318) as part of AERONET and MODIS aerosol retrievals from Aqua and Terra satellites were compared over semi-arid California and Nevada during the summer season of 2012. Sunphotometer measurements were used as a ‘ground truth’ to evaluate the current state of satellite retrievals in this spatiotemporal domain. Satellite retrieved (MODIS Collection 6) AOD showed the presence of wildfires in northern California during August. During the study period, the dark-target (DT) retrieval algorithm appears to overestimate AERONET AOD by an average factor of 3.85 in the entire study domain. AOD from the deep-blue (DB) algorithm overestimates AERONET AOD by an average factor of 1.64.\n\nLow AOD correlation was also found between AERONET, DT, and DB retrievals. Smoke from fires strengthened the aerosol signal, but MODIS versus AERONET AOD correlation hardly increased during fire events (r2</w:instrText>
      </w:r>
      <w:r w:rsidR="00BB6527">
        <w:rPr>
          <w:rFonts w:ascii="Cambria Math" w:eastAsia="Times New Roman" w:hAnsi="Cambria Math" w:cs="Cambria Math"/>
          <w:color w:val="000000"/>
          <w:szCs w:val="24"/>
        </w:rPr>
        <w:instrText>∼</w:instrText>
      </w:r>
      <w:r w:rsidR="00BB6527">
        <w:rPr>
          <w:rFonts w:eastAsia="Times New Roman" w:cs="Times New Roman"/>
          <w:color w:val="000000"/>
          <w:szCs w:val="24"/>
        </w:rPr>
        <w:instrText>0.1–0.2 during non-fire periods and r2</w:instrText>
      </w:r>
      <w:r w:rsidR="00BB6527">
        <w:rPr>
          <w:rFonts w:ascii="Cambria Math" w:eastAsia="Times New Roman" w:hAnsi="Cambria Math" w:cs="Cambria Math"/>
          <w:color w:val="000000"/>
          <w:szCs w:val="24"/>
        </w:rPr>
        <w:instrText>∼</w:instrText>
      </w:r>
      <w:r w:rsidR="00BB6527">
        <w:rPr>
          <w:rFonts w:eastAsia="Times New Roman" w:cs="Times New Roman"/>
          <w:color w:val="000000"/>
          <w:szCs w:val="24"/>
        </w:rPr>
        <w:instrText>0–0.31 during fire periods). Furthermore, aerosol from fires increased the normalized mean bias (NMB) of MODIS retrievals of AOD (NMB</w:instrText>
      </w:r>
      <w:r w:rsidR="00BB6527">
        <w:rPr>
          <w:rFonts w:ascii="Cambria Math" w:eastAsia="Times New Roman" w:hAnsi="Cambria Math" w:cs="Cambria Math"/>
          <w:color w:val="000000"/>
          <w:szCs w:val="24"/>
        </w:rPr>
        <w:instrText>∼</w:instrText>
      </w:r>
      <w:r w:rsidR="00BB6527">
        <w:rPr>
          <w:rFonts w:eastAsia="Times New Roman" w:cs="Times New Roman"/>
          <w:color w:val="000000"/>
          <w:szCs w:val="24"/>
        </w:rPr>
        <w:instrText>23%–154% for non-fire periods and NMB</w:instrText>
      </w:r>
      <w:r w:rsidR="00BB6527">
        <w:rPr>
          <w:rFonts w:ascii="Cambria Math" w:eastAsia="Times New Roman" w:hAnsi="Cambria Math" w:cs="Cambria Math"/>
          <w:color w:val="000000"/>
          <w:szCs w:val="24"/>
        </w:rPr>
        <w:instrText>∼</w:instrText>
      </w:r>
      <w:r w:rsidR="00BB6527">
        <w:rPr>
          <w:rFonts w:eastAsia="Times New Roman" w:cs="Times New Roman"/>
          <w:color w:val="000000"/>
          <w:szCs w:val="24"/>
        </w:rPr>
        <w:instrText xml:space="preserve">77%–196% for fire periods). Ångström Extinction Exponent (AEE) from DB for both Terra and Aqua did not correlate with AERONET observations. High surface reflectance and incorrect aerosol physical parametrizations may still be affecting the DT and DB MODIS AOD retrievals in the semi-arid western U.S.","container-title":"Atmospheric Environment","DOI":"10.1016/j.atmosenv.2016.08.070","ISSN":"1352-2310","journalAbbreviation":"Atmospheric Environment","page":"345-360","source":"ScienceDirect","title":"Evaluation of MODIS columnar aerosol retrievals using AERONET in semi-arid Nevada and California, U.S.A., during the summer of 2012","volume":"144","author":[{"family":"Loría-Salazar","given":"S. M."},{"family":"Holmes","given":"H. A."},{"family":"Arnott","given":"W. P."},{"family":"Barnard","given":"J. C."},{"family":"Moosmüller","given":"H."}],"issued":{"date-parts":[["2016",11]]},"citation-key":"loria-salazarEvaluationMODISColumnar2016"}}],"schema":"https://github.com/citation-style-language/schema/raw/master/csl-citation.json"} </w:instrText>
      </w:r>
      <w:r w:rsidR="002473B3">
        <w:rPr>
          <w:rFonts w:eastAsia="Times New Roman" w:cs="Times New Roman"/>
          <w:color w:val="000000"/>
          <w:szCs w:val="24"/>
        </w:rPr>
        <w:fldChar w:fldCharType="separate"/>
      </w:r>
      <w:r w:rsidR="002473B3" w:rsidRPr="002473B3">
        <w:rPr>
          <w:rFonts w:cs="Times New Roman"/>
          <w:szCs w:val="24"/>
        </w:rPr>
        <w:t>(Loría-Salazar et al., 2016)</w:t>
      </w:r>
      <w:r w:rsidR="002473B3">
        <w:rPr>
          <w:rFonts w:eastAsia="Times New Roman" w:cs="Times New Roman"/>
          <w:color w:val="000000"/>
          <w:szCs w:val="24"/>
        </w:rPr>
        <w:fldChar w:fldCharType="end"/>
      </w:r>
      <w:r w:rsidR="00C60376">
        <w:rPr>
          <w:rFonts w:eastAsia="Times New Roman" w:cs="Times New Roman"/>
          <w:color w:val="000000"/>
          <w:szCs w:val="24"/>
        </w:rPr>
        <w:t xml:space="preserve">. It </w:t>
      </w:r>
      <w:r w:rsidRPr="000E6889">
        <w:rPr>
          <w:rFonts w:eastAsia="Times New Roman" w:cs="Times New Roman"/>
          <w:color w:val="000000"/>
          <w:szCs w:val="24"/>
        </w:rPr>
        <w:t>hints at an intrinsic limit in AOD gap-filling performance with the given data inputs.</w:t>
      </w:r>
      <w:r w:rsidR="00953486">
        <w:rPr>
          <w:rFonts w:eastAsia="Times New Roman" w:cs="Times New Roman"/>
          <w:color w:val="000000"/>
          <w:szCs w:val="24"/>
        </w:rPr>
        <w:t xml:space="preserve"> </w:t>
      </w:r>
      <w:r w:rsidR="0032006D">
        <w:rPr>
          <w:rFonts w:eastAsia="Times New Roman" w:cs="Times New Roman"/>
          <w:color w:val="000000"/>
          <w:szCs w:val="24"/>
        </w:rPr>
        <w:t xml:space="preserve">Another explanation as to the lower correlations in the western U.S. is </w:t>
      </w:r>
      <w:r w:rsidR="00F40E43">
        <w:rPr>
          <w:rFonts w:eastAsia="Times New Roman" w:cs="Times New Roman"/>
          <w:color w:val="000000"/>
          <w:szCs w:val="24"/>
        </w:rPr>
        <w:t xml:space="preserve">described </w:t>
      </w:r>
      <w:r w:rsidR="00501CD3">
        <w:rPr>
          <w:rFonts w:eastAsia="Times New Roman" w:cs="Times New Roman"/>
          <w:color w:val="000000"/>
          <w:szCs w:val="24"/>
        </w:rPr>
        <w:t xml:space="preserve">in Sayer et al., (2019), </w:t>
      </w:r>
      <w:r w:rsidR="003C069D">
        <w:rPr>
          <w:rFonts w:eastAsia="Times New Roman" w:cs="Times New Roman"/>
          <w:color w:val="000000"/>
          <w:szCs w:val="24"/>
        </w:rPr>
        <w:t xml:space="preserve">which notes the lower correlation between Terra, Aqua, and VIIRS </w:t>
      </w:r>
      <w:r w:rsidR="00C033BF">
        <w:rPr>
          <w:rFonts w:eastAsia="Times New Roman" w:cs="Times New Roman"/>
          <w:color w:val="000000"/>
          <w:szCs w:val="24"/>
        </w:rPr>
        <w:t xml:space="preserve">collection 6.1 DB AOD and AERONET over this region due to the </w:t>
      </w:r>
      <w:r w:rsidR="006A0057">
        <w:rPr>
          <w:rFonts w:eastAsia="Times New Roman" w:cs="Times New Roman"/>
          <w:color w:val="000000"/>
          <w:szCs w:val="24"/>
        </w:rPr>
        <w:t xml:space="preserve">relatively </w:t>
      </w:r>
      <w:r w:rsidR="00F4011B">
        <w:rPr>
          <w:rFonts w:eastAsia="Times New Roman" w:cs="Times New Roman"/>
          <w:color w:val="000000"/>
          <w:szCs w:val="24"/>
        </w:rPr>
        <w:t>lower dynamic range of AOD</w:t>
      </w:r>
      <w:r w:rsidR="00934732">
        <w:rPr>
          <w:rFonts w:eastAsia="Times New Roman" w:cs="Times New Roman"/>
          <w:color w:val="000000"/>
          <w:szCs w:val="24"/>
        </w:rPr>
        <w:t xml:space="preserve"> (e.g. over </w:t>
      </w:r>
      <w:r w:rsidR="009D1038">
        <w:rPr>
          <w:rFonts w:eastAsia="Times New Roman" w:cs="Times New Roman"/>
          <w:color w:val="000000"/>
          <w:szCs w:val="24"/>
        </w:rPr>
        <w:t>clean mountainous sites)</w:t>
      </w:r>
      <w:r w:rsidR="009D3BD3">
        <w:rPr>
          <w:rFonts w:eastAsia="Times New Roman" w:cs="Times New Roman"/>
          <w:color w:val="000000"/>
          <w:szCs w:val="24"/>
        </w:rPr>
        <w:t xml:space="preserve"> and</w:t>
      </w:r>
      <w:r w:rsidR="00530C9D">
        <w:rPr>
          <w:rFonts w:eastAsia="Times New Roman" w:cs="Times New Roman"/>
          <w:color w:val="000000"/>
          <w:szCs w:val="24"/>
        </w:rPr>
        <w:t xml:space="preserve"> positive </w:t>
      </w:r>
      <w:r w:rsidR="009D3BD3">
        <w:rPr>
          <w:rFonts w:eastAsia="Times New Roman" w:cs="Times New Roman"/>
          <w:color w:val="000000"/>
          <w:szCs w:val="24"/>
        </w:rPr>
        <w:t>outliers such as dry lake beds and cities in rugged terrain</w:t>
      </w:r>
      <w:r w:rsidR="0035115E">
        <w:rPr>
          <w:rFonts w:eastAsia="Times New Roman" w:cs="Times New Roman"/>
          <w:color w:val="000000"/>
          <w:szCs w:val="24"/>
        </w:rPr>
        <w:t xml:space="preserve"> which are difficult to characterize </w:t>
      </w:r>
      <w:r w:rsidR="0035115E">
        <w:rPr>
          <w:rFonts w:eastAsia="Times New Roman" w:cs="Times New Roman"/>
          <w:color w:val="000000"/>
          <w:szCs w:val="24"/>
        </w:rPr>
        <w:fldChar w:fldCharType="begin"/>
      </w:r>
      <w:r w:rsidR="00BB6527">
        <w:rPr>
          <w:rFonts w:eastAsia="Times New Roman" w:cs="Times New Roman"/>
          <w:color w:val="000000"/>
          <w:szCs w:val="24"/>
        </w:rPr>
        <w:instrText xml:space="preserve"> ADDIN ZOTERO_ITEM CSL_CITATION {"citationID":"nY1VBFMS","properties":{"formattedCitation":"(A. M. Sayer et al., 2019)","plainCitation":"(A. M. Sayer et al., 2019)","dontUpdate":true,"noteIndex":0},"citationItems":[{"id":656,"uris":["http://zotero.org/groups/4584967/items/83ICHUV9"],"itemData":{"id":656,"type":"article-journal","abstract":"The Deep Blue (DB) algorithm has been used to retrieve aerosol optical depth (AOD) and Ångström exponent (AE) over land from multiple satellite instruments, including the Moderate Resolution Imaging Spectroradiometers (MODIS) aboard the Terra and Aqua platforms and the Visible Infrared Imaging Radiometer Suite (VIIRS). This study first validates the latest MODIS (Collection 6.1) and VIIRS (Version 1) DB data products against Aerosol Robotic Network observations. On global average, the typical level of uncertainty in AOD is slightly better than ±(0.05 + 20%) relative to Aerosol Robotic Network. AE is quantitatively more uncertain but qualitatively shows skill at distinguishing between fine-mode and coarse-mode dominated aerosol columns. Results are also compared with the previous MODIS Collection 6. The stability of the three DB data sets ranges from 0.005–0.01 AOD per decade. Second, spatial and temporal patterns in AOD and AE are compared between the three data sets. It is found that they all show similar patterns of spatial coverage, which is predominantly linked to cloud cover, snow, and polar night. Regional time series of AOD also show highly consistent seasonal and interannual variations and are strongly correlated, although have offsets in some regions due to a combination of algorithmic and sensor-related differences.","container-title":"Journal of Geophysical Research: Atmospheres","DOI":"10.1029/2018JD029598","ISSN":"2169-8996","issue":"8","language":"en","note":"_eprint: https://onlinelibrary.wiley.com/doi/pdf/10.1029/2018JD029598","page":"4658-4688","source":"Wiley Online Library","title":"Validation, Stability, and Consistency of MODIS Collection 6.1 and VIIRS Version 1 Deep Blue Aerosol Data Over Land","volume":"124","author":[{"family":"Sayer","given":"A. M."},{"family":"Hsu","given":"N. Christina"},{"family":"Lee","given":"Jaehwa"},{"family":"Kim","given":"Woogyung V."},{"family":"Dutcher","given":"Steven T."}],"issued":{"date-parts":[["2019"]]},"citation-key":"sayerValidationStabilityConsistency2019b"}}],"schema":"https://github.com/citation-style-language/schema/raw/master/csl-citation.json"} </w:instrText>
      </w:r>
      <w:r w:rsidR="0035115E">
        <w:rPr>
          <w:rFonts w:eastAsia="Times New Roman" w:cs="Times New Roman"/>
          <w:color w:val="000000"/>
          <w:szCs w:val="24"/>
        </w:rPr>
        <w:fldChar w:fldCharType="separate"/>
      </w:r>
      <w:r w:rsidR="00CF4500" w:rsidRPr="00CF4500">
        <w:rPr>
          <w:rFonts w:cs="Times New Roman"/>
        </w:rPr>
        <w:t>(Sayer et al., 2019)</w:t>
      </w:r>
      <w:r w:rsidR="0035115E">
        <w:rPr>
          <w:rFonts w:eastAsia="Times New Roman" w:cs="Times New Roman"/>
          <w:color w:val="000000"/>
          <w:szCs w:val="24"/>
        </w:rPr>
        <w:fldChar w:fldCharType="end"/>
      </w:r>
      <w:r w:rsidR="0035115E">
        <w:rPr>
          <w:rFonts w:eastAsia="Times New Roman" w:cs="Times New Roman"/>
          <w:color w:val="000000"/>
          <w:szCs w:val="24"/>
        </w:rPr>
        <w:t>.</w:t>
      </w:r>
    </w:p>
    <w:p w14:paraId="6AC94D09" w14:textId="77777777" w:rsidR="002A7260" w:rsidRDefault="000E6889" w:rsidP="001904F0">
      <w:pPr>
        <w:keepNext/>
        <w:spacing w:after="0"/>
      </w:pPr>
      <w:r w:rsidRPr="000E6889">
        <w:rPr>
          <w:rFonts w:eastAsia="Times New Roman" w:cs="Times New Roman"/>
          <w:noProof/>
          <w:color w:val="000000"/>
          <w:szCs w:val="24"/>
          <w:bdr w:val="none" w:sz="0" w:space="0" w:color="auto" w:frame="1"/>
        </w:rPr>
        <w:lastRenderedPageBreak/>
        <w:drawing>
          <wp:inline distT="0" distB="0" distL="0" distR="0" wp14:anchorId="2FC84FDC" wp14:editId="74945DCB">
            <wp:extent cx="5943600" cy="5332095"/>
            <wp:effectExtent l="0" t="0" r="0" b="1905"/>
            <wp:docPr id="2002789180" name="Picture 13" descr="A map of the united stat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2789180" name="Picture 13" descr="A map of the united states&#10;&#10;Description automatically generated"/>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943600" cy="5332095"/>
                    </a:xfrm>
                    <a:prstGeom prst="rect">
                      <a:avLst/>
                    </a:prstGeom>
                    <a:noFill/>
                    <a:ln>
                      <a:noFill/>
                    </a:ln>
                  </pic:spPr>
                </pic:pic>
              </a:graphicData>
            </a:graphic>
          </wp:inline>
        </w:drawing>
      </w:r>
    </w:p>
    <w:p w14:paraId="23C15C2B" w14:textId="09B13319" w:rsidR="000E6889" w:rsidRPr="000E6889" w:rsidRDefault="002A7260" w:rsidP="00D52313">
      <w:pPr>
        <w:pStyle w:val="Caption"/>
        <w:rPr>
          <w:rFonts w:eastAsia="Times New Roman" w:cs="Times New Roman"/>
        </w:rPr>
      </w:pPr>
      <w:bookmarkStart w:id="96" w:name="_Ref158811021"/>
      <w:bookmarkStart w:id="97" w:name="_Toc159825979"/>
      <w:r>
        <w:t xml:space="preserve">Figure </w:t>
      </w:r>
      <w:r>
        <w:fldChar w:fldCharType="begin"/>
      </w:r>
      <w:r>
        <w:instrText xml:space="preserve"> SEQ Figure \* ARABIC </w:instrText>
      </w:r>
      <w:r>
        <w:fldChar w:fldCharType="separate"/>
      </w:r>
      <w:r w:rsidR="00C54A78">
        <w:rPr>
          <w:noProof/>
        </w:rPr>
        <w:t>17</w:t>
      </w:r>
      <w:r>
        <w:rPr>
          <w:noProof/>
        </w:rPr>
        <w:fldChar w:fldCharType="end"/>
      </w:r>
      <w:bookmarkEnd w:id="96"/>
      <w:r>
        <w:t xml:space="preserve">: </w:t>
      </w:r>
      <w:r w:rsidR="008C2E0F">
        <w:t>Spatial statistical evaluation over spring (MAM) of UNet 3+ and DB AOD against AERONET stations throughout CONUS with at least 200 collocated</w:t>
      </w:r>
      <w:r w:rsidR="008C2E0F">
        <w:rPr>
          <w:noProof/>
        </w:rPr>
        <w:t xml:space="preserve"> observations</w:t>
      </w:r>
      <w:r w:rsidR="00AA0177">
        <w:t>.</w:t>
      </w:r>
      <w:bookmarkEnd w:id="97"/>
    </w:p>
    <w:p w14:paraId="0AA5F1E9" w14:textId="4AF47D04" w:rsidR="000E6889" w:rsidRPr="000E6889" w:rsidRDefault="00CE532B" w:rsidP="001904F0">
      <w:pPr>
        <w:spacing w:after="0"/>
        <w:ind w:firstLine="720"/>
        <w:rPr>
          <w:rFonts w:eastAsia="Times New Roman" w:cs="Times New Roman"/>
          <w:szCs w:val="24"/>
        </w:rPr>
      </w:pPr>
      <w:r>
        <w:rPr>
          <w:rFonts w:eastAsia="Times New Roman" w:cs="Times New Roman"/>
          <w:color w:val="000000"/>
          <w:szCs w:val="24"/>
        </w:rPr>
        <w:t>During the summer</w:t>
      </w:r>
      <w:r w:rsidR="008E016D">
        <w:rPr>
          <w:rFonts w:eastAsia="Times New Roman" w:cs="Times New Roman"/>
          <w:color w:val="000000"/>
          <w:szCs w:val="24"/>
        </w:rPr>
        <w:t xml:space="preserve"> (Figure 18)</w:t>
      </w:r>
      <w:r>
        <w:rPr>
          <w:rFonts w:eastAsia="Times New Roman" w:cs="Times New Roman"/>
          <w:color w:val="000000"/>
          <w:szCs w:val="24"/>
        </w:rPr>
        <w:t xml:space="preserve">, </w:t>
      </w:r>
      <w:r w:rsidR="000E6889" w:rsidRPr="000E6889">
        <w:rPr>
          <w:rFonts w:eastAsia="Times New Roman" w:cs="Times New Roman"/>
          <w:color w:val="000000"/>
          <w:szCs w:val="24"/>
        </w:rPr>
        <w:t xml:space="preserve"> </w:t>
      </w:r>
      <w:r w:rsidR="00AC4A96">
        <w:rPr>
          <w:rFonts w:eastAsia="Times New Roman" w:cs="Times New Roman"/>
          <w:color w:val="000000"/>
          <w:szCs w:val="24"/>
        </w:rPr>
        <w:t>t</w:t>
      </w:r>
      <w:r w:rsidR="000E6889" w:rsidRPr="000E6889">
        <w:rPr>
          <w:rFonts w:eastAsia="Times New Roman" w:cs="Times New Roman"/>
          <w:color w:val="000000"/>
          <w:szCs w:val="24"/>
        </w:rPr>
        <w:t xml:space="preserve">he Pacific Northwest </w:t>
      </w:r>
      <w:r w:rsidR="00AC4A96">
        <w:rPr>
          <w:rFonts w:eastAsia="Times New Roman" w:cs="Times New Roman"/>
          <w:color w:val="000000"/>
          <w:szCs w:val="24"/>
        </w:rPr>
        <w:t xml:space="preserve">has lower evaluation </w:t>
      </w:r>
      <w:r w:rsidR="009C217A">
        <w:rPr>
          <w:rFonts w:eastAsia="Times New Roman" w:cs="Times New Roman"/>
          <w:color w:val="000000"/>
          <w:szCs w:val="24"/>
        </w:rPr>
        <w:t xml:space="preserve">metrics </w:t>
      </w:r>
      <w:r w:rsidR="00AC4A96">
        <w:rPr>
          <w:rFonts w:eastAsia="Times New Roman" w:cs="Times New Roman"/>
          <w:color w:val="000000"/>
          <w:szCs w:val="24"/>
        </w:rPr>
        <w:t>(e.g., RMSE</w:t>
      </w:r>
      <w:r w:rsidR="00270362">
        <w:rPr>
          <w:rFonts w:eastAsia="Times New Roman" w:cs="Times New Roman"/>
          <w:color w:val="000000"/>
          <w:szCs w:val="24"/>
        </w:rPr>
        <w:t>&gt;0.2</w:t>
      </w:r>
      <w:r w:rsidR="002A4406">
        <w:rPr>
          <w:rFonts w:eastAsia="Times New Roman" w:cs="Times New Roman"/>
          <w:color w:val="000000"/>
          <w:szCs w:val="24"/>
        </w:rPr>
        <w:t xml:space="preserve"> and </w:t>
      </w:r>
      <w:r w:rsidR="009F288C">
        <w:rPr>
          <w:rFonts w:eastAsia="Times New Roman" w:cs="Times New Roman"/>
          <w:color w:val="000000"/>
          <w:szCs w:val="24"/>
        </w:rPr>
        <w:t>R</w:t>
      </w:r>
      <w:r w:rsidR="009F288C">
        <w:rPr>
          <w:rFonts w:eastAsia="Times New Roman" w:cs="Times New Roman"/>
          <w:color w:val="000000"/>
          <w:szCs w:val="24"/>
          <w:vertAlign w:val="superscript"/>
        </w:rPr>
        <w:t>2</w:t>
      </w:r>
      <w:r w:rsidR="009F288C">
        <w:rPr>
          <w:rFonts w:eastAsia="Times New Roman" w:cs="Times New Roman"/>
          <w:color w:val="000000"/>
          <w:szCs w:val="24"/>
        </w:rPr>
        <w:t>~0</w:t>
      </w:r>
      <w:r w:rsidR="002A4406">
        <w:rPr>
          <w:rFonts w:eastAsia="Times New Roman" w:cs="Times New Roman"/>
          <w:color w:val="000000"/>
          <w:szCs w:val="24"/>
        </w:rPr>
        <w:t xml:space="preserve"> for a few stations</w:t>
      </w:r>
      <w:r w:rsidR="00AC4A96">
        <w:rPr>
          <w:rFonts w:eastAsia="Times New Roman" w:cs="Times New Roman"/>
          <w:color w:val="000000"/>
          <w:szCs w:val="24"/>
        </w:rPr>
        <w:t>)</w:t>
      </w:r>
      <w:r w:rsidR="000E6889" w:rsidRPr="000E6889">
        <w:rPr>
          <w:rFonts w:eastAsia="Times New Roman" w:cs="Times New Roman"/>
          <w:color w:val="000000"/>
          <w:szCs w:val="24"/>
        </w:rPr>
        <w:t xml:space="preserve">. This is likely </w:t>
      </w:r>
      <w:r w:rsidR="00776D17" w:rsidRPr="000E6889">
        <w:rPr>
          <w:rFonts w:eastAsia="Times New Roman" w:cs="Times New Roman"/>
          <w:color w:val="000000"/>
          <w:szCs w:val="24"/>
        </w:rPr>
        <w:t>because</w:t>
      </w:r>
      <w:r w:rsidR="000E6889" w:rsidRPr="000E6889">
        <w:rPr>
          <w:rFonts w:eastAsia="Times New Roman" w:cs="Times New Roman"/>
          <w:color w:val="000000"/>
          <w:szCs w:val="24"/>
        </w:rPr>
        <w:t xml:space="preserve"> summer is peak wildfire season and </w:t>
      </w:r>
      <w:r w:rsidR="00570DB0">
        <w:rPr>
          <w:rFonts w:eastAsia="Times New Roman" w:cs="Times New Roman"/>
          <w:color w:val="000000"/>
          <w:szCs w:val="24"/>
        </w:rPr>
        <w:t>characterizing the exact</w:t>
      </w:r>
      <w:r w:rsidR="00E64B55">
        <w:rPr>
          <w:rFonts w:eastAsia="Times New Roman" w:cs="Times New Roman"/>
          <w:color w:val="000000"/>
          <w:szCs w:val="24"/>
        </w:rPr>
        <w:t xml:space="preserve"> values of elevated AOD levels </w:t>
      </w:r>
      <w:r w:rsidR="00B329E1">
        <w:rPr>
          <w:rFonts w:eastAsia="Times New Roman" w:cs="Times New Roman"/>
          <w:color w:val="000000"/>
          <w:szCs w:val="24"/>
        </w:rPr>
        <w:t xml:space="preserve">(AOD&gt;0.3) </w:t>
      </w:r>
      <w:r w:rsidR="00E64B55">
        <w:rPr>
          <w:rFonts w:eastAsia="Times New Roman" w:cs="Times New Roman"/>
          <w:color w:val="000000"/>
          <w:szCs w:val="24"/>
        </w:rPr>
        <w:t xml:space="preserve">in smoke clouds is </w:t>
      </w:r>
      <w:r w:rsidR="00BE64E5">
        <w:rPr>
          <w:rFonts w:eastAsia="Times New Roman" w:cs="Times New Roman"/>
          <w:color w:val="000000"/>
          <w:szCs w:val="24"/>
        </w:rPr>
        <w:t xml:space="preserve">still </w:t>
      </w:r>
      <w:r w:rsidR="00E64B55">
        <w:rPr>
          <w:rFonts w:eastAsia="Times New Roman" w:cs="Times New Roman"/>
          <w:color w:val="000000"/>
          <w:szCs w:val="24"/>
        </w:rPr>
        <w:t>difficult for UNet 3+</w:t>
      </w:r>
      <w:r w:rsidR="000E6889" w:rsidRPr="000E6889">
        <w:rPr>
          <w:rFonts w:eastAsia="Times New Roman" w:cs="Times New Roman"/>
          <w:color w:val="000000"/>
          <w:szCs w:val="24"/>
        </w:rPr>
        <w:t>.</w:t>
      </w:r>
      <w:r w:rsidR="00AA0177">
        <w:rPr>
          <w:rFonts w:eastAsia="Times New Roman" w:cs="Times New Roman"/>
          <w:color w:val="000000"/>
          <w:szCs w:val="24"/>
        </w:rPr>
        <w:t xml:space="preserve"> </w:t>
      </w:r>
      <w:r w:rsidR="008228CE">
        <w:rPr>
          <w:rFonts w:eastAsia="Times New Roman" w:cs="Times New Roman"/>
          <w:color w:val="000000"/>
          <w:szCs w:val="24"/>
        </w:rPr>
        <w:t xml:space="preserve">DB also struggles with this region in the summer, with </w:t>
      </w:r>
      <w:r w:rsidR="009C4E2C">
        <w:rPr>
          <w:rFonts w:eastAsia="Times New Roman" w:cs="Times New Roman"/>
          <w:color w:val="000000"/>
          <w:szCs w:val="24"/>
        </w:rPr>
        <w:t>all AERONET stations in this area having an RMSE&gt;</w:t>
      </w:r>
      <w:r w:rsidR="00C97080">
        <w:rPr>
          <w:rFonts w:eastAsia="Times New Roman" w:cs="Times New Roman"/>
          <w:color w:val="000000"/>
          <w:szCs w:val="24"/>
        </w:rPr>
        <w:t>0.1</w:t>
      </w:r>
      <w:r w:rsidR="0071762E">
        <w:rPr>
          <w:rFonts w:eastAsia="Times New Roman" w:cs="Times New Roman"/>
          <w:color w:val="000000"/>
          <w:szCs w:val="24"/>
        </w:rPr>
        <w:t>.</w:t>
      </w:r>
      <w:r w:rsidR="00316209">
        <w:rPr>
          <w:rFonts w:eastAsia="Times New Roman" w:cs="Times New Roman"/>
          <w:color w:val="000000"/>
          <w:szCs w:val="24"/>
        </w:rPr>
        <w:t xml:space="preserve"> </w:t>
      </w:r>
      <w:r w:rsidR="004D509D">
        <w:rPr>
          <w:rFonts w:eastAsia="Times New Roman" w:cs="Times New Roman"/>
          <w:color w:val="000000"/>
          <w:szCs w:val="24"/>
        </w:rPr>
        <w:t xml:space="preserve">Compared to </w:t>
      </w:r>
      <w:r w:rsidR="00743570">
        <w:rPr>
          <w:rFonts w:eastAsia="Times New Roman" w:cs="Times New Roman"/>
          <w:color w:val="000000"/>
          <w:szCs w:val="24"/>
        </w:rPr>
        <w:t xml:space="preserve">winter and spring, RMSE’s become higher in more areas due to the increased dynamic range of AOD during this season. </w:t>
      </w:r>
      <w:r w:rsidR="00314812">
        <w:rPr>
          <w:rFonts w:eastAsia="Times New Roman" w:cs="Times New Roman"/>
          <w:color w:val="000000"/>
          <w:szCs w:val="24"/>
        </w:rPr>
        <w:t xml:space="preserve">This is apparent in California, Colorado, the Midwest, and </w:t>
      </w:r>
      <w:r w:rsidR="00200F3C">
        <w:rPr>
          <w:rFonts w:eastAsia="Times New Roman" w:cs="Times New Roman"/>
          <w:color w:val="000000"/>
          <w:szCs w:val="24"/>
        </w:rPr>
        <w:t xml:space="preserve">parts of the </w:t>
      </w:r>
      <w:r w:rsidR="00647857">
        <w:rPr>
          <w:rFonts w:eastAsia="Times New Roman" w:cs="Times New Roman"/>
          <w:color w:val="000000"/>
          <w:szCs w:val="24"/>
        </w:rPr>
        <w:t>U.S. east coast.</w:t>
      </w:r>
      <w:r w:rsidR="00BB5248">
        <w:rPr>
          <w:rFonts w:eastAsia="Times New Roman" w:cs="Times New Roman"/>
          <w:color w:val="000000"/>
          <w:szCs w:val="24"/>
        </w:rPr>
        <w:t xml:space="preserve"> </w:t>
      </w:r>
      <w:r w:rsidR="009B6E74">
        <w:rPr>
          <w:rFonts w:eastAsia="Times New Roman" w:cs="Times New Roman"/>
          <w:color w:val="000000"/>
          <w:szCs w:val="24"/>
        </w:rPr>
        <w:t xml:space="preserve">UNet 3+ </w:t>
      </w:r>
      <w:r w:rsidR="009B6E74">
        <w:rPr>
          <w:rFonts w:eastAsia="Times New Roman" w:cs="Times New Roman"/>
          <w:color w:val="000000"/>
          <w:szCs w:val="24"/>
        </w:rPr>
        <w:lastRenderedPageBreak/>
        <w:t xml:space="preserve">estimates are </w:t>
      </w:r>
      <w:r w:rsidR="00954512">
        <w:rPr>
          <w:rFonts w:eastAsia="Times New Roman" w:cs="Times New Roman"/>
          <w:color w:val="000000"/>
          <w:szCs w:val="24"/>
        </w:rPr>
        <w:t xml:space="preserve">also now more correlated with AERONET retrievals, with </w:t>
      </w:r>
      <w:r w:rsidR="009A673C">
        <w:rPr>
          <w:rFonts w:eastAsia="Times New Roman" w:cs="Times New Roman"/>
          <w:color w:val="000000"/>
          <w:szCs w:val="24"/>
        </w:rPr>
        <w:t xml:space="preserve">all stations having a correlation of at least </w:t>
      </w:r>
      <w:r w:rsidR="00B329E1">
        <w:rPr>
          <w:rFonts w:eastAsia="Times New Roman" w:cs="Times New Roman"/>
          <w:color w:val="000000"/>
          <w:szCs w:val="24"/>
        </w:rPr>
        <w:t>r~</w:t>
      </w:r>
      <w:r w:rsidR="009A673C">
        <w:rPr>
          <w:rFonts w:eastAsia="Times New Roman" w:cs="Times New Roman"/>
          <w:color w:val="000000"/>
          <w:szCs w:val="24"/>
        </w:rPr>
        <w:t>0.</w:t>
      </w:r>
      <w:r w:rsidR="006C1746">
        <w:rPr>
          <w:rFonts w:eastAsia="Times New Roman" w:cs="Times New Roman"/>
          <w:color w:val="000000"/>
          <w:szCs w:val="24"/>
        </w:rPr>
        <w:t xml:space="preserve">55. </w:t>
      </w:r>
      <w:r w:rsidR="00C124E9">
        <w:rPr>
          <w:rFonts w:eastAsia="Times New Roman" w:cs="Times New Roman"/>
          <w:color w:val="000000"/>
          <w:szCs w:val="24"/>
        </w:rPr>
        <w:t>However, the R</w:t>
      </w:r>
      <w:r w:rsidR="00C124E9">
        <w:rPr>
          <w:rFonts w:eastAsia="Times New Roman" w:cs="Times New Roman"/>
          <w:color w:val="000000"/>
          <w:szCs w:val="24"/>
          <w:vertAlign w:val="superscript"/>
        </w:rPr>
        <w:t>2</w:t>
      </w:r>
      <w:r w:rsidR="00C124E9">
        <w:rPr>
          <w:rFonts w:eastAsia="Times New Roman" w:cs="Times New Roman"/>
          <w:color w:val="000000"/>
          <w:szCs w:val="24"/>
        </w:rPr>
        <w:t xml:space="preserve"> map </w:t>
      </w:r>
      <w:r w:rsidR="00782EEE">
        <w:rPr>
          <w:rFonts w:eastAsia="Times New Roman" w:cs="Times New Roman"/>
          <w:color w:val="000000"/>
          <w:szCs w:val="24"/>
        </w:rPr>
        <w:t xml:space="preserve">for UNet 3+ </w:t>
      </w:r>
      <w:r w:rsidR="00C124E9">
        <w:rPr>
          <w:rFonts w:eastAsia="Times New Roman" w:cs="Times New Roman"/>
          <w:color w:val="000000"/>
          <w:szCs w:val="24"/>
        </w:rPr>
        <w:t>reveals a select number of stations</w:t>
      </w:r>
      <w:r w:rsidR="00D72225">
        <w:rPr>
          <w:rFonts w:eastAsia="Times New Roman" w:cs="Times New Roman"/>
          <w:color w:val="000000"/>
          <w:szCs w:val="24"/>
        </w:rPr>
        <w:t xml:space="preserve"> in California, Montana, Colorado, </w:t>
      </w:r>
      <w:r w:rsidR="007E40F1">
        <w:rPr>
          <w:rFonts w:eastAsia="Times New Roman" w:cs="Times New Roman"/>
          <w:color w:val="000000"/>
          <w:szCs w:val="24"/>
        </w:rPr>
        <w:t>Alabama, Florida, and Virginia</w:t>
      </w:r>
      <w:r w:rsidR="00C124E9">
        <w:rPr>
          <w:rFonts w:eastAsia="Times New Roman" w:cs="Times New Roman"/>
          <w:color w:val="000000"/>
          <w:szCs w:val="24"/>
        </w:rPr>
        <w:t xml:space="preserve"> </w:t>
      </w:r>
      <w:r w:rsidR="00851FAB">
        <w:rPr>
          <w:rFonts w:eastAsia="Times New Roman" w:cs="Times New Roman"/>
          <w:color w:val="000000"/>
          <w:szCs w:val="24"/>
        </w:rPr>
        <w:t>with negative R</w:t>
      </w:r>
      <w:r w:rsidR="00851FAB">
        <w:rPr>
          <w:rFonts w:eastAsia="Times New Roman" w:cs="Times New Roman"/>
          <w:color w:val="000000"/>
          <w:szCs w:val="24"/>
          <w:vertAlign w:val="superscript"/>
        </w:rPr>
        <w:t>2</w:t>
      </w:r>
      <w:r w:rsidR="00851FAB">
        <w:rPr>
          <w:rFonts w:eastAsia="Times New Roman" w:cs="Times New Roman"/>
          <w:color w:val="000000"/>
          <w:szCs w:val="24"/>
        </w:rPr>
        <w:t xml:space="preserve">, </w:t>
      </w:r>
      <w:r w:rsidR="00AB132E">
        <w:rPr>
          <w:rFonts w:eastAsia="Times New Roman" w:cs="Times New Roman"/>
          <w:color w:val="000000"/>
          <w:szCs w:val="24"/>
        </w:rPr>
        <w:t>which implies</w:t>
      </w:r>
      <w:r w:rsidR="00782EEE">
        <w:rPr>
          <w:rFonts w:eastAsia="Times New Roman" w:cs="Times New Roman"/>
          <w:color w:val="000000"/>
          <w:szCs w:val="24"/>
        </w:rPr>
        <w:t xml:space="preserve"> biased estimates over those areas. </w:t>
      </w:r>
      <w:r w:rsidR="00A36247">
        <w:rPr>
          <w:rFonts w:eastAsia="Times New Roman" w:cs="Times New Roman"/>
          <w:color w:val="000000"/>
          <w:szCs w:val="24"/>
        </w:rPr>
        <w:t xml:space="preserve">Most of these </w:t>
      </w:r>
      <w:r w:rsidR="00AB132E">
        <w:rPr>
          <w:rFonts w:eastAsia="Times New Roman" w:cs="Times New Roman"/>
          <w:color w:val="000000"/>
          <w:szCs w:val="24"/>
        </w:rPr>
        <w:t xml:space="preserve">stations also suffer from negative </w:t>
      </w:r>
      <w:r w:rsidR="00A36247">
        <w:rPr>
          <w:rFonts w:eastAsia="Times New Roman" w:cs="Times New Roman"/>
          <w:color w:val="000000"/>
          <w:szCs w:val="24"/>
        </w:rPr>
        <w:t>R</w:t>
      </w:r>
      <w:r w:rsidR="00A36247">
        <w:rPr>
          <w:rFonts w:eastAsia="Times New Roman" w:cs="Times New Roman"/>
          <w:color w:val="000000"/>
          <w:szCs w:val="24"/>
          <w:vertAlign w:val="superscript"/>
        </w:rPr>
        <w:t>2</w:t>
      </w:r>
      <w:r w:rsidR="00A36247">
        <w:rPr>
          <w:rFonts w:eastAsia="Times New Roman" w:cs="Times New Roman"/>
          <w:color w:val="000000"/>
          <w:szCs w:val="24"/>
        </w:rPr>
        <w:t xml:space="preserve"> values with DB, suggesting that </w:t>
      </w:r>
      <w:r w:rsidR="00ED55C7">
        <w:rPr>
          <w:rFonts w:eastAsia="Times New Roman" w:cs="Times New Roman"/>
          <w:color w:val="000000"/>
          <w:szCs w:val="24"/>
        </w:rPr>
        <w:t>these biases are learned from training against DB retrievals.</w:t>
      </w:r>
      <w:r w:rsidR="000E6889" w:rsidRPr="000E6889">
        <w:rPr>
          <w:rFonts w:eastAsia="Times New Roman" w:cs="Times New Roman"/>
          <w:szCs w:val="24"/>
        </w:rPr>
        <w:br/>
      </w:r>
    </w:p>
    <w:p w14:paraId="34303834" w14:textId="77777777" w:rsidR="002A7260" w:rsidRDefault="000E6889" w:rsidP="001904F0">
      <w:pPr>
        <w:keepNext/>
        <w:spacing w:after="0"/>
      </w:pPr>
      <w:r w:rsidRPr="000E6889">
        <w:rPr>
          <w:rFonts w:eastAsia="Times New Roman" w:cs="Times New Roman"/>
          <w:noProof/>
          <w:color w:val="000000"/>
          <w:szCs w:val="24"/>
          <w:bdr w:val="none" w:sz="0" w:space="0" w:color="auto" w:frame="1"/>
        </w:rPr>
        <w:drawing>
          <wp:inline distT="0" distB="0" distL="0" distR="0" wp14:anchorId="32AC7B3F" wp14:editId="29E941F7">
            <wp:extent cx="5943600" cy="5332095"/>
            <wp:effectExtent l="0" t="0" r="0" b="1905"/>
            <wp:docPr id="1846688486" name="Picture 12" descr="A map of the united stat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6688486" name="Picture 12" descr="A map of the united states&#10;&#10;Description automatically generated"/>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943600" cy="5332095"/>
                    </a:xfrm>
                    <a:prstGeom prst="rect">
                      <a:avLst/>
                    </a:prstGeom>
                    <a:noFill/>
                    <a:ln>
                      <a:noFill/>
                    </a:ln>
                  </pic:spPr>
                </pic:pic>
              </a:graphicData>
            </a:graphic>
          </wp:inline>
        </w:drawing>
      </w:r>
    </w:p>
    <w:p w14:paraId="38E8E462" w14:textId="0F6A6B6A" w:rsidR="002A7260" w:rsidRDefault="002A7260" w:rsidP="00D52313">
      <w:pPr>
        <w:pStyle w:val="Caption"/>
      </w:pPr>
      <w:bookmarkStart w:id="98" w:name="_Ref158811024"/>
      <w:bookmarkStart w:id="99" w:name="_Toc159825980"/>
      <w:r>
        <w:t xml:space="preserve">Figure </w:t>
      </w:r>
      <w:r>
        <w:fldChar w:fldCharType="begin"/>
      </w:r>
      <w:r>
        <w:instrText xml:space="preserve"> SEQ Figure \* ARABIC </w:instrText>
      </w:r>
      <w:r>
        <w:fldChar w:fldCharType="separate"/>
      </w:r>
      <w:r w:rsidR="00C54A78">
        <w:rPr>
          <w:noProof/>
        </w:rPr>
        <w:t>18</w:t>
      </w:r>
      <w:r>
        <w:rPr>
          <w:noProof/>
        </w:rPr>
        <w:fldChar w:fldCharType="end"/>
      </w:r>
      <w:bookmarkEnd w:id="98"/>
      <w:r>
        <w:t xml:space="preserve">: </w:t>
      </w:r>
      <w:r w:rsidR="003865D6">
        <w:t>Spatial statistical evaluation over summer (JJA) of UNet 3+ and DB AOD against AERONET stations throughout CONUS with at least 200 collocated</w:t>
      </w:r>
      <w:r w:rsidR="003865D6">
        <w:rPr>
          <w:noProof/>
        </w:rPr>
        <w:t xml:space="preserve"> observations.</w:t>
      </w:r>
      <w:bookmarkEnd w:id="99"/>
    </w:p>
    <w:p w14:paraId="77AE6B5C" w14:textId="2460C1B2" w:rsidR="00F6112A" w:rsidRPr="00F6112A" w:rsidRDefault="00F6112A" w:rsidP="001904F0">
      <w:r>
        <w:lastRenderedPageBreak/>
        <w:tab/>
      </w:r>
      <w:r w:rsidR="001C0F12">
        <w:t>Model</w:t>
      </w:r>
      <w:r w:rsidR="001F57B9">
        <w:t xml:space="preserve"> performance in the fall </w:t>
      </w:r>
      <w:r w:rsidR="008E016D">
        <w:t xml:space="preserve">(Figure 19) seems </w:t>
      </w:r>
      <w:r w:rsidR="0081584E">
        <w:t xml:space="preserve">to be better than in the summer, particularly for the </w:t>
      </w:r>
      <w:r w:rsidR="004B5954">
        <w:t xml:space="preserve">eastern U.S. which sees RMSEs drop </w:t>
      </w:r>
      <w:r w:rsidR="007223C3">
        <w:t xml:space="preserve">and rs rise. </w:t>
      </w:r>
      <w:r w:rsidR="0055592B">
        <w:t xml:space="preserve">The Pacific Northwest, California, and Florida </w:t>
      </w:r>
      <w:r w:rsidR="003865D6">
        <w:t>remain</w:t>
      </w:r>
      <w:r w:rsidR="001C0F12">
        <w:t xml:space="preserve"> challenging locations for the model.</w:t>
      </w:r>
    </w:p>
    <w:p w14:paraId="593F6C1A" w14:textId="77777777" w:rsidR="00F23561" w:rsidRDefault="000E6889" w:rsidP="001904F0">
      <w:pPr>
        <w:keepNext/>
        <w:spacing w:after="0"/>
      </w:pPr>
      <w:r w:rsidRPr="000E6889">
        <w:rPr>
          <w:rFonts w:eastAsia="Times New Roman" w:cs="Times New Roman"/>
          <w:noProof/>
          <w:color w:val="000000"/>
          <w:szCs w:val="24"/>
          <w:bdr w:val="none" w:sz="0" w:space="0" w:color="auto" w:frame="1"/>
        </w:rPr>
        <w:drawing>
          <wp:inline distT="0" distB="0" distL="0" distR="0" wp14:anchorId="1E00EEF0" wp14:editId="79BB84F9">
            <wp:extent cx="5943600" cy="5332095"/>
            <wp:effectExtent l="0" t="0" r="0" b="1905"/>
            <wp:docPr id="297359910" name="Picture 11" descr="A map of the united stat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7359910" name="Picture 11" descr="A map of the united states&#10;&#10;Description automatically generated"/>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943600" cy="5332095"/>
                    </a:xfrm>
                    <a:prstGeom prst="rect">
                      <a:avLst/>
                    </a:prstGeom>
                    <a:noFill/>
                    <a:ln>
                      <a:noFill/>
                    </a:ln>
                  </pic:spPr>
                </pic:pic>
              </a:graphicData>
            </a:graphic>
          </wp:inline>
        </w:drawing>
      </w:r>
    </w:p>
    <w:p w14:paraId="4BEE8293" w14:textId="6330D21A" w:rsidR="00E71185" w:rsidRDefault="00F23561" w:rsidP="001904F0">
      <w:pPr>
        <w:keepNext/>
        <w:spacing w:after="0"/>
        <w:ind w:firstLine="720"/>
      </w:pPr>
      <w:bookmarkStart w:id="100" w:name="_Ref158811025"/>
      <w:bookmarkStart w:id="101" w:name="_Toc159825981"/>
      <w:r>
        <w:t xml:space="preserve">Figure </w:t>
      </w:r>
      <w:r>
        <w:fldChar w:fldCharType="begin"/>
      </w:r>
      <w:r>
        <w:instrText xml:space="preserve"> SEQ Figure \* ARABIC </w:instrText>
      </w:r>
      <w:r>
        <w:fldChar w:fldCharType="separate"/>
      </w:r>
      <w:r w:rsidR="00C54A78">
        <w:rPr>
          <w:noProof/>
        </w:rPr>
        <w:t>19</w:t>
      </w:r>
      <w:r>
        <w:rPr>
          <w:noProof/>
        </w:rPr>
        <w:fldChar w:fldCharType="end"/>
      </w:r>
      <w:bookmarkEnd w:id="100"/>
      <w:r>
        <w:t xml:space="preserve">: </w:t>
      </w:r>
      <w:r w:rsidR="003865D6">
        <w:t>Spatial statistical evaluation over fall (SON) of UNet 3+ and DB AOD against AERONET stations throughout CONUS with at least 200 collocated</w:t>
      </w:r>
      <w:r w:rsidR="003865D6">
        <w:rPr>
          <w:noProof/>
        </w:rPr>
        <w:t xml:space="preserve"> observations</w:t>
      </w:r>
      <w:r w:rsidR="0071762E">
        <w:t>.</w:t>
      </w:r>
      <w:bookmarkEnd w:id="101"/>
      <w:r w:rsidR="003865D6">
        <w:rPr>
          <w:rFonts w:eastAsia="Times New Roman" w:cs="Times New Roman"/>
          <w:color w:val="000000"/>
          <w:szCs w:val="24"/>
        </w:rPr>
        <w:t xml:space="preserve">Figure 20 </w:t>
      </w:r>
      <w:r w:rsidR="000E6889" w:rsidRPr="000E6889">
        <w:rPr>
          <w:rFonts w:eastAsia="Times New Roman" w:cs="Times New Roman"/>
          <w:color w:val="000000"/>
          <w:szCs w:val="24"/>
        </w:rPr>
        <w:t>shows residual</w:t>
      </w:r>
      <w:r w:rsidR="0071762E">
        <w:rPr>
          <w:rFonts w:eastAsia="Times New Roman" w:cs="Times New Roman"/>
          <w:color w:val="000000"/>
          <w:szCs w:val="24"/>
        </w:rPr>
        <w:t>s</w:t>
      </w:r>
      <w:r w:rsidR="000E6889" w:rsidRPr="000E6889">
        <w:rPr>
          <w:rFonts w:eastAsia="Times New Roman" w:cs="Times New Roman"/>
          <w:color w:val="000000"/>
          <w:szCs w:val="24"/>
        </w:rPr>
        <w:t xml:space="preserve"> as a function of AERONET AOD values</w:t>
      </w:r>
      <w:r w:rsidR="00221746">
        <w:rPr>
          <w:rFonts w:eastAsia="Times New Roman" w:cs="Times New Roman"/>
          <w:color w:val="000000"/>
          <w:szCs w:val="24"/>
        </w:rPr>
        <w:t xml:space="preserve"> (</w:t>
      </w:r>
      <w:r w:rsidR="00221746" w:rsidRPr="000E6889">
        <w:rPr>
          <w:rFonts w:eastAsia="Times New Roman" w:cs="Times New Roman"/>
          <w:color w:val="000000"/>
          <w:szCs w:val="24"/>
        </w:rPr>
        <w:t>AOD</w:t>
      </w:r>
      <w:r w:rsidR="00221746" w:rsidRPr="005C5245">
        <w:rPr>
          <w:rFonts w:eastAsia="Times New Roman" w:cs="Times New Roman"/>
          <w:color w:val="000000"/>
          <w:szCs w:val="24"/>
          <w:vertAlign w:val="subscript"/>
        </w:rPr>
        <w:t>UNet 3+</w:t>
      </w:r>
      <w:r w:rsidR="00221746" w:rsidRPr="000E6889">
        <w:rPr>
          <w:rFonts w:eastAsia="Times New Roman" w:cs="Times New Roman"/>
          <w:color w:val="000000"/>
          <w:szCs w:val="24"/>
        </w:rPr>
        <w:t xml:space="preserve"> - AOD</w:t>
      </w:r>
      <w:r w:rsidR="00221746" w:rsidRPr="005C5245">
        <w:rPr>
          <w:rFonts w:eastAsia="Times New Roman" w:cs="Times New Roman"/>
          <w:color w:val="000000"/>
          <w:szCs w:val="24"/>
          <w:vertAlign w:val="subscript"/>
        </w:rPr>
        <w:t>AERONET</w:t>
      </w:r>
      <w:r w:rsidR="00221746">
        <w:rPr>
          <w:rFonts w:eastAsia="Times New Roman" w:cs="Times New Roman"/>
          <w:color w:val="000000"/>
          <w:szCs w:val="24"/>
        </w:rPr>
        <w:t>)</w:t>
      </w:r>
      <w:r w:rsidR="000E6889" w:rsidRPr="000E6889">
        <w:rPr>
          <w:rFonts w:eastAsia="Times New Roman" w:cs="Times New Roman"/>
          <w:color w:val="000000"/>
          <w:szCs w:val="24"/>
        </w:rPr>
        <w:t xml:space="preserve">, with the blue line showing the mean residual and red area denoting </w:t>
      </w:r>
      <w:r w:rsidR="001D6163">
        <w:rPr>
          <w:rFonts w:eastAsia="Times New Roman" w:cs="Times New Roman"/>
          <w:color w:val="000000"/>
          <w:szCs w:val="24"/>
        </w:rPr>
        <w:t>±</w:t>
      </w:r>
      <w:r w:rsidR="000E6889" w:rsidRPr="000E6889">
        <w:rPr>
          <w:rFonts w:eastAsia="Times New Roman" w:cs="Times New Roman"/>
          <w:color w:val="000000"/>
          <w:szCs w:val="24"/>
        </w:rPr>
        <w:t>1 standard deviation, i.e. 68.2</w:t>
      </w:r>
      <w:r w:rsidR="00C77302">
        <w:rPr>
          <w:rFonts w:eastAsia="Times New Roman" w:cs="Times New Roman"/>
          <w:color w:val="000000"/>
          <w:szCs w:val="24"/>
        </w:rPr>
        <w:t xml:space="preserve">. </w:t>
      </w:r>
      <w:r w:rsidR="0022129C">
        <w:rPr>
          <w:rFonts w:eastAsia="Times New Roman" w:cs="Times New Roman"/>
          <w:color w:val="000000"/>
          <w:szCs w:val="24"/>
        </w:rPr>
        <w:t>F</w:t>
      </w:r>
      <w:r w:rsidR="00172643">
        <w:rPr>
          <w:rFonts w:eastAsia="Times New Roman" w:cs="Times New Roman"/>
          <w:color w:val="000000"/>
          <w:szCs w:val="24"/>
        </w:rPr>
        <w:t>or low</w:t>
      </w:r>
      <w:r w:rsidR="000556E3">
        <w:rPr>
          <w:rFonts w:eastAsia="Times New Roman" w:cs="Times New Roman"/>
          <w:color w:val="000000"/>
          <w:szCs w:val="24"/>
        </w:rPr>
        <w:t>-medium (</w:t>
      </w:r>
      <w:r w:rsidR="001108E7">
        <w:rPr>
          <w:rFonts w:eastAsia="Times New Roman" w:cs="Times New Roman"/>
          <w:color w:val="000000"/>
          <w:szCs w:val="24"/>
        </w:rPr>
        <w:t>0.1&lt;AOD</w:t>
      </w:r>
      <w:r w:rsidR="000556E3">
        <w:rPr>
          <w:rFonts w:eastAsia="Times New Roman" w:cs="Times New Roman"/>
          <w:color w:val="000000"/>
          <w:szCs w:val="24"/>
        </w:rPr>
        <w:t xml:space="preserve">&lt;0.3) AOD </w:t>
      </w:r>
      <w:r w:rsidR="00CB27A8">
        <w:rPr>
          <w:rFonts w:eastAsia="Times New Roman" w:cs="Times New Roman"/>
          <w:color w:val="000000"/>
          <w:szCs w:val="24"/>
        </w:rPr>
        <w:t>events</w:t>
      </w:r>
      <w:r w:rsidR="000556E3">
        <w:rPr>
          <w:rFonts w:eastAsia="Times New Roman" w:cs="Times New Roman"/>
          <w:color w:val="000000"/>
          <w:szCs w:val="24"/>
        </w:rPr>
        <w:t>,</w:t>
      </w:r>
      <w:r w:rsidR="00CB27A8">
        <w:rPr>
          <w:rFonts w:eastAsia="Times New Roman" w:cs="Times New Roman"/>
          <w:color w:val="000000"/>
          <w:szCs w:val="24"/>
        </w:rPr>
        <w:t xml:space="preserve"> UNet 3+ </w:t>
      </w:r>
      <w:r w:rsidR="00172643">
        <w:rPr>
          <w:rFonts w:eastAsia="Times New Roman" w:cs="Times New Roman"/>
          <w:color w:val="000000"/>
          <w:szCs w:val="24"/>
        </w:rPr>
        <w:t>has</w:t>
      </w:r>
      <w:r w:rsidR="001108E7">
        <w:rPr>
          <w:rFonts w:eastAsia="Times New Roman" w:cs="Times New Roman"/>
          <w:color w:val="000000"/>
          <w:szCs w:val="24"/>
        </w:rPr>
        <w:t xml:space="preserve"> a</w:t>
      </w:r>
      <w:r w:rsidR="00CB27A8">
        <w:rPr>
          <w:rFonts w:eastAsia="Times New Roman" w:cs="Times New Roman"/>
          <w:color w:val="000000"/>
          <w:szCs w:val="24"/>
        </w:rPr>
        <w:t xml:space="preserve"> </w:t>
      </w:r>
      <w:r w:rsidR="00172643">
        <w:rPr>
          <w:rFonts w:eastAsia="Times New Roman" w:cs="Times New Roman"/>
          <w:color w:val="000000"/>
          <w:szCs w:val="24"/>
        </w:rPr>
        <w:t>low bias (</w:t>
      </w:r>
      <w:r w:rsidR="00132F19">
        <w:rPr>
          <w:rFonts w:eastAsia="Times New Roman" w:cs="Times New Roman"/>
          <w:color w:val="000000"/>
          <w:szCs w:val="24"/>
        </w:rPr>
        <w:t>&lt;0.2</w:t>
      </w:r>
      <w:r w:rsidR="009F71A6">
        <w:rPr>
          <w:rFonts w:eastAsia="Times New Roman" w:cs="Times New Roman"/>
          <w:color w:val="000000"/>
          <w:szCs w:val="24"/>
        </w:rPr>
        <w:t xml:space="preserve"> at 550 nm</w:t>
      </w:r>
      <w:r w:rsidR="00172643">
        <w:rPr>
          <w:rFonts w:eastAsia="Times New Roman" w:cs="Times New Roman"/>
          <w:color w:val="000000"/>
          <w:szCs w:val="24"/>
        </w:rPr>
        <w:t>)</w:t>
      </w:r>
      <w:r w:rsidR="002D3F29">
        <w:rPr>
          <w:rFonts w:eastAsia="Times New Roman" w:cs="Times New Roman"/>
          <w:color w:val="000000"/>
          <w:szCs w:val="24"/>
        </w:rPr>
        <w:t xml:space="preserve">. However, </w:t>
      </w:r>
      <w:r w:rsidR="002D3F29">
        <w:rPr>
          <w:rFonts w:eastAsia="Times New Roman" w:cs="Times New Roman"/>
          <w:color w:val="000000"/>
          <w:szCs w:val="24"/>
        </w:rPr>
        <w:lastRenderedPageBreak/>
        <w:t xml:space="preserve">for higher AOD </w:t>
      </w:r>
      <w:r w:rsidR="00132F19">
        <w:rPr>
          <w:rFonts w:eastAsia="Times New Roman" w:cs="Times New Roman"/>
          <w:color w:val="000000"/>
          <w:szCs w:val="24"/>
        </w:rPr>
        <w:t xml:space="preserve">loadings (AOD &gt;0.3) </w:t>
      </w:r>
      <w:r w:rsidR="00381BCD">
        <w:rPr>
          <w:rFonts w:eastAsia="Times New Roman" w:cs="Times New Roman"/>
          <w:color w:val="000000"/>
          <w:szCs w:val="24"/>
        </w:rPr>
        <w:t xml:space="preserve">both the uncertainty and bias grows </w:t>
      </w:r>
      <w:r w:rsidR="0071762E">
        <w:rPr>
          <w:rFonts w:eastAsia="Times New Roman" w:cs="Times New Roman"/>
          <w:color w:val="000000"/>
          <w:szCs w:val="24"/>
        </w:rPr>
        <w:t>si</w:t>
      </w:r>
      <w:r w:rsidR="00381BCD">
        <w:rPr>
          <w:rFonts w:eastAsia="Times New Roman" w:cs="Times New Roman"/>
          <w:color w:val="000000"/>
          <w:szCs w:val="24"/>
        </w:rPr>
        <w:t>gnificantly</w:t>
      </w:r>
      <w:r w:rsidR="00132F19">
        <w:rPr>
          <w:rFonts w:eastAsia="Times New Roman" w:cs="Times New Roman"/>
          <w:color w:val="000000"/>
          <w:szCs w:val="24"/>
        </w:rPr>
        <w:t xml:space="preserve"> (</w:t>
      </w:r>
      <w:r w:rsidR="009F71A6">
        <w:rPr>
          <w:rFonts w:eastAsia="Times New Roman" w:cs="Times New Roman"/>
          <w:color w:val="000000"/>
          <w:szCs w:val="24"/>
        </w:rPr>
        <w:t>&gt; 1.5 at 550 nm</w:t>
      </w:r>
      <w:r w:rsidR="00132F19">
        <w:rPr>
          <w:rFonts w:eastAsia="Times New Roman" w:cs="Times New Roman"/>
          <w:color w:val="000000"/>
          <w:szCs w:val="24"/>
        </w:rPr>
        <w:t>)</w:t>
      </w:r>
      <w:r w:rsidR="00381BCD">
        <w:rPr>
          <w:rFonts w:eastAsia="Times New Roman" w:cs="Times New Roman"/>
          <w:color w:val="000000"/>
          <w:szCs w:val="24"/>
        </w:rPr>
        <w:t>.</w:t>
      </w:r>
      <w:r w:rsidR="00C5718E">
        <w:rPr>
          <w:rFonts w:eastAsia="Times New Roman" w:cs="Times New Roman"/>
          <w:noProof/>
          <w:color w:val="000000"/>
          <w:szCs w:val="24"/>
          <w:bdr w:val="none" w:sz="0" w:space="0" w:color="auto" w:frame="1"/>
        </w:rPr>
        <w:t>x</w:t>
      </w:r>
      <w:r w:rsidR="000E6889" w:rsidRPr="000E6889">
        <w:rPr>
          <w:rFonts w:eastAsia="Times New Roman" w:cs="Times New Roman"/>
          <w:noProof/>
          <w:color w:val="000000"/>
          <w:szCs w:val="24"/>
          <w:bdr w:val="none" w:sz="0" w:space="0" w:color="auto" w:frame="1"/>
        </w:rPr>
        <w:drawing>
          <wp:inline distT="0" distB="0" distL="0" distR="0" wp14:anchorId="24DB38DE" wp14:editId="550E1D1D">
            <wp:extent cx="5685155" cy="4452620"/>
            <wp:effectExtent l="0" t="0" r="0" b="5080"/>
            <wp:docPr id="2023479482" name="Picture 10" descr="A graph with a line and a blue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3479482" name="Picture 10" descr="A graph with a line and a blue line&#10;&#10;Description automatically generated"/>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685155" cy="4452620"/>
                    </a:xfrm>
                    <a:prstGeom prst="rect">
                      <a:avLst/>
                    </a:prstGeom>
                    <a:noFill/>
                    <a:ln>
                      <a:noFill/>
                    </a:ln>
                  </pic:spPr>
                </pic:pic>
              </a:graphicData>
            </a:graphic>
          </wp:inline>
        </w:drawing>
      </w:r>
    </w:p>
    <w:p w14:paraId="7E604441" w14:textId="71D733F2" w:rsidR="000E6889" w:rsidRPr="000E6889" w:rsidRDefault="00E71185" w:rsidP="00D52313">
      <w:pPr>
        <w:pStyle w:val="Caption"/>
        <w:rPr>
          <w:rFonts w:eastAsia="Times New Roman" w:cs="Times New Roman"/>
        </w:rPr>
      </w:pPr>
      <w:bookmarkStart w:id="102" w:name="_Ref158814577"/>
      <w:bookmarkStart w:id="103" w:name="_Toc159825982"/>
      <w:r>
        <w:t xml:space="preserve">Figure </w:t>
      </w:r>
      <w:r>
        <w:fldChar w:fldCharType="begin"/>
      </w:r>
      <w:r>
        <w:instrText xml:space="preserve"> SEQ Figure \* ARABIC </w:instrText>
      </w:r>
      <w:r>
        <w:fldChar w:fldCharType="separate"/>
      </w:r>
      <w:r w:rsidR="00C54A78">
        <w:rPr>
          <w:noProof/>
        </w:rPr>
        <w:t>20</w:t>
      </w:r>
      <w:r>
        <w:rPr>
          <w:noProof/>
        </w:rPr>
        <w:fldChar w:fldCharType="end"/>
      </w:r>
      <w:bookmarkEnd w:id="102"/>
      <w:r>
        <w:t xml:space="preserve">: Residuals of UNet 3+ AOD against AERONET AOD. Blue denotes the </w:t>
      </w:r>
      <w:r w:rsidR="001108E7">
        <w:t>average residual</w:t>
      </w:r>
      <w:r>
        <w:t xml:space="preserve"> and red denotes </w:t>
      </w:r>
      <w:r w:rsidR="00CE4E34">
        <w:t>one standard deviation</w:t>
      </w:r>
      <w:r>
        <w:t>.</w:t>
      </w:r>
      <w:bookmarkEnd w:id="103"/>
    </w:p>
    <w:p w14:paraId="4E2777F6" w14:textId="13D5D32F" w:rsidR="000E6889" w:rsidRPr="000E6889" w:rsidRDefault="00E807BC" w:rsidP="001904F0">
      <w:pPr>
        <w:spacing w:after="0"/>
        <w:ind w:firstLine="720"/>
        <w:rPr>
          <w:rFonts w:eastAsia="Times New Roman" w:cs="Times New Roman"/>
          <w:szCs w:val="24"/>
        </w:rPr>
      </w:pPr>
      <w:r>
        <w:rPr>
          <w:rFonts w:eastAsia="Times New Roman" w:cs="Times New Roman"/>
          <w:color w:val="000000"/>
          <w:szCs w:val="24"/>
        </w:rPr>
        <w:t>Figure 2</w:t>
      </w:r>
      <w:r w:rsidR="00CE4E34">
        <w:rPr>
          <w:rFonts w:eastAsia="Times New Roman" w:cs="Times New Roman"/>
          <w:color w:val="000000"/>
          <w:szCs w:val="24"/>
        </w:rPr>
        <w:t>1</w:t>
      </w:r>
      <w:r>
        <w:rPr>
          <w:rFonts w:eastAsia="Times New Roman" w:cs="Times New Roman"/>
          <w:color w:val="000000"/>
          <w:szCs w:val="24"/>
        </w:rPr>
        <w:t xml:space="preserve"> </w:t>
      </w:r>
      <w:r w:rsidR="00D805C9">
        <w:rPr>
          <w:rFonts w:eastAsia="Times New Roman" w:cs="Times New Roman"/>
          <w:color w:val="000000"/>
          <w:szCs w:val="24"/>
        </w:rPr>
        <w:t>show</w:t>
      </w:r>
      <w:r w:rsidR="00F04972">
        <w:rPr>
          <w:rFonts w:eastAsia="Times New Roman" w:cs="Times New Roman"/>
          <w:color w:val="000000"/>
          <w:szCs w:val="24"/>
        </w:rPr>
        <w:t>s</w:t>
      </w:r>
      <w:r w:rsidR="00D805C9">
        <w:rPr>
          <w:rFonts w:eastAsia="Times New Roman" w:cs="Times New Roman"/>
          <w:color w:val="000000"/>
          <w:szCs w:val="24"/>
        </w:rPr>
        <w:t xml:space="preserve"> </w:t>
      </w:r>
      <w:r w:rsidR="000E6889" w:rsidRPr="000E6889">
        <w:rPr>
          <w:rFonts w:eastAsia="Times New Roman" w:cs="Times New Roman"/>
          <w:color w:val="000000"/>
          <w:szCs w:val="24"/>
        </w:rPr>
        <w:t xml:space="preserve">the composite of the daily differences between UNet 3+ predictions and </w:t>
      </w:r>
      <w:r w:rsidR="00700BBB">
        <w:rPr>
          <w:rFonts w:eastAsia="Times New Roman" w:cs="Times New Roman"/>
          <w:color w:val="000000"/>
          <w:szCs w:val="24"/>
        </w:rPr>
        <w:t>DB</w:t>
      </w:r>
      <w:r w:rsidR="00700BBB" w:rsidRPr="000E6889">
        <w:rPr>
          <w:rFonts w:eastAsia="Times New Roman" w:cs="Times New Roman"/>
          <w:color w:val="000000"/>
          <w:szCs w:val="24"/>
        </w:rPr>
        <w:t xml:space="preserve"> </w:t>
      </w:r>
      <w:r w:rsidR="000E6889" w:rsidRPr="000E6889">
        <w:rPr>
          <w:rFonts w:eastAsia="Times New Roman" w:cs="Times New Roman"/>
          <w:color w:val="000000"/>
          <w:szCs w:val="24"/>
        </w:rPr>
        <w:t xml:space="preserve">AOD retrievals. </w:t>
      </w:r>
      <w:r w:rsidR="00700BBB">
        <w:rPr>
          <w:rFonts w:eastAsia="Times New Roman" w:cs="Times New Roman"/>
          <w:color w:val="000000"/>
          <w:szCs w:val="24"/>
        </w:rPr>
        <w:t>O</w:t>
      </w:r>
      <w:r w:rsidR="000E6889" w:rsidRPr="000E6889">
        <w:rPr>
          <w:rFonts w:eastAsia="Times New Roman" w:cs="Times New Roman"/>
          <w:color w:val="000000"/>
          <w:szCs w:val="24"/>
        </w:rPr>
        <w:t xml:space="preserve">ver CONUS, UNet 3+ and </w:t>
      </w:r>
      <w:r w:rsidR="00700BBB">
        <w:rPr>
          <w:rFonts w:eastAsia="Times New Roman" w:cs="Times New Roman"/>
          <w:color w:val="000000"/>
          <w:szCs w:val="24"/>
        </w:rPr>
        <w:t>DB</w:t>
      </w:r>
      <w:r w:rsidR="00700BBB" w:rsidRPr="000E6889">
        <w:rPr>
          <w:rFonts w:eastAsia="Times New Roman" w:cs="Times New Roman"/>
          <w:color w:val="000000"/>
          <w:szCs w:val="24"/>
        </w:rPr>
        <w:t xml:space="preserve"> </w:t>
      </w:r>
      <w:r w:rsidR="000E6889" w:rsidRPr="000E6889">
        <w:rPr>
          <w:rFonts w:eastAsia="Times New Roman" w:cs="Times New Roman"/>
          <w:color w:val="000000"/>
          <w:szCs w:val="24"/>
        </w:rPr>
        <w:t>AOD are well aligned</w:t>
      </w:r>
      <w:r w:rsidR="00332E4F">
        <w:rPr>
          <w:rFonts w:eastAsia="Times New Roman" w:cs="Times New Roman"/>
          <w:color w:val="000000"/>
          <w:szCs w:val="24"/>
        </w:rPr>
        <w:t xml:space="preserve"> </w:t>
      </w:r>
      <w:r w:rsidR="005F0E47">
        <w:rPr>
          <w:rFonts w:eastAsia="Times New Roman" w:cs="Times New Roman"/>
          <w:color w:val="000000"/>
          <w:szCs w:val="24"/>
        </w:rPr>
        <w:t>apart from</w:t>
      </w:r>
      <w:r w:rsidR="000E6889" w:rsidRPr="000E6889">
        <w:rPr>
          <w:rFonts w:eastAsia="Times New Roman" w:cs="Times New Roman"/>
          <w:color w:val="000000"/>
          <w:szCs w:val="24"/>
        </w:rPr>
        <w:t xml:space="preserve"> the Pacific Northwest, where UNet 3+ has</w:t>
      </w:r>
      <w:r w:rsidR="000E6889" w:rsidRPr="00700BBB">
        <w:rPr>
          <w:rFonts w:eastAsia="Times New Roman" w:cs="Times New Roman"/>
          <w:color w:val="000000"/>
          <w:szCs w:val="24"/>
        </w:rPr>
        <w:t xml:space="preserve"> </w:t>
      </w:r>
      <w:r w:rsidR="000E6889" w:rsidRPr="00653BD0">
        <w:rPr>
          <w:rFonts w:eastAsia="Times New Roman" w:cs="Times New Roman"/>
          <w:color w:val="000000"/>
          <w:szCs w:val="24"/>
        </w:rPr>
        <w:t>overestimated</w:t>
      </w:r>
      <w:r w:rsidR="000E6889" w:rsidRPr="000E6889">
        <w:rPr>
          <w:rFonts w:eastAsia="Times New Roman" w:cs="Times New Roman"/>
          <w:color w:val="000000"/>
          <w:szCs w:val="24"/>
        </w:rPr>
        <w:t xml:space="preserve"> A</w:t>
      </w:r>
      <w:r w:rsidR="000E6889" w:rsidRPr="00700BBB">
        <w:rPr>
          <w:rFonts w:eastAsia="Times New Roman" w:cs="Times New Roman"/>
          <w:color w:val="000000"/>
          <w:szCs w:val="24"/>
        </w:rPr>
        <w:t>OD levels</w:t>
      </w:r>
      <w:r w:rsidR="00045296">
        <w:rPr>
          <w:rFonts w:eastAsia="Times New Roman" w:cs="Times New Roman"/>
          <w:color w:val="000000"/>
          <w:szCs w:val="24"/>
        </w:rPr>
        <w:t xml:space="preserve"> </w:t>
      </w:r>
      <w:r w:rsidR="005F0E47">
        <w:rPr>
          <w:rFonts w:eastAsia="Times New Roman" w:cs="Times New Roman"/>
          <w:color w:val="000000"/>
          <w:szCs w:val="24"/>
        </w:rPr>
        <w:t xml:space="preserve">by around </w:t>
      </w:r>
      <w:r w:rsidR="00045296">
        <w:rPr>
          <w:rFonts w:eastAsia="Times New Roman" w:cs="Times New Roman"/>
          <w:color w:val="000000"/>
          <w:szCs w:val="24"/>
        </w:rPr>
        <w:t>0.1</w:t>
      </w:r>
      <w:r w:rsidR="000E6889" w:rsidRPr="00700BBB">
        <w:rPr>
          <w:rFonts w:eastAsia="Times New Roman" w:cs="Times New Roman"/>
          <w:color w:val="000000"/>
          <w:szCs w:val="24"/>
        </w:rPr>
        <w:t xml:space="preserve"> due to wildfire</w:t>
      </w:r>
      <w:r w:rsidR="00700BBB">
        <w:rPr>
          <w:rFonts w:eastAsia="Times New Roman" w:cs="Times New Roman"/>
          <w:color w:val="000000"/>
          <w:szCs w:val="24"/>
        </w:rPr>
        <w:t xml:space="preserve"> smoke</w:t>
      </w:r>
      <w:r w:rsidR="000E6889" w:rsidRPr="00700BBB">
        <w:rPr>
          <w:rFonts w:eastAsia="Times New Roman" w:cs="Times New Roman"/>
          <w:color w:val="000000"/>
          <w:szCs w:val="24"/>
        </w:rPr>
        <w:t xml:space="preserve">, and east of Hudson Bay, where UNet 3+ has </w:t>
      </w:r>
      <w:r w:rsidR="000E6889" w:rsidRPr="00653BD0">
        <w:rPr>
          <w:rFonts w:eastAsia="Times New Roman" w:cs="Times New Roman"/>
          <w:color w:val="000000"/>
          <w:szCs w:val="24"/>
        </w:rPr>
        <w:t>underestimated</w:t>
      </w:r>
      <w:r w:rsidR="000E6889" w:rsidRPr="00700BBB">
        <w:rPr>
          <w:rFonts w:eastAsia="Times New Roman" w:cs="Times New Roman"/>
          <w:color w:val="000000"/>
          <w:szCs w:val="24"/>
        </w:rPr>
        <w:t xml:space="preserve"> </w:t>
      </w:r>
      <w:r w:rsidR="000E6889" w:rsidRPr="000E6889">
        <w:rPr>
          <w:rFonts w:eastAsia="Times New Roman" w:cs="Times New Roman"/>
          <w:color w:val="000000"/>
          <w:szCs w:val="24"/>
        </w:rPr>
        <w:t xml:space="preserve">baseline AOD </w:t>
      </w:r>
      <w:r w:rsidR="00045296">
        <w:rPr>
          <w:rFonts w:eastAsia="Times New Roman" w:cs="Times New Roman"/>
          <w:color w:val="000000"/>
          <w:szCs w:val="24"/>
        </w:rPr>
        <w:t>loadings (~-0.1)</w:t>
      </w:r>
      <w:r w:rsidR="000E6889" w:rsidRPr="000E6889">
        <w:rPr>
          <w:rFonts w:eastAsia="Times New Roman" w:cs="Times New Roman"/>
          <w:color w:val="000000"/>
          <w:szCs w:val="24"/>
        </w:rPr>
        <w:t>.</w:t>
      </w:r>
    </w:p>
    <w:p w14:paraId="0DF3C81C" w14:textId="77777777" w:rsidR="00D805C9" w:rsidRDefault="000E6889" w:rsidP="001904F0">
      <w:pPr>
        <w:keepNext/>
        <w:spacing w:after="0"/>
      </w:pPr>
      <w:r w:rsidRPr="000E6889">
        <w:rPr>
          <w:rFonts w:eastAsia="Times New Roman" w:cs="Times New Roman"/>
          <w:noProof/>
          <w:color w:val="000000"/>
          <w:szCs w:val="24"/>
          <w:bdr w:val="none" w:sz="0" w:space="0" w:color="auto" w:frame="1"/>
        </w:rPr>
        <w:lastRenderedPageBreak/>
        <w:drawing>
          <wp:inline distT="0" distB="0" distL="0" distR="0" wp14:anchorId="60AC4F08" wp14:editId="1132F18D">
            <wp:extent cx="5943600" cy="3305810"/>
            <wp:effectExtent l="0" t="0" r="0" b="8890"/>
            <wp:docPr id="191524099" name="Picture 8" descr="A map of the united stat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24099" name="Picture 8" descr="A map of the united states&#10;&#10;Description automatically generated"/>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943600" cy="3305810"/>
                    </a:xfrm>
                    <a:prstGeom prst="rect">
                      <a:avLst/>
                    </a:prstGeom>
                    <a:noFill/>
                    <a:ln>
                      <a:noFill/>
                    </a:ln>
                  </pic:spPr>
                </pic:pic>
              </a:graphicData>
            </a:graphic>
          </wp:inline>
        </w:drawing>
      </w:r>
    </w:p>
    <w:p w14:paraId="5B31E611" w14:textId="1A597A5D" w:rsidR="000E6889" w:rsidRPr="000E6889" w:rsidRDefault="00D805C9" w:rsidP="00D52313">
      <w:pPr>
        <w:pStyle w:val="Caption"/>
        <w:rPr>
          <w:rFonts w:eastAsia="Times New Roman" w:cs="Times New Roman"/>
        </w:rPr>
      </w:pPr>
      <w:bookmarkStart w:id="104" w:name="_Ref158852108"/>
      <w:bookmarkStart w:id="105" w:name="_Toc159825983"/>
      <w:r>
        <w:t xml:space="preserve">Figure </w:t>
      </w:r>
      <w:r>
        <w:fldChar w:fldCharType="begin"/>
      </w:r>
      <w:r>
        <w:instrText xml:space="preserve"> SEQ Figure \* ARABIC </w:instrText>
      </w:r>
      <w:r>
        <w:fldChar w:fldCharType="separate"/>
      </w:r>
      <w:r w:rsidR="00C54A78">
        <w:rPr>
          <w:noProof/>
        </w:rPr>
        <w:t>21</w:t>
      </w:r>
      <w:r>
        <w:rPr>
          <w:noProof/>
        </w:rPr>
        <w:fldChar w:fldCharType="end"/>
      </w:r>
      <w:bookmarkEnd w:id="104"/>
      <w:r>
        <w:t>: Composite difference between UNet 3+ AOD and satellite DB AOD</w:t>
      </w:r>
      <w:r w:rsidR="00951994">
        <w:t>.</w:t>
      </w:r>
      <w:bookmarkEnd w:id="105"/>
    </w:p>
    <w:p w14:paraId="45D8D733" w14:textId="0206E658" w:rsidR="000E6889" w:rsidRPr="000E6889" w:rsidRDefault="000E6889" w:rsidP="001917DD">
      <w:pPr>
        <w:spacing w:after="0"/>
        <w:ind w:firstLine="720"/>
        <w:rPr>
          <w:rFonts w:eastAsia="Times New Roman" w:cs="Times New Roman"/>
          <w:szCs w:val="24"/>
        </w:rPr>
      </w:pPr>
      <w:r w:rsidRPr="000E6889">
        <w:rPr>
          <w:rFonts w:eastAsia="Times New Roman" w:cs="Times New Roman"/>
          <w:color w:val="000000"/>
          <w:szCs w:val="24"/>
        </w:rPr>
        <w:t xml:space="preserve">The winter composite </w:t>
      </w:r>
      <w:r w:rsidR="00024AA7">
        <w:rPr>
          <w:rFonts w:eastAsia="Times New Roman" w:cs="Times New Roman"/>
          <w:color w:val="000000"/>
          <w:szCs w:val="24"/>
        </w:rPr>
        <w:t>(</w:t>
      </w:r>
      <w:r w:rsidR="009F7A06">
        <w:rPr>
          <w:rFonts w:eastAsia="Times New Roman" w:cs="Times New Roman"/>
          <w:color w:val="000000"/>
          <w:szCs w:val="24"/>
        </w:rPr>
        <w:t>Figure 22</w:t>
      </w:r>
      <w:r w:rsidR="00024AA7">
        <w:rPr>
          <w:rFonts w:eastAsia="Times New Roman" w:cs="Times New Roman"/>
          <w:color w:val="000000"/>
          <w:szCs w:val="24"/>
        </w:rPr>
        <w:t>)</w:t>
      </w:r>
      <w:r w:rsidR="001917DD">
        <w:rPr>
          <w:rFonts w:eastAsia="Times New Roman" w:cs="Times New Roman"/>
          <w:color w:val="000000"/>
          <w:szCs w:val="24"/>
        </w:rPr>
        <w:t xml:space="preserve"> presents challenges for interpretation d</w:t>
      </w:r>
      <w:r w:rsidR="001917DD" w:rsidRPr="000E6889">
        <w:rPr>
          <w:rFonts w:eastAsia="Times New Roman" w:cs="Times New Roman"/>
          <w:color w:val="000000"/>
          <w:szCs w:val="24"/>
        </w:rPr>
        <w:t xml:space="preserve">ue to the </w:t>
      </w:r>
      <w:r w:rsidR="001917DD">
        <w:rPr>
          <w:rFonts w:eastAsia="Times New Roman" w:cs="Times New Roman"/>
          <w:color w:val="000000"/>
          <w:szCs w:val="24"/>
        </w:rPr>
        <w:t>deficient</w:t>
      </w:r>
      <w:r w:rsidR="001917DD" w:rsidRPr="000E6889">
        <w:rPr>
          <w:rFonts w:eastAsia="Times New Roman" w:cs="Times New Roman"/>
          <w:color w:val="000000"/>
          <w:szCs w:val="24"/>
        </w:rPr>
        <w:t xml:space="preserve"> </w:t>
      </w:r>
      <w:r w:rsidR="001917DD">
        <w:rPr>
          <w:rFonts w:eastAsia="Times New Roman" w:cs="Times New Roman"/>
          <w:color w:val="000000"/>
          <w:szCs w:val="24"/>
        </w:rPr>
        <w:t>quantity of retrievals in the northern U.S. and Canada. Still,</w:t>
      </w:r>
      <w:r w:rsidR="001917DD" w:rsidRPr="000E6889">
        <w:rPr>
          <w:rFonts w:eastAsia="Times New Roman" w:cs="Times New Roman"/>
          <w:color w:val="000000"/>
          <w:szCs w:val="24"/>
        </w:rPr>
        <w:t xml:space="preserve"> UNet 3+ accuracy in this region </w:t>
      </w:r>
      <w:r w:rsidR="00F47726">
        <w:rPr>
          <w:rFonts w:eastAsia="Times New Roman" w:cs="Times New Roman"/>
          <w:color w:val="000000"/>
          <w:szCs w:val="24"/>
        </w:rPr>
        <w:t xml:space="preserve">likely </w:t>
      </w:r>
      <w:r w:rsidR="001917DD" w:rsidRPr="000E6889">
        <w:rPr>
          <w:rFonts w:eastAsia="Times New Roman" w:cs="Times New Roman"/>
          <w:color w:val="000000"/>
          <w:szCs w:val="24"/>
        </w:rPr>
        <w:t xml:space="preserve">suffers over the winter. </w:t>
      </w:r>
      <w:r w:rsidR="001917DD">
        <w:rPr>
          <w:rFonts w:eastAsia="Times New Roman" w:cs="Times New Roman"/>
          <w:color w:val="000000"/>
          <w:szCs w:val="24"/>
        </w:rPr>
        <w:t>T</w:t>
      </w:r>
      <w:r w:rsidR="001917DD" w:rsidRPr="000E6889">
        <w:rPr>
          <w:rFonts w:eastAsia="Times New Roman" w:cs="Times New Roman"/>
          <w:color w:val="000000"/>
          <w:szCs w:val="24"/>
        </w:rPr>
        <w:t>he UNet 3+ training over this region in the winter is m</w:t>
      </w:r>
      <w:r w:rsidR="001917DD">
        <w:rPr>
          <w:rFonts w:eastAsia="Times New Roman" w:cs="Times New Roman"/>
          <w:color w:val="000000"/>
          <w:szCs w:val="24"/>
        </w:rPr>
        <w:t>ain</w:t>
      </w:r>
      <w:r w:rsidR="001917DD" w:rsidRPr="000E6889">
        <w:rPr>
          <w:rFonts w:eastAsia="Times New Roman" w:cs="Times New Roman"/>
          <w:color w:val="000000"/>
          <w:szCs w:val="24"/>
        </w:rPr>
        <w:t xml:space="preserve">ly guided by MERRA-2 AOD and not </w:t>
      </w:r>
      <w:r w:rsidR="001917DD">
        <w:rPr>
          <w:rFonts w:eastAsia="Times New Roman" w:cs="Times New Roman"/>
          <w:color w:val="000000"/>
          <w:szCs w:val="24"/>
        </w:rPr>
        <w:t>DB</w:t>
      </w:r>
      <w:r w:rsidR="001917DD" w:rsidRPr="000E6889">
        <w:rPr>
          <w:rFonts w:eastAsia="Times New Roman" w:cs="Times New Roman"/>
          <w:color w:val="000000"/>
          <w:szCs w:val="24"/>
        </w:rPr>
        <w:t xml:space="preserve"> AOD retrievals (</w:t>
      </w:r>
      <w:r w:rsidR="001917DD">
        <w:rPr>
          <w:rFonts w:eastAsia="Times New Roman" w:cs="Times New Roman"/>
          <w:color w:val="000000"/>
          <w:szCs w:val="24"/>
        </w:rPr>
        <w:fldChar w:fldCharType="begin"/>
      </w:r>
      <w:r w:rsidR="001917DD">
        <w:rPr>
          <w:rFonts w:eastAsia="Times New Roman" w:cs="Times New Roman"/>
          <w:color w:val="000000"/>
          <w:szCs w:val="24"/>
        </w:rPr>
        <w:instrText xml:space="preserve"> REF _Ref159550068 \h </w:instrText>
      </w:r>
      <w:r w:rsidR="001917DD">
        <w:rPr>
          <w:rFonts w:eastAsia="Times New Roman" w:cs="Times New Roman"/>
          <w:color w:val="000000"/>
          <w:szCs w:val="24"/>
        </w:rPr>
      </w:r>
      <w:r w:rsidR="001917DD">
        <w:rPr>
          <w:rFonts w:eastAsia="Times New Roman" w:cs="Times New Roman"/>
          <w:color w:val="000000"/>
          <w:szCs w:val="24"/>
        </w:rPr>
        <w:fldChar w:fldCharType="separate"/>
      </w:r>
      <w:r w:rsidR="00C54A78">
        <w:t xml:space="preserve">Figure </w:t>
      </w:r>
      <w:r w:rsidR="00C54A78">
        <w:rPr>
          <w:noProof/>
        </w:rPr>
        <w:t>11</w:t>
      </w:r>
      <w:r w:rsidR="001917DD">
        <w:rPr>
          <w:rFonts w:eastAsia="Times New Roman" w:cs="Times New Roman"/>
          <w:color w:val="000000"/>
          <w:szCs w:val="24"/>
        </w:rPr>
        <w:fldChar w:fldCharType="end"/>
      </w:r>
      <w:r w:rsidR="001917DD">
        <w:rPr>
          <w:rFonts w:eastAsia="Times New Roman" w:cs="Times New Roman"/>
          <w:color w:val="000000"/>
          <w:szCs w:val="24"/>
        </w:rPr>
        <w:t>.a</w:t>
      </w:r>
      <w:r w:rsidR="001917DD" w:rsidRPr="000E6889">
        <w:rPr>
          <w:rFonts w:eastAsia="Times New Roman" w:cs="Times New Roman"/>
          <w:color w:val="000000"/>
          <w:szCs w:val="24"/>
        </w:rPr>
        <w:t>).</w:t>
      </w:r>
    </w:p>
    <w:p w14:paraId="5FAB0925" w14:textId="77777777" w:rsidR="00B47050" w:rsidRDefault="000E6889" w:rsidP="001904F0">
      <w:pPr>
        <w:keepNext/>
        <w:spacing w:after="0"/>
      </w:pPr>
      <w:r w:rsidRPr="000E6889">
        <w:rPr>
          <w:rFonts w:eastAsia="Times New Roman" w:cs="Times New Roman"/>
          <w:noProof/>
          <w:color w:val="000000"/>
          <w:szCs w:val="24"/>
          <w:bdr w:val="none" w:sz="0" w:space="0" w:color="auto" w:frame="1"/>
        </w:rPr>
        <w:lastRenderedPageBreak/>
        <w:drawing>
          <wp:inline distT="0" distB="0" distL="0" distR="0" wp14:anchorId="4D60E06A" wp14:editId="50FB897D">
            <wp:extent cx="5943600" cy="3274060"/>
            <wp:effectExtent l="0" t="0" r="0" b="2540"/>
            <wp:docPr id="878838755" name="Picture 7" descr="A map of the united stat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8838755" name="Picture 7" descr="A map of the united states&#10;&#10;Description automatically generated"/>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943600" cy="3274060"/>
                    </a:xfrm>
                    <a:prstGeom prst="rect">
                      <a:avLst/>
                    </a:prstGeom>
                    <a:noFill/>
                    <a:ln>
                      <a:noFill/>
                    </a:ln>
                  </pic:spPr>
                </pic:pic>
              </a:graphicData>
            </a:graphic>
          </wp:inline>
        </w:drawing>
      </w:r>
    </w:p>
    <w:p w14:paraId="4E8279EA" w14:textId="708B715A" w:rsidR="00BC4BC3" w:rsidRPr="00BC4BC3" w:rsidRDefault="00B47050" w:rsidP="00D52313">
      <w:pPr>
        <w:pStyle w:val="Caption"/>
      </w:pPr>
      <w:bookmarkStart w:id="106" w:name="_Ref158817881"/>
      <w:bookmarkStart w:id="107" w:name="_Toc159825984"/>
      <w:r>
        <w:t xml:space="preserve">Figure </w:t>
      </w:r>
      <w:r>
        <w:fldChar w:fldCharType="begin"/>
      </w:r>
      <w:r>
        <w:instrText xml:space="preserve"> SEQ Figure \* ARABIC </w:instrText>
      </w:r>
      <w:r>
        <w:fldChar w:fldCharType="separate"/>
      </w:r>
      <w:r w:rsidR="00C54A78">
        <w:rPr>
          <w:noProof/>
        </w:rPr>
        <w:t>22</w:t>
      </w:r>
      <w:r>
        <w:rPr>
          <w:noProof/>
        </w:rPr>
        <w:fldChar w:fldCharType="end"/>
      </w:r>
      <w:bookmarkEnd w:id="106"/>
      <w:r>
        <w:t xml:space="preserve">: </w:t>
      </w:r>
      <w:r w:rsidRPr="00063968">
        <w:t>Composite difference between UNet 3+ AOD and satellite DB AOD</w:t>
      </w:r>
      <w:r>
        <w:t xml:space="preserve"> for winter (DJF)</w:t>
      </w:r>
      <w:r w:rsidRPr="00063968">
        <w:t>.</w:t>
      </w:r>
      <w:bookmarkEnd w:id="107"/>
    </w:p>
    <w:p w14:paraId="53E61530" w14:textId="68B993B2" w:rsidR="000E6889" w:rsidRPr="000E6889" w:rsidRDefault="000E6889" w:rsidP="001904F0">
      <w:pPr>
        <w:spacing w:after="0"/>
        <w:ind w:firstLine="720"/>
        <w:rPr>
          <w:rFonts w:eastAsia="Times New Roman" w:cs="Times New Roman"/>
          <w:szCs w:val="24"/>
        </w:rPr>
      </w:pPr>
      <w:r w:rsidRPr="000E6889">
        <w:rPr>
          <w:rFonts w:eastAsia="Times New Roman" w:cs="Times New Roman"/>
          <w:color w:val="000000"/>
          <w:szCs w:val="24"/>
        </w:rPr>
        <w:t>In the spring</w:t>
      </w:r>
      <w:r w:rsidR="00024AA7">
        <w:rPr>
          <w:rFonts w:eastAsia="Times New Roman" w:cs="Times New Roman"/>
          <w:color w:val="000000"/>
          <w:szCs w:val="24"/>
        </w:rPr>
        <w:t xml:space="preserve"> (</w:t>
      </w:r>
      <w:r w:rsidR="00B95CDA">
        <w:rPr>
          <w:rFonts w:eastAsia="Times New Roman" w:cs="Times New Roman"/>
          <w:color w:val="000000"/>
          <w:szCs w:val="24"/>
        </w:rPr>
        <w:t>Figure 2</w:t>
      </w:r>
      <w:r w:rsidR="001917DD">
        <w:rPr>
          <w:rFonts w:eastAsia="Times New Roman" w:cs="Times New Roman"/>
          <w:color w:val="000000"/>
          <w:szCs w:val="24"/>
        </w:rPr>
        <w:t>3</w:t>
      </w:r>
      <w:r w:rsidR="00024AA7">
        <w:rPr>
          <w:rFonts w:eastAsia="Times New Roman" w:cs="Times New Roman"/>
          <w:color w:val="000000"/>
          <w:szCs w:val="24"/>
        </w:rPr>
        <w:t>)</w:t>
      </w:r>
      <w:r w:rsidRPr="000E6889">
        <w:rPr>
          <w:rFonts w:eastAsia="Times New Roman" w:cs="Times New Roman"/>
          <w:color w:val="000000"/>
          <w:szCs w:val="24"/>
        </w:rPr>
        <w:t>, there appears to be a systematic</w:t>
      </w:r>
      <w:r w:rsidR="0077560B">
        <w:rPr>
          <w:rFonts w:eastAsia="Times New Roman" w:cs="Times New Roman"/>
          <w:color w:val="000000"/>
          <w:szCs w:val="24"/>
        </w:rPr>
        <w:t xml:space="preserve"> underestimation of AOD</w:t>
      </w:r>
      <w:r w:rsidR="00F0740A">
        <w:rPr>
          <w:rFonts w:eastAsia="Times New Roman" w:cs="Times New Roman"/>
          <w:color w:val="000000"/>
          <w:szCs w:val="24"/>
        </w:rPr>
        <w:t xml:space="preserve"> of at least 0.1</w:t>
      </w:r>
      <w:r w:rsidR="0077560B">
        <w:rPr>
          <w:rFonts w:eastAsia="Times New Roman" w:cs="Times New Roman"/>
          <w:color w:val="000000"/>
          <w:szCs w:val="24"/>
        </w:rPr>
        <w:t xml:space="preserve"> </w:t>
      </w:r>
      <w:r w:rsidR="00764982">
        <w:rPr>
          <w:rFonts w:eastAsia="Times New Roman" w:cs="Times New Roman"/>
          <w:color w:val="000000"/>
          <w:szCs w:val="24"/>
        </w:rPr>
        <w:t xml:space="preserve">south of </w:t>
      </w:r>
      <w:r w:rsidR="00B07D6F">
        <w:rPr>
          <w:rFonts w:eastAsia="Times New Roman" w:cs="Times New Roman"/>
          <w:color w:val="000000"/>
          <w:szCs w:val="24"/>
        </w:rPr>
        <w:t>Hudson</w:t>
      </w:r>
      <w:r w:rsidR="005F72EB">
        <w:rPr>
          <w:rFonts w:eastAsia="Times New Roman" w:cs="Times New Roman"/>
          <w:color w:val="000000"/>
          <w:szCs w:val="24"/>
        </w:rPr>
        <w:t xml:space="preserve"> Bay</w:t>
      </w:r>
      <w:r w:rsidR="00B06DF9">
        <w:rPr>
          <w:rFonts w:eastAsia="Times New Roman" w:cs="Times New Roman"/>
          <w:color w:val="000000"/>
          <w:szCs w:val="24"/>
        </w:rPr>
        <w:t xml:space="preserve"> and in </w:t>
      </w:r>
      <w:r w:rsidR="00B00DEB">
        <w:rPr>
          <w:rFonts w:eastAsia="Times New Roman" w:cs="Times New Roman"/>
          <w:color w:val="000000"/>
          <w:szCs w:val="24"/>
        </w:rPr>
        <w:t>Quebec and Newfoundland</w:t>
      </w:r>
      <w:r w:rsidR="005F26E1">
        <w:rPr>
          <w:rFonts w:eastAsia="Times New Roman" w:cs="Times New Roman"/>
          <w:color w:val="000000"/>
          <w:szCs w:val="24"/>
        </w:rPr>
        <w:t>.</w:t>
      </w:r>
      <w:r w:rsidR="0028170D">
        <w:rPr>
          <w:rFonts w:eastAsia="Times New Roman" w:cs="Times New Roman"/>
          <w:color w:val="000000"/>
          <w:szCs w:val="24"/>
        </w:rPr>
        <w:t xml:space="preserve"> </w:t>
      </w:r>
      <w:r w:rsidR="00310449">
        <w:rPr>
          <w:rFonts w:eastAsia="Times New Roman" w:cs="Times New Roman"/>
          <w:color w:val="000000"/>
          <w:szCs w:val="24"/>
        </w:rPr>
        <w:t>A</w:t>
      </w:r>
      <w:r w:rsidR="002B394E">
        <w:rPr>
          <w:rFonts w:eastAsia="Times New Roman" w:cs="Times New Roman"/>
          <w:color w:val="000000"/>
          <w:szCs w:val="24"/>
        </w:rPr>
        <w:t xml:space="preserve"> thin strip of the western coast of British Columbia</w:t>
      </w:r>
      <w:r w:rsidR="008A78BA">
        <w:rPr>
          <w:rFonts w:eastAsia="Times New Roman" w:cs="Times New Roman"/>
          <w:color w:val="000000"/>
          <w:szCs w:val="24"/>
        </w:rPr>
        <w:t xml:space="preserve"> also experiences systemic underestimation</w:t>
      </w:r>
      <w:r w:rsidR="00063039">
        <w:rPr>
          <w:rFonts w:eastAsia="Times New Roman" w:cs="Times New Roman"/>
          <w:color w:val="000000"/>
          <w:szCs w:val="24"/>
        </w:rPr>
        <w:t xml:space="preserve"> of at least 0.1</w:t>
      </w:r>
      <w:r w:rsidR="008A78BA">
        <w:rPr>
          <w:rFonts w:eastAsia="Times New Roman" w:cs="Times New Roman"/>
          <w:color w:val="000000"/>
          <w:szCs w:val="24"/>
        </w:rPr>
        <w:t xml:space="preserve">. Finally, </w:t>
      </w:r>
      <w:r w:rsidR="00D0262B">
        <w:rPr>
          <w:rFonts w:eastAsia="Times New Roman" w:cs="Times New Roman"/>
          <w:color w:val="000000"/>
          <w:szCs w:val="24"/>
        </w:rPr>
        <w:t>UNet 3+</w:t>
      </w:r>
      <w:r w:rsidR="005F30D2">
        <w:rPr>
          <w:rFonts w:eastAsia="Times New Roman" w:cs="Times New Roman"/>
          <w:color w:val="000000"/>
          <w:szCs w:val="24"/>
        </w:rPr>
        <w:t xml:space="preserve"> </w:t>
      </w:r>
      <w:r w:rsidR="001917DD">
        <w:rPr>
          <w:rFonts w:eastAsia="Times New Roman" w:cs="Times New Roman"/>
          <w:color w:val="000000"/>
          <w:szCs w:val="24"/>
        </w:rPr>
        <w:t>tends</w:t>
      </w:r>
      <w:r w:rsidR="003F2A2C">
        <w:rPr>
          <w:rFonts w:eastAsia="Times New Roman" w:cs="Times New Roman"/>
          <w:color w:val="000000"/>
          <w:szCs w:val="24"/>
        </w:rPr>
        <w:t xml:space="preserve"> </w:t>
      </w:r>
      <w:r w:rsidR="004F7473">
        <w:rPr>
          <w:rFonts w:eastAsia="Times New Roman" w:cs="Times New Roman"/>
          <w:color w:val="000000"/>
          <w:szCs w:val="24"/>
        </w:rPr>
        <w:t xml:space="preserve">to </w:t>
      </w:r>
      <w:r w:rsidR="001917DD">
        <w:rPr>
          <w:rFonts w:eastAsia="Times New Roman" w:cs="Times New Roman"/>
          <w:color w:val="000000"/>
          <w:szCs w:val="24"/>
        </w:rPr>
        <w:t xml:space="preserve">slightly </w:t>
      </w:r>
      <w:r w:rsidR="00B07D6F">
        <w:rPr>
          <w:rFonts w:eastAsia="Times New Roman" w:cs="Times New Roman"/>
          <w:color w:val="000000"/>
          <w:szCs w:val="24"/>
        </w:rPr>
        <w:t>overestimate AOD</w:t>
      </w:r>
      <w:r w:rsidR="000334DF">
        <w:rPr>
          <w:rFonts w:eastAsia="Times New Roman" w:cs="Times New Roman"/>
          <w:color w:val="000000"/>
          <w:szCs w:val="24"/>
        </w:rPr>
        <w:t xml:space="preserve"> by around 0.</w:t>
      </w:r>
      <w:r w:rsidR="00644BBC">
        <w:rPr>
          <w:rFonts w:eastAsia="Times New Roman" w:cs="Times New Roman"/>
          <w:color w:val="000000"/>
          <w:szCs w:val="24"/>
        </w:rPr>
        <w:t>0</w:t>
      </w:r>
      <w:r w:rsidR="000334DF">
        <w:rPr>
          <w:rFonts w:eastAsia="Times New Roman" w:cs="Times New Roman"/>
          <w:color w:val="000000"/>
          <w:szCs w:val="24"/>
        </w:rPr>
        <w:t>3</w:t>
      </w:r>
      <w:r w:rsidR="00B07D6F">
        <w:rPr>
          <w:rFonts w:eastAsia="Times New Roman" w:cs="Times New Roman"/>
          <w:color w:val="000000"/>
          <w:szCs w:val="24"/>
        </w:rPr>
        <w:t xml:space="preserve"> throughout various parts of CONUS</w:t>
      </w:r>
      <w:r w:rsidR="008A6C38">
        <w:rPr>
          <w:rFonts w:eastAsia="Times New Roman" w:cs="Times New Roman"/>
          <w:color w:val="000000"/>
          <w:szCs w:val="24"/>
        </w:rPr>
        <w:t xml:space="preserve"> (Rocky Mountains, Appalachia and the Midwest, and Southern Texas</w:t>
      </w:r>
      <w:r w:rsidR="007A53FC">
        <w:rPr>
          <w:rFonts w:eastAsia="Times New Roman" w:cs="Times New Roman"/>
          <w:color w:val="000000"/>
          <w:szCs w:val="24"/>
        </w:rPr>
        <w:t>/Northwestern Mexico</w:t>
      </w:r>
      <w:r w:rsidR="008A6C38">
        <w:rPr>
          <w:rFonts w:eastAsia="Times New Roman" w:cs="Times New Roman"/>
          <w:color w:val="000000"/>
          <w:szCs w:val="24"/>
        </w:rPr>
        <w:t>)</w:t>
      </w:r>
      <w:r w:rsidR="00B07D6F">
        <w:rPr>
          <w:rFonts w:eastAsia="Times New Roman" w:cs="Times New Roman"/>
          <w:color w:val="000000"/>
          <w:szCs w:val="24"/>
        </w:rPr>
        <w:t>.</w:t>
      </w:r>
    </w:p>
    <w:p w14:paraId="6A08B670" w14:textId="77777777" w:rsidR="001F58F2" w:rsidRDefault="000E6889" w:rsidP="001904F0">
      <w:pPr>
        <w:keepNext/>
        <w:spacing w:after="0"/>
      </w:pPr>
      <w:r w:rsidRPr="000E6889">
        <w:rPr>
          <w:rFonts w:eastAsia="Times New Roman" w:cs="Times New Roman"/>
          <w:noProof/>
          <w:color w:val="000000"/>
          <w:szCs w:val="24"/>
          <w:bdr w:val="none" w:sz="0" w:space="0" w:color="auto" w:frame="1"/>
        </w:rPr>
        <w:lastRenderedPageBreak/>
        <w:drawing>
          <wp:inline distT="0" distB="0" distL="0" distR="0" wp14:anchorId="188E1BAD" wp14:editId="5AF475C5">
            <wp:extent cx="5943600" cy="3226435"/>
            <wp:effectExtent l="0" t="0" r="0" b="0"/>
            <wp:docPr id="1201838705" name="Picture 6" descr="A map of the united stat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1838705" name="Picture 6" descr="A map of the united states&#10;&#10;Description automatically generated"/>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943600" cy="3226435"/>
                    </a:xfrm>
                    <a:prstGeom prst="rect">
                      <a:avLst/>
                    </a:prstGeom>
                    <a:noFill/>
                    <a:ln>
                      <a:noFill/>
                    </a:ln>
                  </pic:spPr>
                </pic:pic>
              </a:graphicData>
            </a:graphic>
          </wp:inline>
        </w:drawing>
      </w:r>
    </w:p>
    <w:p w14:paraId="3CC7C53A" w14:textId="276A5E45" w:rsidR="000E6889" w:rsidRDefault="001F58F2" w:rsidP="00D52313">
      <w:pPr>
        <w:pStyle w:val="Caption"/>
      </w:pPr>
      <w:bookmarkStart w:id="108" w:name="_Ref158817900"/>
      <w:r>
        <w:t xml:space="preserve">Figure </w:t>
      </w:r>
      <w:bookmarkEnd w:id="108"/>
      <w:r w:rsidR="00F74F72">
        <w:t>22</w:t>
      </w:r>
      <w:r w:rsidRPr="00832918">
        <w:t xml:space="preserve">: Composite difference between UNet 3+ AOD and satellite DB AOD for </w:t>
      </w:r>
      <w:r>
        <w:t>spring</w:t>
      </w:r>
      <w:r w:rsidRPr="00832918">
        <w:t xml:space="preserve"> (</w:t>
      </w:r>
      <w:r>
        <w:t>MAM</w:t>
      </w:r>
      <w:r w:rsidRPr="00832918">
        <w:t>).</w:t>
      </w:r>
    </w:p>
    <w:p w14:paraId="445308DF" w14:textId="2CA1A9A8" w:rsidR="00024AA7" w:rsidRPr="00024AA7" w:rsidRDefault="00024AA7" w:rsidP="001904F0">
      <w:r>
        <w:tab/>
        <w:t xml:space="preserve">In the </w:t>
      </w:r>
      <w:r w:rsidR="00A119B2">
        <w:t>summer (</w:t>
      </w:r>
      <w:r w:rsidR="00A119B2">
        <w:fldChar w:fldCharType="begin"/>
      </w:r>
      <w:r w:rsidR="00A119B2">
        <w:instrText xml:space="preserve"> REF _Ref158818105 \h </w:instrText>
      </w:r>
      <w:r w:rsidR="00A119B2">
        <w:fldChar w:fldCharType="separate"/>
      </w:r>
      <w:r w:rsidR="00C54A78">
        <w:t xml:space="preserve">Figure </w:t>
      </w:r>
      <w:r w:rsidR="00A119B2">
        <w:fldChar w:fldCharType="end"/>
      </w:r>
      <w:r w:rsidR="00F74F72">
        <w:t>3</w:t>
      </w:r>
      <w:r w:rsidR="00A119B2">
        <w:t xml:space="preserve">), </w:t>
      </w:r>
      <w:r w:rsidR="009E1048">
        <w:t>UNet 3+ seems to overestimate</w:t>
      </w:r>
      <w:r w:rsidR="001B7DC8">
        <w:t xml:space="preserve">, </w:t>
      </w:r>
      <w:r w:rsidR="00F578A2">
        <w:t xml:space="preserve">most </w:t>
      </w:r>
      <w:r w:rsidR="001B7DC8">
        <w:t>notably in the Pacific Northwest</w:t>
      </w:r>
      <w:r w:rsidR="00B437AB">
        <w:t xml:space="preserve"> (&gt;0.1)</w:t>
      </w:r>
      <w:r w:rsidR="00F578A2">
        <w:t xml:space="preserve"> </w:t>
      </w:r>
      <w:r w:rsidR="000027B9">
        <w:t>and south of Hudson Bay</w:t>
      </w:r>
      <w:r w:rsidR="00B437AB">
        <w:t xml:space="preserve"> (~0.</w:t>
      </w:r>
      <w:r w:rsidR="00644BBC">
        <w:t>05</w:t>
      </w:r>
      <w:r w:rsidR="00B437AB">
        <w:t>)</w:t>
      </w:r>
      <w:r w:rsidR="005C66D2">
        <w:t>, most</w:t>
      </w:r>
      <w:r w:rsidR="00FD2531">
        <w:t xml:space="preserve"> likely due to increased smoke presence across these regions</w:t>
      </w:r>
      <w:r w:rsidR="007A3E9D">
        <w:t xml:space="preserve"> due to wildfire season</w:t>
      </w:r>
      <w:r w:rsidR="00FD2531">
        <w:t>.</w:t>
      </w:r>
      <w:r w:rsidR="006C6EF8">
        <w:t xml:space="preserve"> Further analysis </w:t>
      </w:r>
      <w:r w:rsidR="00595492">
        <w:t>with</w:t>
      </w:r>
      <w:r w:rsidR="00060FC5">
        <w:t xml:space="preserve"> AERONET </w:t>
      </w:r>
      <w:r w:rsidR="006C6EF8">
        <w:t xml:space="preserve">needs to be performed </w:t>
      </w:r>
      <w:r w:rsidR="00060FC5">
        <w:t xml:space="preserve">to determine </w:t>
      </w:r>
      <w:r w:rsidR="00F74F72">
        <w:t>the degree</w:t>
      </w:r>
      <w:r w:rsidR="00060FC5">
        <w:t xml:space="preserve"> of overestimation.</w:t>
      </w:r>
      <w:r w:rsidR="00FD2531">
        <w:t xml:space="preserve"> </w:t>
      </w:r>
      <w:r w:rsidR="00123A58">
        <w:t xml:space="preserve">The clusters of overestimations from the spring map appear to </w:t>
      </w:r>
      <w:r w:rsidR="00551394">
        <w:t>disperse</w:t>
      </w:r>
      <w:r w:rsidR="003453E6">
        <w:t>, although they are still present.</w:t>
      </w:r>
      <w:r w:rsidR="00F74F72">
        <w:t xml:space="preserve"> </w:t>
      </w:r>
      <w:r w:rsidR="007F2523">
        <w:t xml:space="preserve">AOD in </w:t>
      </w:r>
      <w:r w:rsidR="002327A5">
        <w:t xml:space="preserve">many regions </w:t>
      </w:r>
      <w:r w:rsidR="00561C0E">
        <w:t xml:space="preserve">bordering the Gulf of Mexico and the Caribbean </w:t>
      </w:r>
      <w:r w:rsidR="007F2523">
        <w:t xml:space="preserve">is underestimated </w:t>
      </w:r>
      <w:r w:rsidR="004E0142">
        <w:t xml:space="preserve">by around 0.1 </w:t>
      </w:r>
      <w:r w:rsidR="007F2523">
        <w:t>in the summer</w:t>
      </w:r>
      <w:r w:rsidR="00303059">
        <w:t xml:space="preserve"> likely</w:t>
      </w:r>
      <w:r w:rsidR="00654E72">
        <w:t xml:space="preserve"> </w:t>
      </w:r>
      <w:r w:rsidR="00303059">
        <w:t>due to the</w:t>
      </w:r>
      <w:r w:rsidR="000F7AC3">
        <w:t xml:space="preserve"> persistent cloud cover </w:t>
      </w:r>
      <w:r w:rsidR="004D2367">
        <w:t>during this season in this region</w:t>
      </w:r>
      <w:r w:rsidR="00F74F72">
        <w:t>.</w:t>
      </w:r>
    </w:p>
    <w:p w14:paraId="6A3A494A" w14:textId="77777777" w:rsidR="009F1E5F" w:rsidRDefault="000E6889" w:rsidP="001904F0">
      <w:pPr>
        <w:keepNext/>
        <w:spacing w:after="0"/>
      </w:pPr>
      <w:r w:rsidRPr="000E6889">
        <w:rPr>
          <w:rFonts w:eastAsia="Times New Roman" w:cs="Times New Roman"/>
          <w:noProof/>
          <w:color w:val="000000"/>
          <w:szCs w:val="24"/>
          <w:bdr w:val="none" w:sz="0" w:space="0" w:color="auto" w:frame="1"/>
        </w:rPr>
        <w:lastRenderedPageBreak/>
        <w:drawing>
          <wp:inline distT="0" distB="0" distL="0" distR="0" wp14:anchorId="1EC8752C" wp14:editId="5DA08219">
            <wp:extent cx="5943600" cy="3281680"/>
            <wp:effectExtent l="0" t="0" r="0" b="0"/>
            <wp:docPr id="362845412" name="Picture 5" descr="A map of the united stat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2845412" name="Picture 5" descr="A map of the united states&#10;&#10;Description automatically generated"/>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943600" cy="3281680"/>
                    </a:xfrm>
                    <a:prstGeom prst="rect">
                      <a:avLst/>
                    </a:prstGeom>
                    <a:noFill/>
                    <a:ln>
                      <a:noFill/>
                    </a:ln>
                  </pic:spPr>
                </pic:pic>
              </a:graphicData>
            </a:graphic>
          </wp:inline>
        </w:drawing>
      </w:r>
    </w:p>
    <w:p w14:paraId="591A88E7" w14:textId="68996F53" w:rsidR="009F1E5F" w:rsidRDefault="009F1E5F" w:rsidP="00D52313">
      <w:pPr>
        <w:pStyle w:val="Caption"/>
      </w:pPr>
      <w:bookmarkStart w:id="109" w:name="_Ref158818105"/>
      <w:r>
        <w:t xml:space="preserve">Figure </w:t>
      </w:r>
      <w:bookmarkEnd w:id="109"/>
      <w:r w:rsidR="004D4534">
        <w:t>2</w:t>
      </w:r>
      <w:r w:rsidR="00F74F72">
        <w:rPr>
          <w:noProof/>
        </w:rPr>
        <w:t>3</w:t>
      </w:r>
      <w:r w:rsidRPr="00D80797">
        <w:t xml:space="preserve">: Composite difference between UNet 3+ AOD and satellite DB AOD for </w:t>
      </w:r>
      <w:r>
        <w:t>summer</w:t>
      </w:r>
      <w:r w:rsidRPr="00D80797">
        <w:t xml:space="preserve"> (</w:t>
      </w:r>
      <w:r>
        <w:t>JJA</w:t>
      </w:r>
      <w:r w:rsidRPr="00D80797">
        <w:t>).</w:t>
      </w:r>
    </w:p>
    <w:p w14:paraId="6993CDF3" w14:textId="06868CBB" w:rsidR="00F67377" w:rsidRPr="00F67377" w:rsidRDefault="00F67377" w:rsidP="001904F0">
      <w:r>
        <w:tab/>
        <w:t>In the fall (</w:t>
      </w:r>
      <w:r w:rsidR="00595492">
        <w:t>Figure 2</w:t>
      </w:r>
      <w:r w:rsidR="001917DD">
        <w:t>4</w:t>
      </w:r>
      <w:r>
        <w:t xml:space="preserve">), </w:t>
      </w:r>
      <w:r w:rsidR="006B72BB">
        <w:t xml:space="preserve">UNet 3+ predictions </w:t>
      </w:r>
      <w:r w:rsidR="005C66D2">
        <w:t xml:space="preserve">align </w:t>
      </w:r>
      <w:r w:rsidR="00C75EAA">
        <w:t xml:space="preserve">with </w:t>
      </w:r>
      <w:r w:rsidR="00763D27">
        <w:t>DB</w:t>
      </w:r>
      <w:r w:rsidR="00C75EAA">
        <w:t xml:space="preserve"> retrievals outside of the Pacific Northwest</w:t>
      </w:r>
      <w:r w:rsidR="005C66D2">
        <w:t>,</w:t>
      </w:r>
      <w:r w:rsidR="007274D6">
        <w:t xml:space="preserve"> due to wildfire</w:t>
      </w:r>
      <w:r w:rsidR="002F7C7D">
        <w:t xml:space="preserve"> smoke</w:t>
      </w:r>
      <w:r w:rsidR="007274D6">
        <w:t>, which can still occur in September and October.</w:t>
      </w:r>
      <w:r w:rsidR="00B83881">
        <w:t xml:space="preserve"> UNet 3+ again </w:t>
      </w:r>
      <w:r w:rsidR="009E3304">
        <w:t xml:space="preserve">seems to overestimate AOD values in this region by up to 0.1. However, </w:t>
      </w:r>
      <w:r w:rsidR="009D3602">
        <w:t>all other regions a</w:t>
      </w:r>
      <w:r w:rsidR="00C86091">
        <w:t>re</w:t>
      </w:r>
      <w:r w:rsidR="009D3602">
        <w:t xml:space="preserve"> within </w:t>
      </w:r>
      <w:r w:rsidR="009D3602">
        <w:rPr>
          <w:rFonts w:cs="Times New Roman"/>
        </w:rPr>
        <w:t>±</w:t>
      </w:r>
      <w:r w:rsidR="00763D27">
        <w:t>0.03 of DB on average.</w:t>
      </w:r>
    </w:p>
    <w:p w14:paraId="63D2FCF1" w14:textId="77777777" w:rsidR="009F1E5F" w:rsidRDefault="000E6889" w:rsidP="001904F0">
      <w:pPr>
        <w:keepNext/>
        <w:spacing w:after="0"/>
      </w:pPr>
      <w:r w:rsidRPr="000E6889">
        <w:rPr>
          <w:rFonts w:eastAsia="Times New Roman" w:cs="Times New Roman"/>
          <w:noProof/>
          <w:color w:val="000000"/>
          <w:szCs w:val="24"/>
          <w:bdr w:val="none" w:sz="0" w:space="0" w:color="auto" w:frame="1"/>
        </w:rPr>
        <w:lastRenderedPageBreak/>
        <w:drawing>
          <wp:inline distT="0" distB="0" distL="0" distR="0" wp14:anchorId="0B43CABE" wp14:editId="08C34946">
            <wp:extent cx="5943600" cy="3234055"/>
            <wp:effectExtent l="0" t="0" r="0" b="4445"/>
            <wp:docPr id="102560373" name="Picture 4" descr="A map of the united stat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60373" name="Picture 4" descr="A map of the united states&#10;&#10;Description automatically generated"/>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943600" cy="3234055"/>
                    </a:xfrm>
                    <a:prstGeom prst="rect">
                      <a:avLst/>
                    </a:prstGeom>
                    <a:noFill/>
                    <a:ln>
                      <a:noFill/>
                    </a:ln>
                  </pic:spPr>
                </pic:pic>
              </a:graphicData>
            </a:graphic>
          </wp:inline>
        </w:drawing>
      </w:r>
    </w:p>
    <w:p w14:paraId="56E62666" w14:textId="5DE3F8EF" w:rsidR="000E6889" w:rsidRPr="000E6889" w:rsidRDefault="009F1E5F" w:rsidP="00D52313">
      <w:pPr>
        <w:pStyle w:val="Caption"/>
        <w:rPr>
          <w:rFonts w:eastAsia="Times New Roman" w:cs="Times New Roman"/>
        </w:rPr>
      </w:pPr>
      <w:bookmarkStart w:id="110" w:name="_Ref158818134"/>
      <w:r>
        <w:t>Figure</w:t>
      </w:r>
      <w:bookmarkEnd w:id="110"/>
      <w:r w:rsidR="00595492">
        <w:t xml:space="preserve"> 24</w:t>
      </w:r>
      <w:r w:rsidRPr="00B82BDD">
        <w:t xml:space="preserve">: Composite difference between UNet 3+ AOD and satellite DB AOD for </w:t>
      </w:r>
      <w:r>
        <w:t>fall</w:t>
      </w:r>
      <w:r w:rsidRPr="00B82BDD">
        <w:t xml:space="preserve"> (</w:t>
      </w:r>
      <w:r>
        <w:t>SON</w:t>
      </w:r>
      <w:r w:rsidRPr="00B82BDD">
        <w:t>).</w:t>
      </w:r>
    </w:p>
    <w:p w14:paraId="5D5F1E07" w14:textId="77777777" w:rsidR="006D1133" w:rsidRDefault="006D1133" w:rsidP="006D1133">
      <w:pPr>
        <w:pStyle w:val="Heading3"/>
        <w:rPr>
          <w:color w:val="000000"/>
        </w:rPr>
      </w:pPr>
    </w:p>
    <w:p w14:paraId="02C1A4FA" w14:textId="4B6C1E2C" w:rsidR="006D1133" w:rsidRDefault="006D1133" w:rsidP="006D1133">
      <w:pPr>
        <w:pStyle w:val="Heading3"/>
        <w:rPr>
          <w:color w:val="000000"/>
        </w:rPr>
      </w:pPr>
      <w:bookmarkStart w:id="111" w:name="_Toc161431114"/>
      <w:r>
        <w:rPr>
          <w:color w:val="000000"/>
        </w:rPr>
        <w:t xml:space="preserve">4.1.3 Comparison </w:t>
      </w:r>
      <w:r w:rsidR="0003131A">
        <w:rPr>
          <w:color w:val="000000"/>
        </w:rPr>
        <w:t>with</w:t>
      </w:r>
      <w:r>
        <w:rPr>
          <w:color w:val="000000"/>
        </w:rPr>
        <w:t xml:space="preserve"> Existing Methods</w:t>
      </w:r>
      <w:bookmarkEnd w:id="111"/>
    </w:p>
    <w:tbl>
      <w:tblPr>
        <w:tblStyle w:val="TableGrid"/>
        <w:tblW w:w="9355" w:type="dxa"/>
        <w:tblLayout w:type="fixed"/>
        <w:tblLook w:val="04A0" w:firstRow="1" w:lastRow="0" w:firstColumn="1" w:lastColumn="0" w:noHBand="0" w:noVBand="1"/>
      </w:tblPr>
      <w:tblGrid>
        <w:gridCol w:w="3685"/>
        <w:gridCol w:w="1170"/>
        <w:gridCol w:w="1260"/>
        <w:gridCol w:w="1260"/>
        <w:gridCol w:w="1980"/>
      </w:tblGrid>
      <w:tr w:rsidR="00827F04" w14:paraId="307F521C" w14:textId="77777777" w:rsidTr="00F51CE4">
        <w:tc>
          <w:tcPr>
            <w:tcW w:w="3685" w:type="dxa"/>
          </w:tcPr>
          <w:p w14:paraId="6F5A3D2C" w14:textId="37E77C70" w:rsidR="00827F04" w:rsidRPr="00DA2469" w:rsidRDefault="00827F04" w:rsidP="00D176F5">
            <w:pPr>
              <w:jc w:val="center"/>
              <w:rPr>
                <w:b/>
                <w:bCs/>
              </w:rPr>
            </w:pPr>
            <w:r w:rsidRPr="00DA2469">
              <w:rPr>
                <w:b/>
                <w:bCs/>
              </w:rPr>
              <w:t>Method</w:t>
            </w:r>
          </w:p>
        </w:tc>
        <w:tc>
          <w:tcPr>
            <w:tcW w:w="1170" w:type="dxa"/>
          </w:tcPr>
          <w:p w14:paraId="73E9AEFA" w14:textId="1DAFD5B2" w:rsidR="00827F04" w:rsidRPr="00DA2469" w:rsidRDefault="00827F04" w:rsidP="00D176F5">
            <w:pPr>
              <w:jc w:val="center"/>
              <w:rPr>
                <w:b/>
                <w:bCs/>
              </w:rPr>
            </w:pPr>
            <w:r w:rsidRPr="00DA2469">
              <w:rPr>
                <w:b/>
                <w:bCs/>
              </w:rPr>
              <w:t>RMSE</w:t>
            </w:r>
          </w:p>
        </w:tc>
        <w:tc>
          <w:tcPr>
            <w:tcW w:w="1260" w:type="dxa"/>
          </w:tcPr>
          <w:p w14:paraId="66EA9F89" w14:textId="1A5BD9F5" w:rsidR="00827F04" w:rsidRPr="00DA2469" w:rsidRDefault="00827F04" w:rsidP="00D176F5">
            <w:pPr>
              <w:jc w:val="center"/>
              <w:rPr>
                <w:b/>
                <w:bCs/>
              </w:rPr>
            </w:pPr>
            <w:r w:rsidRPr="00DA2469">
              <w:rPr>
                <w:b/>
                <w:bCs/>
              </w:rPr>
              <w:t>R</w:t>
            </w:r>
          </w:p>
        </w:tc>
        <w:tc>
          <w:tcPr>
            <w:tcW w:w="1260" w:type="dxa"/>
          </w:tcPr>
          <w:p w14:paraId="51F72834" w14:textId="2F724475" w:rsidR="00827F04" w:rsidRPr="00DA2469" w:rsidRDefault="00827F04" w:rsidP="00D176F5">
            <w:pPr>
              <w:jc w:val="center"/>
              <w:rPr>
                <w:b/>
                <w:bCs/>
              </w:rPr>
            </w:pPr>
            <w:r w:rsidRPr="00DA2469">
              <w:rPr>
                <w:b/>
                <w:bCs/>
              </w:rPr>
              <w:t>Region</w:t>
            </w:r>
          </w:p>
        </w:tc>
        <w:tc>
          <w:tcPr>
            <w:tcW w:w="1980" w:type="dxa"/>
          </w:tcPr>
          <w:p w14:paraId="11CE4024" w14:textId="4F2978CE" w:rsidR="00827F04" w:rsidRPr="00DA2469" w:rsidRDefault="00827F04" w:rsidP="00D176F5">
            <w:pPr>
              <w:jc w:val="center"/>
              <w:rPr>
                <w:b/>
                <w:bCs/>
              </w:rPr>
            </w:pPr>
            <w:r w:rsidRPr="00DA2469">
              <w:rPr>
                <w:b/>
                <w:bCs/>
              </w:rPr>
              <w:t>Source</w:t>
            </w:r>
          </w:p>
        </w:tc>
      </w:tr>
      <w:tr w:rsidR="00827F04" w14:paraId="310380D5" w14:textId="77777777" w:rsidTr="00F51CE4">
        <w:tc>
          <w:tcPr>
            <w:tcW w:w="3685" w:type="dxa"/>
          </w:tcPr>
          <w:p w14:paraId="1F7DDC62" w14:textId="7C9117F8" w:rsidR="00827F04" w:rsidRDefault="00D176F5" w:rsidP="00827F04">
            <w:r>
              <w:t>Bayesian (still has gaps)</w:t>
            </w:r>
          </w:p>
        </w:tc>
        <w:tc>
          <w:tcPr>
            <w:tcW w:w="1170" w:type="dxa"/>
          </w:tcPr>
          <w:p w14:paraId="3A7C57C5" w14:textId="10FD97F3" w:rsidR="00827F04" w:rsidRDefault="00DD57E5" w:rsidP="00827F04">
            <w:r>
              <w:t>0.08-0.13</w:t>
            </w:r>
          </w:p>
        </w:tc>
        <w:tc>
          <w:tcPr>
            <w:tcW w:w="1260" w:type="dxa"/>
          </w:tcPr>
          <w:p w14:paraId="4F3FF4EF" w14:textId="76399B18" w:rsidR="00827F04" w:rsidRDefault="00DD57E5" w:rsidP="00827F04">
            <w:r>
              <w:t>0.89-0.93</w:t>
            </w:r>
          </w:p>
        </w:tc>
        <w:tc>
          <w:tcPr>
            <w:tcW w:w="1260" w:type="dxa"/>
          </w:tcPr>
          <w:p w14:paraId="63A462E4" w14:textId="236B9224" w:rsidR="00827F04" w:rsidRDefault="00DD57E5" w:rsidP="00827F04">
            <w:r>
              <w:t>India</w:t>
            </w:r>
          </w:p>
        </w:tc>
        <w:tc>
          <w:tcPr>
            <w:tcW w:w="1980" w:type="dxa"/>
          </w:tcPr>
          <w:p w14:paraId="3472BE83" w14:textId="34A88E15" w:rsidR="00827F04" w:rsidRDefault="0069168B" w:rsidP="00827F04">
            <w:r>
              <w:t>Singh et al., 2017</w:t>
            </w:r>
          </w:p>
        </w:tc>
      </w:tr>
      <w:tr w:rsidR="00827F04" w14:paraId="5F205AF4" w14:textId="77777777" w:rsidTr="00F51CE4">
        <w:tc>
          <w:tcPr>
            <w:tcW w:w="3685" w:type="dxa"/>
          </w:tcPr>
          <w:p w14:paraId="6E722BAA" w14:textId="01E9B827" w:rsidR="00827F04" w:rsidRDefault="00D176F5" w:rsidP="00827F04">
            <w:r>
              <w:t>Bayesian Maximum Entropy (still has gaps)</w:t>
            </w:r>
          </w:p>
        </w:tc>
        <w:tc>
          <w:tcPr>
            <w:tcW w:w="1170" w:type="dxa"/>
          </w:tcPr>
          <w:p w14:paraId="2D02131E" w14:textId="7E65B34A" w:rsidR="00827F04" w:rsidRDefault="00DD57E5" w:rsidP="00827F04">
            <w:r>
              <w:t>0.29</w:t>
            </w:r>
          </w:p>
        </w:tc>
        <w:tc>
          <w:tcPr>
            <w:tcW w:w="1260" w:type="dxa"/>
          </w:tcPr>
          <w:p w14:paraId="43A43134" w14:textId="60CBD827" w:rsidR="00827F04" w:rsidRDefault="0069168B" w:rsidP="00827F04">
            <w:r>
              <w:t>0.75</w:t>
            </w:r>
          </w:p>
        </w:tc>
        <w:tc>
          <w:tcPr>
            <w:tcW w:w="1260" w:type="dxa"/>
          </w:tcPr>
          <w:p w14:paraId="0D00606D" w14:textId="43E0631E" w:rsidR="00827F04" w:rsidRDefault="00DD57E5" w:rsidP="00827F04">
            <w:r>
              <w:t>China</w:t>
            </w:r>
          </w:p>
        </w:tc>
        <w:tc>
          <w:tcPr>
            <w:tcW w:w="1980" w:type="dxa"/>
          </w:tcPr>
          <w:p w14:paraId="627FE27A" w14:textId="07A3290C" w:rsidR="00827F04" w:rsidRDefault="0069168B" w:rsidP="00827F04">
            <w:r>
              <w:t>Tang et al., 2017</w:t>
            </w:r>
          </w:p>
        </w:tc>
      </w:tr>
      <w:tr w:rsidR="00827F04" w14:paraId="2E77B7BC" w14:textId="77777777" w:rsidTr="00F51CE4">
        <w:tc>
          <w:tcPr>
            <w:tcW w:w="3685" w:type="dxa"/>
          </w:tcPr>
          <w:p w14:paraId="774E2D69" w14:textId="48EDE56C" w:rsidR="00827F04" w:rsidRDefault="00D176F5" w:rsidP="00827F04">
            <w:r>
              <w:t>Random Forest</w:t>
            </w:r>
          </w:p>
        </w:tc>
        <w:tc>
          <w:tcPr>
            <w:tcW w:w="1170" w:type="dxa"/>
          </w:tcPr>
          <w:p w14:paraId="0D310F22" w14:textId="57769CB3" w:rsidR="00827F04" w:rsidRDefault="00DD57E5" w:rsidP="00827F04">
            <w:r>
              <w:t>0.20</w:t>
            </w:r>
          </w:p>
        </w:tc>
        <w:tc>
          <w:tcPr>
            <w:tcW w:w="1260" w:type="dxa"/>
          </w:tcPr>
          <w:p w14:paraId="2E1E33BD" w14:textId="4F331762" w:rsidR="00827F04" w:rsidRDefault="0069168B" w:rsidP="00827F04">
            <w:r>
              <w:t>0.60</w:t>
            </w:r>
          </w:p>
        </w:tc>
        <w:tc>
          <w:tcPr>
            <w:tcW w:w="1260" w:type="dxa"/>
          </w:tcPr>
          <w:p w14:paraId="57B3AFD4" w14:textId="5973ED23" w:rsidR="00827F04" w:rsidRDefault="00DD57E5" w:rsidP="00827F04">
            <w:r>
              <w:t>China</w:t>
            </w:r>
          </w:p>
        </w:tc>
        <w:tc>
          <w:tcPr>
            <w:tcW w:w="1980" w:type="dxa"/>
          </w:tcPr>
          <w:p w14:paraId="236D2D83" w14:textId="5096DDAF" w:rsidR="00827F04" w:rsidRDefault="0069168B" w:rsidP="00827F04">
            <w:r>
              <w:t>Jiang et al., 2021</w:t>
            </w:r>
          </w:p>
        </w:tc>
      </w:tr>
      <w:tr w:rsidR="00827F04" w14:paraId="618115B8" w14:textId="77777777" w:rsidTr="00F51CE4">
        <w:tc>
          <w:tcPr>
            <w:tcW w:w="3685" w:type="dxa"/>
          </w:tcPr>
          <w:p w14:paraId="41D0632A" w14:textId="23B70CCE" w:rsidR="00827F04" w:rsidRDefault="00D176F5" w:rsidP="00827F04">
            <w:r>
              <w:t>Multi-Stage Spatiotemporal Fitting</w:t>
            </w:r>
          </w:p>
        </w:tc>
        <w:tc>
          <w:tcPr>
            <w:tcW w:w="1170" w:type="dxa"/>
          </w:tcPr>
          <w:p w14:paraId="7279211D" w14:textId="0249ABEB" w:rsidR="00827F04" w:rsidRDefault="00DD57E5" w:rsidP="00827F04">
            <w:r>
              <w:t>0.24-0.27</w:t>
            </w:r>
          </w:p>
        </w:tc>
        <w:tc>
          <w:tcPr>
            <w:tcW w:w="1260" w:type="dxa"/>
          </w:tcPr>
          <w:p w14:paraId="2BF85417" w14:textId="3512BC0F" w:rsidR="00827F04" w:rsidRDefault="0069168B" w:rsidP="00827F04">
            <w:r>
              <w:t>0.84-0.88</w:t>
            </w:r>
          </w:p>
        </w:tc>
        <w:tc>
          <w:tcPr>
            <w:tcW w:w="1260" w:type="dxa"/>
          </w:tcPr>
          <w:p w14:paraId="70BEC840" w14:textId="29AB687D" w:rsidR="00827F04" w:rsidRDefault="00DD57E5" w:rsidP="00827F04">
            <w:r>
              <w:t>China</w:t>
            </w:r>
          </w:p>
        </w:tc>
        <w:tc>
          <w:tcPr>
            <w:tcW w:w="1980" w:type="dxa"/>
          </w:tcPr>
          <w:p w14:paraId="62152D8B" w14:textId="3CF227F6" w:rsidR="00827F04" w:rsidRDefault="0069168B" w:rsidP="00827F04">
            <w:r>
              <w:t>Zhang et al., 2021</w:t>
            </w:r>
          </w:p>
        </w:tc>
      </w:tr>
      <w:tr w:rsidR="00827F04" w14:paraId="32133599" w14:textId="77777777" w:rsidTr="00F51CE4">
        <w:tc>
          <w:tcPr>
            <w:tcW w:w="3685" w:type="dxa"/>
          </w:tcPr>
          <w:p w14:paraId="302B2716" w14:textId="1A7D1010" w:rsidR="00827F04" w:rsidRDefault="00D176F5" w:rsidP="00827F04">
            <w:r>
              <w:t>Tensor Completion</w:t>
            </w:r>
          </w:p>
        </w:tc>
        <w:tc>
          <w:tcPr>
            <w:tcW w:w="1170" w:type="dxa"/>
          </w:tcPr>
          <w:p w14:paraId="02873869" w14:textId="1F7901C7" w:rsidR="00827F04" w:rsidRDefault="0069168B" w:rsidP="00827F04">
            <w:r>
              <w:t>0.21</w:t>
            </w:r>
          </w:p>
        </w:tc>
        <w:tc>
          <w:tcPr>
            <w:tcW w:w="1260" w:type="dxa"/>
          </w:tcPr>
          <w:p w14:paraId="188BB737" w14:textId="4FA403AB" w:rsidR="00827F04" w:rsidRDefault="0069168B" w:rsidP="00827F04">
            <w:r>
              <w:t>0.91</w:t>
            </w:r>
          </w:p>
        </w:tc>
        <w:tc>
          <w:tcPr>
            <w:tcW w:w="1260" w:type="dxa"/>
          </w:tcPr>
          <w:p w14:paraId="43006CC2" w14:textId="3BD23F32" w:rsidR="00827F04" w:rsidRDefault="00DD57E5" w:rsidP="00827F04">
            <w:r>
              <w:t>China</w:t>
            </w:r>
          </w:p>
        </w:tc>
        <w:tc>
          <w:tcPr>
            <w:tcW w:w="1980" w:type="dxa"/>
          </w:tcPr>
          <w:p w14:paraId="02592CAA" w14:textId="0A48104F" w:rsidR="00827F04" w:rsidRDefault="0069168B" w:rsidP="00827F04">
            <w:r>
              <w:t>Bai et al., 2022</w:t>
            </w:r>
          </w:p>
        </w:tc>
      </w:tr>
      <w:tr w:rsidR="00455E4E" w14:paraId="63B2A605" w14:textId="77777777" w:rsidTr="00F51CE4">
        <w:tc>
          <w:tcPr>
            <w:tcW w:w="3685" w:type="dxa"/>
          </w:tcPr>
          <w:p w14:paraId="118FEFC9" w14:textId="2FF72ADC" w:rsidR="00455E4E" w:rsidRDefault="00455E4E" w:rsidP="00827F04">
            <w:r>
              <w:rPr>
                <w:rFonts w:eastAsia="Times New Roman" w:cs="Times New Roman"/>
                <w:color w:val="000000"/>
                <w:szCs w:val="24"/>
              </w:rPr>
              <w:t>4D-STET</w:t>
            </w:r>
          </w:p>
        </w:tc>
        <w:tc>
          <w:tcPr>
            <w:tcW w:w="1170" w:type="dxa"/>
          </w:tcPr>
          <w:p w14:paraId="59EEBB26" w14:textId="5BF68832" w:rsidR="00455E4E" w:rsidRDefault="0067504D" w:rsidP="00827F04">
            <w:r>
              <w:t>Did not report</w:t>
            </w:r>
          </w:p>
        </w:tc>
        <w:tc>
          <w:tcPr>
            <w:tcW w:w="1260" w:type="dxa"/>
          </w:tcPr>
          <w:p w14:paraId="368E856F" w14:textId="064E0205" w:rsidR="00455E4E" w:rsidRDefault="0067504D" w:rsidP="00827F04">
            <w:r>
              <w:t>0.73</w:t>
            </w:r>
          </w:p>
        </w:tc>
        <w:tc>
          <w:tcPr>
            <w:tcW w:w="1260" w:type="dxa"/>
          </w:tcPr>
          <w:p w14:paraId="14A1CAFE" w14:textId="73EE3181" w:rsidR="00455E4E" w:rsidRDefault="00455E4E" w:rsidP="00827F04">
            <w:r>
              <w:t>Global (land)</w:t>
            </w:r>
          </w:p>
        </w:tc>
        <w:tc>
          <w:tcPr>
            <w:tcW w:w="1980" w:type="dxa"/>
          </w:tcPr>
          <w:p w14:paraId="1DF539AF" w14:textId="06C5DC22" w:rsidR="00455E4E" w:rsidRDefault="00455E4E" w:rsidP="00827F04">
            <w:r>
              <w:rPr>
                <w:rFonts w:eastAsia="Times New Roman" w:cs="Times New Roman"/>
                <w:color w:val="000000"/>
                <w:szCs w:val="24"/>
              </w:rPr>
              <w:t>Wei et al., (2023)</w:t>
            </w:r>
          </w:p>
        </w:tc>
      </w:tr>
      <w:tr w:rsidR="00827F04" w14:paraId="24A0EEE0" w14:textId="77777777" w:rsidTr="00F51CE4">
        <w:tc>
          <w:tcPr>
            <w:tcW w:w="3685" w:type="dxa"/>
          </w:tcPr>
          <w:p w14:paraId="25FBFF22" w14:textId="439EFE11" w:rsidR="00827F04" w:rsidRDefault="00D176F5" w:rsidP="00827F04">
            <w:r>
              <w:lastRenderedPageBreak/>
              <w:t>UNet 3+</w:t>
            </w:r>
          </w:p>
        </w:tc>
        <w:tc>
          <w:tcPr>
            <w:tcW w:w="1170" w:type="dxa"/>
          </w:tcPr>
          <w:p w14:paraId="4F778FF2" w14:textId="78A53DCE" w:rsidR="00827F04" w:rsidRDefault="0069168B" w:rsidP="00827F04">
            <w:r>
              <w:t>0.08</w:t>
            </w:r>
          </w:p>
        </w:tc>
        <w:tc>
          <w:tcPr>
            <w:tcW w:w="1260" w:type="dxa"/>
          </w:tcPr>
          <w:p w14:paraId="38DA1387" w14:textId="6175DD13" w:rsidR="00827F04" w:rsidRDefault="0069168B" w:rsidP="00827F04">
            <w:r>
              <w:t>0.84</w:t>
            </w:r>
          </w:p>
        </w:tc>
        <w:tc>
          <w:tcPr>
            <w:tcW w:w="1260" w:type="dxa"/>
          </w:tcPr>
          <w:p w14:paraId="212BE901" w14:textId="3094FA70" w:rsidR="00827F04" w:rsidRDefault="00DD57E5" w:rsidP="00827F04">
            <w:r>
              <w:t>CONUS</w:t>
            </w:r>
          </w:p>
        </w:tc>
        <w:tc>
          <w:tcPr>
            <w:tcW w:w="1980" w:type="dxa"/>
          </w:tcPr>
          <w:p w14:paraId="2C967F5D" w14:textId="004416BF" w:rsidR="00827F04" w:rsidRDefault="0069168B" w:rsidP="00827F04">
            <w:r>
              <w:t>Lee et al., in prep</w:t>
            </w:r>
          </w:p>
        </w:tc>
      </w:tr>
    </w:tbl>
    <w:p w14:paraId="74969101" w14:textId="5AAD783F" w:rsidR="00827F04" w:rsidRDefault="0003131A" w:rsidP="00D52313">
      <w:pPr>
        <w:pStyle w:val="Caption"/>
      </w:pPr>
      <w:bookmarkStart w:id="112" w:name="_Toc159825962"/>
      <w:r>
        <w:t xml:space="preserve">Table </w:t>
      </w:r>
      <w:r>
        <w:fldChar w:fldCharType="begin"/>
      </w:r>
      <w:r>
        <w:instrText xml:space="preserve"> SEQ Table \* ARABIC </w:instrText>
      </w:r>
      <w:r>
        <w:fldChar w:fldCharType="separate"/>
      </w:r>
      <w:r w:rsidR="00C54A78">
        <w:rPr>
          <w:noProof/>
        </w:rPr>
        <w:t>6</w:t>
      </w:r>
      <w:r>
        <w:fldChar w:fldCharType="end"/>
      </w:r>
      <w:r>
        <w:rPr>
          <w:noProof/>
        </w:rPr>
        <w:t>: A collection of AOD gap-filling models and their performance.</w:t>
      </w:r>
      <w:bookmarkEnd w:id="112"/>
    </w:p>
    <w:p w14:paraId="0399C964" w14:textId="450EB569" w:rsidR="003736FE" w:rsidRPr="000E6889" w:rsidRDefault="003736FE" w:rsidP="003736FE">
      <w:pPr>
        <w:ind w:firstLine="720"/>
      </w:pPr>
      <w:r>
        <w:t xml:space="preserve">Table 6 shows the statistical performance of previous gap-fill models.  From Table 6, </w:t>
      </w:r>
      <w:r w:rsidRPr="000E6889">
        <w:t>the gap-filled product from UNet 3+ performs either better or on-par with a selection of modern gap-filling methods when evaluated against AERONET for RMSE and r. UNet 3+ gap-filling scores the lowest RMSE</w:t>
      </w:r>
      <w:r>
        <w:t>,</w:t>
      </w:r>
      <w:r w:rsidRPr="000E6889">
        <w:t xml:space="preserve"> and its r is only surpassed by Bayesian merging (Singh et al., 2017), tensor completion (Bai et al., 2022), and the multi-stage spatiotemporal fitting developed by Zhang et al. </w:t>
      </w:r>
      <w:r>
        <w:t>(</w:t>
      </w:r>
      <w:r w:rsidRPr="000E6889">
        <w:t>2021</w:t>
      </w:r>
      <w:r>
        <w:t>)</w:t>
      </w:r>
      <w:r w:rsidRPr="000E6889">
        <w:t>. </w:t>
      </w:r>
    </w:p>
    <w:p w14:paraId="3DCFAC90" w14:textId="0B6E53D0" w:rsidR="003736FE" w:rsidRPr="000E6889" w:rsidRDefault="003736FE" w:rsidP="003736FE">
      <w:pPr>
        <w:spacing w:after="0"/>
        <w:ind w:firstLine="720"/>
        <w:rPr>
          <w:rFonts w:eastAsia="Times New Roman" w:cs="Times New Roman"/>
          <w:szCs w:val="24"/>
        </w:rPr>
      </w:pPr>
      <w:r w:rsidRPr="000E6889">
        <w:rPr>
          <w:rFonts w:eastAsia="Times New Roman" w:cs="Times New Roman"/>
          <w:color w:val="000000"/>
          <w:szCs w:val="24"/>
        </w:rPr>
        <w:t>The Bayesian merging approach yields a daily AOD product with excellent performance metrics</w:t>
      </w:r>
      <w:r>
        <w:rPr>
          <w:rFonts w:eastAsia="Times New Roman" w:cs="Times New Roman"/>
          <w:color w:val="000000"/>
          <w:szCs w:val="24"/>
        </w:rPr>
        <w:t>. U</w:t>
      </w:r>
      <w:r w:rsidRPr="000E6889">
        <w:rPr>
          <w:rFonts w:eastAsia="Times New Roman" w:cs="Times New Roman"/>
          <w:color w:val="000000"/>
          <w:szCs w:val="24"/>
        </w:rPr>
        <w:t xml:space="preserve">nfortunately, since the technique </w:t>
      </w:r>
      <w:r>
        <w:rPr>
          <w:rFonts w:eastAsia="Times New Roman" w:cs="Times New Roman"/>
          <w:color w:val="000000"/>
          <w:szCs w:val="24"/>
        </w:rPr>
        <w:t xml:space="preserve">still </w:t>
      </w:r>
      <w:r w:rsidRPr="000E6889">
        <w:rPr>
          <w:rFonts w:eastAsia="Times New Roman" w:cs="Times New Roman"/>
          <w:color w:val="000000"/>
          <w:szCs w:val="24"/>
        </w:rPr>
        <w:t xml:space="preserve">relies on composing AOD retrievals from various satellites (MODIS and MISR in the original study), the resulting maps still have gaps where none of the input satellites </w:t>
      </w:r>
      <w:r>
        <w:rPr>
          <w:rFonts w:eastAsia="Times New Roman" w:cs="Times New Roman"/>
          <w:color w:val="000000"/>
          <w:szCs w:val="24"/>
        </w:rPr>
        <w:t>could perform</w:t>
      </w:r>
      <w:r w:rsidRPr="000E6889">
        <w:rPr>
          <w:rFonts w:eastAsia="Times New Roman" w:cs="Times New Roman"/>
          <w:color w:val="000000"/>
          <w:szCs w:val="24"/>
        </w:rPr>
        <w:t xml:space="preserve"> a retrieval. Also worth noting is that the authors accounted for “the error distribution of AOD from AERONET data” (Singh et al., 2017), meaning the model is directly optimized for estimating AERONET AOD densities. </w:t>
      </w:r>
      <w:r w:rsidR="00667F89">
        <w:rPr>
          <w:rFonts w:eastAsia="Times New Roman" w:cs="Times New Roman"/>
          <w:color w:val="000000"/>
          <w:szCs w:val="24"/>
        </w:rPr>
        <w:t>Despite the fact</w:t>
      </w:r>
      <w:r w:rsidRPr="000E6889">
        <w:rPr>
          <w:rFonts w:eastAsia="Times New Roman" w:cs="Times New Roman"/>
          <w:color w:val="000000"/>
          <w:szCs w:val="24"/>
        </w:rPr>
        <w:t xml:space="preserve"> the UNet 3+ model we </w:t>
      </w:r>
      <w:r w:rsidR="00667F89" w:rsidRPr="000E6889">
        <w:rPr>
          <w:rFonts w:eastAsia="Times New Roman" w:cs="Times New Roman"/>
          <w:color w:val="000000"/>
          <w:szCs w:val="24"/>
        </w:rPr>
        <w:t xml:space="preserve">trained </w:t>
      </w:r>
      <w:r w:rsidRPr="000E6889">
        <w:rPr>
          <w:rFonts w:eastAsia="Times New Roman" w:cs="Times New Roman"/>
          <w:color w:val="000000"/>
          <w:szCs w:val="24"/>
        </w:rPr>
        <w:t xml:space="preserve">is AERONET-agnostic </w:t>
      </w:r>
      <w:r>
        <w:rPr>
          <w:rFonts w:eastAsia="Times New Roman" w:cs="Times New Roman"/>
          <w:color w:val="000000"/>
          <w:szCs w:val="24"/>
        </w:rPr>
        <w:t>(</w:t>
      </w:r>
      <w:r w:rsidRPr="000E6889">
        <w:rPr>
          <w:rFonts w:eastAsia="Times New Roman" w:cs="Times New Roman"/>
          <w:color w:val="000000"/>
          <w:szCs w:val="24"/>
        </w:rPr>
        <w:t>i.e.</w:t>
      </w:r>
      <w:r>
        <w:rPr>
          <w:rFonts w:eastAsia="Times New Roman" w:cs="Times New Roman"/>
          <w:color w:val="000000"/>
          <w:szCs w:val="24"/>
        </w:rPr>
        <w:t>,</w:t>
      </w:r>
      <w:r w:rsidRPr="000E6889">
        <w:rPr>
          <w:rFonts w:eastAsia="Times New Roman" w:cs="Times New Roman"/>
          <w:color w:val="000000"/>
          <w:szCs w:val="24"/>
        </w:rPr>
        <w:t xml:space="preserve"> it was not trained on any AERONET data</w:t>
      </w:r>
      <w:r>
        <w:rPr>
          <w:rFonts w:eastAsia="Times New Roman" w:cs="Times New Roman"/>
          <w:color w:val="000000"/>
          <w:szCs w:val="24"/>
        </w:rPr>
        <w:t xml:space="preserve">), it </w:t>
      </w:r>
      <w:r w:rsidR="00667F89">
        <w:rPr>
          <w:rFonts w:eastAsia="Times New Roman" w:cs="Times New Roman"/>
          <w:color w:val="000000"/>
          <w:szCs w:val="24"/>
        </w:rPr>
        <w:t xml:space="preserve">still </w:t>
      </w:r>
      <w:r w:rsidRPr="000E6889">
        <w:rPr>
          <w:rFonts w:eastAsia="Times New Roman" w:cs="Times New Roman"/>
          <w:color w:val="000000"/>
          <w:szCs w:val="24"/>
        </w:rPr>
        <w:t>perform</w:t>
      </w:r>
      <w:r>
        <w:rPr>
          <w:rFonts w:eastAsia="Times New Roman" w:cs="Times New Roman"/>
          <w:color w:val="000000"/>
          <w:szCs w:val="24"/>
        </w:rPr>
        <w:t>ed</w:t>
      </w:r>
      <w:r w:rsidRPr="000E6889">
        <w:rPr>
          <w:rFonts w:eastAsia="Times New Roman" w:cs="Times New Roman"/>
          <w:color w:val="000000"/>
          <w:szCs w:val="24"/>
        </w:rPr>
        <w:t xml:space="preserve"> </w:t>
      </w:r>
      <w:r w:rsidR="00667F89">
        <w:rPr>
          <w:rFonts w:eastAsia="Times New Roman" w:cs="Times New Roman"/>
          <w:color w:val="000000"/>
          <w:szCs w:val="24"/>
        </w:rPr>
        <w:t xml:space="preserve">relatively </w:t>
      </w:r>
      <w:r w:rsidRPr="000E6889">
        <w:rPr>
          <w:rFonts w:eastAsia="Times New Roman" w:cs="Times New Roman"/>
          <w:color w:val="000000"/>
          <w:szCs w:val="24"/>
        </w:rPr>
        <w:t>well</w:t>
      </w:r>
      <w:r>
        <w:rPr>
          <w:rFonts w:eastAsia="Times New Roman" w:cs="Times New Roman"/>
          <w:color w:val="000000"/>
          <w:szCs w:val="24"/>
        </w:rPr>
        <w:t xml:space="preserve"> according to the statistical evaluation</w:t>
      </w:r>
      <w:r w:rsidRPr="000E6889">
        <w:rPr>
          <w:rFonts w:eastAsia="Times New Roman" w:cs="Times New Roman"/>
          <w:color w:val="000000"/>
          <w:szCs w:val="24"/>
        </w:rPr>
        <w:t>.</w:t>
      </w:r>
    </w:p>
    <w:p w14:paraId="631BE2BB" w14:textId="017AA70D" w:rsidR="003736FE" w:rsidRPr="000E6889" w:rsidRDefault="003736FE" w:rsidP="003736FE">
      <w:pPr>
        <w:spacing w:after="0"/>
        <w:ind w:firstLine="720"/>
        <w:rPr>
          <w:rFonts w:eastAsia="Times New Roman" w:cs="Times New Roman"/>
          <w:szCs w:val="24"/>
        </w:rPr>
      </w:pPr>
      <w:r w:rsidRPr="000E6889">
        <w:rPr>
          <w:rFonts w:eastAsia="Times New Roman" w:cs="Times New Roman"/>
          <w:color w:val="000000"/>
          <w:szCs w:val="24"/>
        </w:rPr>
        <w:t>The tensor completion approach developed by Bai et al.</w:t>
      </w:r>
      <w:r>
        <w:rPr>
          <w:rFonts w:eastAsia="Times New Roman" w:cs="Times New Roman"/>
          <w:color w:val="000000"/>
          <w:szCs w:val="24"/>
        </w:rPr>
        <w:t>, (</w:t>
      </w:r>
      <w:r w:rsidRPr="000E6889">
        <w:rPr>
          <w:rFonts w:eastAsia="Times New Roman" w:cs="Times New Roman"/>
          <w:color w:val="000000"/>
          <w:szCs w:val="24"/>
        </w:rPr>
        <w:t>2022</w:t>
      </w:r>
      <w:r>
        <w:rPr>
          <w:rFonts w:eastAsia="Times New Roman" w:cs="Times New Roman"/>
          <w:color w:val="000000"/>
          <w:szCs w:val="24"/>
        </w:rPr>
        <w:t>)</w:t>
      </w:r>
      <w:r w:rsidRPr="000E6889">
        <w:rPr>
          <w:rFonts w:eastAsia="Times New Roman" w:cs="Times New Roman"/>
          <w:color w:val="000000"/>
          <w:szCs w:val="24"/>
        </w:rPr>
        <w:t xml:space="preserve"> introduces a workflow that is more similar to </w:t>
      </w:r>
      <w:r>
        <w:rPr>
          <w:rFonts w:eastAsia="Times New Roman" w:cs="Times New Roman"/>
          <w:color w:val="000000"/>
          <w:szCs w:val="24"/>
        </w:rPr>
        <w:t xml:space="preserve">our methodology. </w:t>
      </w:r>
      <w:r w:rsidRPr="000E6889">
        <w:rPr>
          <w:rFonts w:eastAsia="Times New Roman" w:cs="Times New Roman"/>
          <w:color w:val="000000"/>
          <w:szCs w:val="24"/>
        </w:rPr>
        <w:t>AOD data from multiple satellite instruments (Terra MODIS, Aqua MODIS, Terra MISR, Suomi-NPP VIIRS, Envisat AATSR, and PARASOL POLDER) and MERRA-2 is first fed into a set of pre-processing models that regrids everything to a 1 km resolution using meteorology and land-use auxiliary variables. To perform the gap-filling, the regridded AOD tensors are passed into the higher-order singular value decomposition</w:t>
      </w:r>
      <w:r>
        <w:rPr>
          <w:rFonts w:eastAsia="Times New Roman" w:cs="Times New Roman"/>
          <w:color w:val="000000"/>
          <w:szCs w:val="24"/>
        </w:rPr>
        <w:t xml:space="preserve"> (</w:t>
      </w:r>
      <w:r w:rsidRPr="000E6889">
        <w:rPr>
          <w:rFonts w:eastAsia="Times New Roman" w:cs="Times New Roman"/>
          <w:color w:val="000000"/>
          <w:szCs w:val="24"/>
        </w:rPr>
        <w:t>HOSVD</w:t>
      </w:r>
      <w:r>
        <w:rPr>
          <w:rFonts w:eastAsia="Times New Roman" w:cs="Times New Roman"/>
          <w:color w:val="000000"/>
          <w:szCs w:val="24"/>
        </w:rPr>
        <w:t>),</w:t>
      </w:r>
      <w:r w:rsidRPr="000E6889">
        <w:rPr>
          <w:rFonts w:eastAsia="Times New Roman" w:cs="Times New Roman"/>
          <w:color w:val="000000"/>
          <w:szCs w:val="24"/>
        </w:rPr>
        <w:t xml:space="preserve"> with the MAIAC AOD product from Terra as a baseline. The authors used this method to create a long-term (2000-2020) daily 1 km resolution AOD dataset over China.</w:t>
      </w:r>
    </w:p>
    <w:p w14:paraId="3FD618A5" w14:textId="21EBA666" w:rsidR="003736FE" w:rsidRPr="00B32E97" w:rsidRDefault="003736FE" w:rsidP="003736FE">
      <w:pPr>
        <w:spacing w:after="0"/>
        <w:rPr>
          <w:rFonts w:eastAsia="Times New Roman" w:cs="Times New Roman"/>
          <w:szCs w:val="24"/>
        </w:rPr>
      </w:pPr>
      <w:r w:rsidRPr="000E6889">
        <w:rPr>
          <w:rFonts w:eastAsia="Times New Roman" w:cs="Times New Roman"/>
          <w:color w:val="000000"/>
          <w:szCs w:val="24"/>
        </w:rPr>
        <w:lastRenderedPageBreak/>
        <w:t>It is worth noting that the vast majority of AOD gap-filling efforts have been focused o</w:t>
      </w:r>
      <w:r>
        <w:rPr>
          <w:rFonts w:eastAsia="Times New Roman" w:cs="Times New Roman"/>
          <w:color w:val="000000"/>
          <w:szCs w:val="24"/>
        </w:rPr>
        <w:t>n</w:t>
      </w:r>
      <w:r w:rsidRPr="000E6889">
        <w:rPr>
          <w:rFonts w:eastAsia="Times New Roman" w:cs="Times New Roman"/>
          <w:color w:val="000000"/>
          <w:szCs w:val="24"/>
        </w:rPr>
        <w:t xml:space="preserve"> Asia, specifically China, as </w:t>
      </w:r>
      <w:r>
        <w:rPr>
          <w:rFonts w:eastAsia="Times New Roman" w:cs="Times New Roman"/>
          <w:color w:val="000000"/>
          <w:szCs w:val="24"/>
        </w:rPr>
        <w:t>indicated</w:t>
      </w:r>
      <w:r w:rsidRPr="000E6889">
        <w:rPr>
          <w:rFonts w:eastAsia="Times New Roman" w:cs="Times New Roman"/>
          <w:color w:val="000000"/>
          <w:szCs w:val="24"/>
        </w:rPr>
        <w:t xml:space="preserve"> by </w:t>
      </w:r>
      <w:r>
        <w:rPr>
          <w:rFonts w:eastAsia="Times New Roman" w:cs="Times New Roman"/>
          <w:color w:val="000000"/>
          <w:szCs w:val="24"/>
        </w:rPr>
        <w:t>T</w:t>
      </w:r>
      <w:r w:rsidRPr="000E6889">
        <w:rPr>
          <w:rFonts w:eastAsia="Times New Roman" w:cs="Times New Roman"/>
          <w:color w:val="000000"/>
          <w:szCs w:val="24"/>
        </w:rPr>
        <w:t>able</w:t>
      </w:r>
      <w:r>
        <w:rPr>
          <w:rFonts w:eastAsia="Times New Roman" w:cs="Times New Roman"/>
          <w:color w:val="000000"/>
          <w:szCs w:val="24"/>
        </w:rPr>
        <w:t xml:space="preserve"> 6</w:t>
      </w:r>
      <w:r w:rsidRPr="000E6889">
        <w:rPr>
          <w:rFonts w:eastAsia="Times New Roman" w:cs="Times New Roman"/>
          <w:color w:val="000000"/>
          <w:szCs w:val="24"/>
        </w:rPr>
        <w:t>. As such, the metrics provided in the table can only serve as a rough point of comparison since the data sources over North America and China have different distributions, biases, and other characteristics. For instance, Bai et al.</w:t>
      </w:r>
      <w:r>
        <w:rPr>
          <w:rFonts w:eastAsia="Times New Roman" w:cs="Times New Roman"/>
          <w:color w:val="000000"/>
          <w:szCs w:val="24"/>
        </w:rPr>
        <w:t>, (2022)</w:t>
      </w:r>
      <w:r w:rsidRPr="000E6889">
        <w:rPr>
          <w:rFonts w:eastAsia="Times New Roman" w:cs="Times New Roman"/>
          <w:color w:val="000000"/>
          <w:szCs w:val="24"/>
        </w:rPr>
        <w:t xml:space="preserve"> found that Aqua and Terra MODIS MAIAC retrievals over China had an RMSE of 0.13-0.14 and r of 0.95</w:t>
      </w:r>
      <w:r>
        <w:rPr>
          <w:rFonts w:eastAsia="Times New Roman" w:cs="Times New Roman"/>
          <w:color w:val="000000"/>
          <w:szCs w:val="24"/>
        </w:rPr>
        <w:t>,</w:t>
      </w:r>
      <w:r w:rsidRPr="000E6889">
        <w:rPr>
          <w:rFonts w:eastAsia="Times New Roman" w:cs="Times New Roman"/>
          <w:color w:val="000000"/>
          <w:szCs w:val="24"/>
        </w:rPr>
        <w:t xml:space="preserve"> and SNPP VIIRS MAIAC retrievals had an RMSE of 0.22 and r of 0.80. This </w:t>
      </w:r>
      <w:r>
        <w:rPr>
          <w:rFonts w:eastAsia="Times New Roman" w:cs="Times New Roman"/>
          <w:color w:val="000000"/>
          <w:szCs w:val="24"/>
        </w:rPr>
        <w:t>contrasts</w:t>
      </w:r>
      <w:r w:rsidRPr="000E6889">
        <w:rPr>
          <w:rFonts w:eastAsia="Times New Roman" w:cs="Times New Roman"/>
          <w:color w:val="000000"/>
          <w:szCs w:val="24"/>
        </w:rPr>
        <w:t xml:space="preserve"> with the RMSE of 0.09 and r of 0.82 for the satellite AOD composite used for our study. The approach we are presenting in this study holds value </w:t>
      </w:r>
      <w:r>
        <w:rPr>
          <w:rFonts w:eastAsia="Times New Roman" w:cs="Times New Roman"/>
          <w:color w:val="000000"/>
          <w:szCs w:val="24"/>
        </w:rPr>
        <w:t>because it is the first AOD gap-filling model that can</w:t>
      </w:r>
      <w:r w:rsidRPr="000E6889">
        <w:rPr>
          <w:rFonts w:eastAsia="Times New Roman" w:cs="Times New Roman"/>
          <w:color w:val="000000"/>
          <w:szCs w:val="24"/>
        </w:rPr>
        <w:t xml:space="preserve"> achieve performance metrics comparable to those developed in historically much more studied regions.</w:t>
      </w:r>
    </w:p>
    <w:p w14:paraId="6D6C662C" w14:textId="03571C67" w:rsidR="006755DB" w:rsidRDefault="006755DB" w:rsidP="001904F0">
      <w:pPr>
        <w:pStyle w:val="Heading2"/>
      </w:pPr>
      <w:bookmarkStart w:id="113" w:name="_Toc161431115"/>
      <w:r>
        <w:t>4.2 Qualitative Results</w:t>
      </w:r>
      <w:bookmarkEnd w:id="113"/>
    </w:p>
    <w:p w14:paraId="71860E47" w14:textId="3F800FA6" w:rsidR="00880A12" w:rsidRDefault="00880A12" w:rsidP="00880A12">
      <w:pPr>
        <w:spacing w:after="0"/>
        <w:ind w:firstLine="720"/>
        <w:rPr>
          <w:rFonts w:eastAsia="Times New Roman" w:cs="Times New Roman"/>
          <w:color w:val="000000"/>
          <w:szCs w:val="24"/>
        </w:rPr>
      </w:pPr>
      <w:r>
        <w:rPr>
          <w:rFonts w:eastAsia="Times New Roman" w:cs="Times New Roman"/>
          <w:color w:val="000000"/>
          <w:szCs w:val="24"/>
        </w:rPr>
        <w:t>Due to the relatively sparse coverage of AERONET stations throughout CONUS and surrounding regions, it is also important to examine if model predictions are plausible when considering seasonality, location, and satellite imagery. This section presents some case studies that provide insight into the model</w:t>
      </w:r>
      <w:r w:rsidR="007D5231">
        <w:rPr>
          <w:rFonts w:eastAsia="Times New Roman" w:cs="Times New Roman"/>
          <w:color w:val="000000"/>
          <w:szCs w:val="24"/>
        </w:rPr>
        <w:t>’</w:t>
      </w:r>
      <w:r>
        <w:rPr>
          <w:rFonts w:eastAsia="Times New Roman" w:cs="Times New Roman"/>
          <w:color w:val="000000"/>
          <w:szCs w:val="24"/>
        </w:rPr>
        <w:t>s strengths and weaknesses.</w:t>
      </w:r>
      <w:r>
        <w:rPr>
          <w:rFonts w:eastAsia="Times New Roman" w:cs="Times New Roman"/>
          <w:szCs w:val="24"/>
        </w:rPr>
        <w:t xml:space="preserve"> </w:t>
      </w:r>
      <w:r>
        <w:rPr>
          <w:rFonts w:eastAsia="Times New Roman" w:cs="Times New Roman"/>
          <w:color w:val="000000"/>
          <w:szCs w:val="24"/>
        </w:rPr>
        <w:t xml:space="preserve">As mentioned in the introduction, two prominent high AOD features that an AOD model should ideally be able to characterize correctly are plumes of wildfire smoke and elevated aerosol loadings due to temperature inversions. </w:t>
      </w:r>
    </w:p>
    <w:p w14:paraId="21B23F13" w14:textId="77777777" w:rsidR="00734668" w:rsidRDefault="00734668" w:rsidP="00734668">
      <w:pPr>
        <w:pStyle w:val="Heading3"/>
      </w:pPr>
      <w:bookmarkStart w:id="114" w:name="_Toc161431116"/>
      <w:r>
        <w:t>4.2.1 Temperature Inversions</w:t>
      </w:r>
      <w:bookmarkEnd w:id="114"/>
    </w:p>
    <w:p w14:paraId="0AD4DA63" w14:textId="7F05CE42" w:rsidR="004D4534" w:rsidRDefault="00AF6809" w:rsidP="004D4534">
      <w:pPr>
        <w:keepNext/>
        <w:spacing w:after="0"/>
      </w:pPr>
      <w:r>
        <w:rPr>
          <w:noProof/>
        </w:rPr>
        <w:lastRenderedPageBreak/>
        <mc:AlternateContent>
          <mc:Choice Requires="wps">
            <w:drawing>
              <wp:anchor distT="0" distB="0" distL="114300" distR="114300" simplePos="0" relativeHeight="251660289" behindDoc="0" locked="0" layoutInCell="1" allowOverlap="1" wp14:anchorId="45239A19" wp14:editId="1A5DE760">
                <wp:simplePos x="0" y="0"/>
                <wp:positionH relativeFrom="column">
                  <wp:posOffset>1072514</wp:posOffset>
                </wp:positionH>
                <wp:positionV relativeFrom="paragraph">
                  <wp:posOffset>789305</wp:posOffset>
                </wp:positionV>
                <wp:extent cx="1776730" cy="3299460"/>
                <wp:effectExtent l="342900" t="0" r="337820" b="0"/>
                <wp:wrapNone/>
                <wp:docPr id="331845802" name="Oval 11"/>
                <wp:cNvGraphicFramePr/>
                <a:graphic xmlns:a="http://schemas.openxmlformats.org/drawingml/2006/main">
                  <a:graphicData uri="http://schemas.microsoft.com/office/word/2010/wordprocessingShape">
                    <wps:wsp>
                      <wps:cNvSpPr/>
                      <wps:spPr>
                        <a:xfrm rot="19460591">
                          <a:off x="0" y="0"/>
                          <a:ext cx="1776730" cy="3299460"/>
                        </a:xfrm>
                        <a:prstGeom prst="ellipse">
                          <a:avLst/>
                        </a:prstGeom>
                        <a:noFill/>
                        <a:ln w="3810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440A17C" id="Oval 11" o:spid="_x0000_s1026" style="position:absolute;margin-left:84.45pt;margin-top:62.15pt;width:139.9pt;height:259.8pt;rotation:-2336805fd;z-index:25166028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" filled="f" strokecolor="red" strokeweight="3pt">
                <v:stroke joinstyle="miter"/>
              </v:oval>
            </w:pict>
          </mc:Fallback>
        </mc:AlternateContent>
      </w:r>
      <w:r w:rsidR="004D4534">
        <w:rPr>
          <w:noProof/>
          <w:color w:val="000000"/>
          <w:bdr w:val="none" w:sz="0" w:space="0" w:color="auto" w:frame="1"/>
        </w:rPr>
        <w:drawing>
          <wp:inline distT="0" distB="0" distL="0" distR="0" wp14:anchorId="76A71D93" wp14:editId="721CFD5E">
            <wp:extent cx="4924425" cy="4766591"/>
            <wp:effectExtent l="0" t="0" r="0" b="0"/>
            <wp:docPr id="752211694" name="Picture 10" descr="A satellite view of the eart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satellite view of the earth&#10;&#10;Description automatically generated"/>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4926331" cy="4768436"/>
                    </a:xfrm>
                    <a:prstGeom prst="rect">
                      <a:avLst/>
                    </a:prstGeom>
                    <a:noFill/>
                    <a:ln>
                      <a:noFill/>
                    </a:ln>
                  </pic:spPr>
                </pic:pic>
              </a:graphicData>
            </a:graphic>
          </wp:inline>
        </w:drawing>
      </w:r>
    </w:p>
    <w:p w14:paraId="0AC6FCCE" w14:textId="31CA0A59" w:rsidR="004D4534" w:rsidRDefault="004D4534" w:rsidP="00D52313">
      <w:pPr>
        <w:pStyle w:val="Caption"/>
        <w:rPr>
          <w:rFonts w:eastAsia="Times New Roman" w:cs="Times New Roman"/>
          <w:color w:val="000000"/>
        </w:rPr>
      </w:pPr>
      <w:r>
        <w:t xml:space="preserve">Figure 25: </w:t>
      </w:r>
      <w:r w:rsidRPr="0046410B">
        <w:t>Haze trapped over Sacramento Valley (circled in  red) during a temperature inversion on November 15, 2014. Source:</w:t>
      </w:r>
      <w:r w:rsidR="007E35C8">
        <w:t xml:space="preserve"> </w:t>
      </w:r>
      <w:r w:rsidRPr="0046410B">
        <w:t>NASA Terra</w:t>
      </w:r>
      <w:r w:rsidR="00880A12">
        <w:t xml:space="preserve"> visible image</w:t>
      </w:r>
      <w:r w:rsidRPr="0046410B">
        <w:t>.</w:t>
      </w:r>
    </w:p>
    <w:p w14:paraId="05714961" w14:textId="2BD06F9D" w:rsidR="00AD0E68" w:rsidRPr="002F054D" w:rsidRDefault="00AC5611" w:rsidP="002F054D">
      <w:pPr>
        <w:spacing w:after="0"/>
        <w:ind w:firstLine="720"/>
        <w:rPr>
          <w:rFonts w:eastAsia="Times New Roman" w:cs="Times New Roman"/>
          <w:color w:val="000000"/>
          <w:szCs w:val="24"/>
        </w:rPr>
      </w:pPr>
      <w:r>
        <w:rPr>
          <w:rFonts w:eastAsia="Times New Roman" w:cs="Times New Roman"/>
          <w:color w:val="000000"/>
          <w:szCs w:val="24"/>
        </w:rPr>
        <w:t>One region in the western U.S. that commonly experiences increased surface air pollution due to temperature inversions is the Central Valley in California. These events can be visible to the naked eye, provided no cloud</w:t>
      </w:r>
      <w:r w:rsidR="007D5231">
        <w:rPr>
          <w:rFonts w:eastAsia="Times New Roman" w:cs="Times New Roman"/>
          <w:color w:val="000000"/>
          <w:szCs w:val="24"/>
        </w:rPr>
        <w:t>s</w:t>
      </w:r>
      <w:r>
        <w:rPr>
          <w:rFonts w:eastAsia="Times New Roman" w:cs="Times New Roman"/>
          <w:color w:val="000000"/>
          <w:szCs w:val="24"/>
        </w:rPr>
        <w:t xml:space="preserve"> cover the area. One such event occurred on November 15, 2014. Terra visible imagery shows most of the Central Valley is covered in a thin haze (</w:t>
      </w:r>
      <w:r>
        <w:t>Figure 25</w:t>
      </w:r>
      <w:r>
        <w:rPr>
          <w:rFonts w:eastAsia="Times New Roman" w:cs="Times New Roman"/>
          <w:color w:val="000000"/>
          <w:szCs w:val="24"/>
        </w:rPr>
        <w:t>). This haze is notably strong in the southern tip of the valley and raises AOD values to around 0.2 based on available DB retrievals (Figure 26.b). However, due to cloud cover, DB retrievals over this area are incomplete (Figures 25 and 26.b). MERRA-2 only predicts increased AOD values of around 0.2 in just the northern part of the valley (</w:t>
      </w:r>
      <w:r>
        <w:t>Figure 26.d</w:t>
      </w:r>
      <w:r>
        <w:rPr>
          <w:rFonts w:eastAsia="Times New Roman" w:cs="Times New Roman"/>
          <w:color w:val="000000"/>
          <w:szCs w:val="24"/>
        </w:rPr>
        <w:t xml:space="preserve">). On the other hand, UNet </w:t>
      </w:r>
      <w:r>
        <w:rPr>
          <w:rFonts w:eastAsia="Times New Roman" w:cs="Times New Roman"/>
          <w:color w:val="000000"/>
          <w:szCs w:val="24"/>
        </w:rPr>
        <w:lastRenderedPageBreak/>
        <w:t>3+ proposes increased AOD values of around 0.2 throughout the entire valley (</w:t>
      </w:r>
      <w:r>
        <w:t>Figure 26.a</w:t>
      </w:r>
      <w:r>
        <w:rPr>
          <w:rFonts w:eastAsia="Times New Roman" w:cs="Times New Roman"/>
          <w:color w:val="000000"/>
          <w:szCs w:val="24"/>
        </w:rPr>
        <w:t>). The latter is a more accurate representation of aerosol loadings based on visible imagery. The gap-filled AOD refines the exact placement of the haze while providing reasonable estimates for the cloud-obstructed areas (</w:t>
      </w:r>
      <w:r>
        <w:t>Figure 26.c</w:t>
      </w:r>
      <w:r>
        <w:rPr>
          <w:rFonts w:eastAsia="Times New Roman" w:cs="Times New Roman"/>
          <w:color w:val="000000"/>
          <w:szCs w:val="24"/>
        </w:rPr>
        <w:t>).</w:t>
      </w:r>
      <w:r w:rsidR="00734668">
        <w:t xml:space="preserve"> </w:t>
      </w:r>
      <w:r w:rsidR="00040A40">
        <w:rPr>
          <w:rFonts w:eastAsia="Times New Roman" w:cs="Times New Roman"/>
          <w:noProof/>
          <w:color w:val="000000"/>
          <w:szCs w:val="24"/>
        </w:rPr>
        <w:drawing>
          <wp:inline distT="0" distB="0" distL="0" distR="0" wp14:anchorId="5A27CF2A" wp14:editId="77EA82C0">
            <wp:extent cx="5943600" cy="4095750"/>
            <wp:effectExtent l="0" t="0" r="0" b="0"/>
            <wp:docPr id="1870043293"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943600" cy="4095750"/>
                    </a:xfrm>
                    <a:prstGeom prst="rect">
                      <a:avLst/>
                    </a:prstGeom>
                    <a:noFill/>
                    <a:ln>
                      <a:noFill/>
                    </a:ln>
                  </pic:spPr>
                </pic:pic>
              </a:graphicData>
            </a:graphic>
          </wp:inline>
        </w:drawing>
      </w:r>
    </w:p>
    <w:p w14:paraId="06C30AAF" w14:textId="6C62CA7E" w:rsidR="00734668" w:rsidRDefault="00AD0E68" w:rsidP="00D52313">
      <w:pPr>
        <w:pStyle w:val="Caption"/>
        <w:rPr>
          <w:noProof/>
        </w:rPr>
      </w:pPr>
      <w:r>
        <w:t>Figure 26: (a) UNet 3+</w:t>
      </w:r>
      <w:r>
        <w:rPr>
          <w:noProof/>
        </w:rPr>
        <w:t>, (b) DB, (c) gap-filled, and (d) MERRA-2 AOD for November 15, 2014.</w:t>
      </w:r>
    </w:p>
    <w:p w14:paraId="582F8E0E" w14:textId="2C15AA41" w:rsidR="00414C4E" w:rsidRPr="00414C4E" w:rsidRDefault="00414C4E" w:rsidP="00414C4E">
      <w:r>
        <w:tab/>
      </w:r>
      <w:r w:rsidR="00B2050F">
        <w:t>The ability of UNet 3+ to predict increased AOD due to temperature inversions in California is made possible by the availability of DB retrievals in the area during such events. However, for regions like the Pacific Northwest that are more commonly covered by clouds (i.e., Idaho, Washington, Montana, Wyoming, etc.), such predictions are impossible without adding emissions data to UNet 3+.</w:t>
      </w:r>
    </w:p>
    <w:p w14:paraId="037D8982" w14:textId="5C7E4737" w:rsidR="00734668" w:rsidRDefault="00734668" w:rsidP="00734668">
      <w:pPr>
        <w:pStyle w:val="Heading3"/>
      </w:pPr>
      <w:bookmarkStart w:id="115" w:name="_Toc161431117"/>
      <w:r>
        <w:t>4.2.2 Wildfire Smoke</w:t>
      </w:r>
      <w:bookmarkEnd w:id="115"/>
    </w:p>
    <w:p w14:paraId="0087CBA9" w14:textId="7A7A2E84" w:rsidR="00AF78F4" w:rsidRDefault="00BA3F9F" w:rsidP="00AF78F4">
      <w:pPr>
        <w:keepNext/>
      </w:pPr>
      <w:r>
        <w:rPr>
          <w:noProof/>
        </w:rPr>
        <w:lastRenderedPageBreak/>
        <mc:AlternateContent>
          <mc:Choice Requires="wps">
            <w:drawing>
              <wp:anchor distT="0" distB="0" distL="114300" distR="114300" simplePos="0" relativeHeight="251664385" behindDoc="0" locked="0" layoutInCell="1" allowOverlap="1" wp14:anchorId="20D6104A" wp14:editId="642CD9DB">
                <wp:simplePos x="0" y="0"/>
                <wp:positionH relativeFrom="column">
                  <wp:posOffset>1991037</wp:posOffset>
                </wp:positionH>
                <wp:positionV relativeFrom="paragraph">
                  <wp:posOffset>-238246</wp:posOffset>
                </wp:positionV>
                <wp:extent cx="1015244" cy="1976140"/>
                <wp:effectExtent l="0" t="233045" r="0" b="238125"/>
                <wp:wrapNone/>
                <wp:docPr id="78378940" name="Oval 11"/>
                <wp:cNvGraphicFramePr/>
                <a:graphic xmlns:a="http://schemas.openxmlformats.org/drawingml/2006/main">
                  <a:graphicData uri="http://schemas.microsoft.com/office/word/2010/wordprocessingShape">
                    <wps:wsp>
                      <wps:cNvSpPr/>
                      <wps:spPr>
                        <a:xfrm rot="18401857">
                          <a:off x="0" y="0"/>
                          <a:ext cx="1015244" cy="1976140"/>
                        </a:xfrm>
                        <a:prstGeom prst="ellipse">
                          <a:avLst/>
                        </a:prstGeom>
                        <a:noFill/>
                        <a:ln w="3810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D797929" id="Oval 11" o:spid="_x0000_s1026" style="position:absolute;margin-left:156.75pt;margin-top:-18.75pt;width:79.95pt;height:155.6pt;rotation:-3493225fd;z-index:25166438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" filled="f" strokecolor="red" strokeweight="3pt">
                <v:stroke joinstyle="miter"/>
              </v:oval>
            </w:pict>
          </mc:Fallback>
        </mc:AlternateContent>
      </w:r>
      <w:r w:rsidR="008D3DF8">
        <w:rPr>
          <w:noProof/>
        </w:rPr>
        <mc:AlternateContent>
          <mc:Choice Requires="wps">
            <w:drawing>
              <wp:anchor distT="0" distB="0" distL="114300" distR="114300" simplePos="0" relativeHeight="251665409" behindDoc="0" locked="0" layoutInCell="1" allowOverlap="1" wp14:anchorId="721C701C" wp14:editId="328A0EA3">
                <wp:simplePos x="0" y="0"/>
                <wp:positionH relativeFrom="column">
                  <wp:posOffset>3264535</wp:posOffset>
                </wp:positionH>
                <wp:positionV relativeFrom="paragraph">
                  <wp:posOffset>835025</wp:posOffset>
                </wp:positionV>
                <wp:extent cx="901088" cy="1906941"/>
                <wp:effectExtent l="30480" t="45720" r="24765" b="43815"/>
                <wp:wrapNone/>
                <wp:docPr id="1389507994" name="Oval 11"/>
                <wp:cNvGraphicFramePr/>
                <a:graphic xmlns:a="http://schemas.openxmlformats.org/drawingml/2006/main">
                  <a:graphicData uri="http://schemas.microsoft.com/office/word/2010/wordprocessingShape">
                    <wps:wsp>
                      <wps:cNvSpPr/>
                      <wps:spPr>
                        <a:xfrm rot="15795662">
                          <a:off x="0" y="0"/>
                          <a:ext cx="901088" cy="1906941"/>
                        </a:xfrm>
                        <a:prstGeom prst="ellipse">
                          <a:avLst/>
                        </a:prstGeom>
                        <a:noFill/>
                        <a:ln w="38100">
                          <a:solidFill>
                            <a:srgbClr val="00B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96B532C" id="Oval 11" o:spid="_x0000_s1026" style="position:absolute;margin-left:257.05pt;margin-top:65.75pt;width:70.95pt;height:150.15pt;rotation:-6339885fd;z-index:25166540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" filled="f" strokecolor="#00b050" strokeweight="3pt">
                <v:stroke joinstyle="miter"/>
              </v:oval>
            </w:pict>
          </mc:Fallback>
        </mc:AlternateContent>
      </w:r>
      <w:r w:rsidR="00AF78F4">
        <w:rPr>
          <w:noProof/>
        </w:rPr>
        <w:drawing>
          <wp:inline distT="0" distB="0" distL="0" distR="0" wp14:anchorId="746501D1" wp14:editId="6227839A">
            <wp:extent cx="5881092" cy="3171825"/>
            <wp:effectExtent l="0" t="0" r="5715" b="0"/>
            <wp:docPr id="1970921780" name="Picture 5" descr="A satellite view of the eart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0921780" name="Picture 5" descr="A satellite view of the earth&#10;&#10;Description automatically generated"/>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890629" cy="3176968"/>
                    </a:xfrm>
                    <a:prstGeom prst="rect">
                      <a:avLst/>
                    </a:prstGeom>
                    <a:noFill/>
                    <a:ln>
                      <a:noFill/>
                    </a:ln>
                  </pic:spPr>
                </pic:pic>
              </a:graphicData>
            </a:graphic>
          </wp:inline>
        </w:drawing>
      </w:r>
    </w:p>
    <w:p w14:paraId="675B2EE2" w14:textId="49AEA1F1" w:rsidR="00AF78F4" w:rsidRDefault="00AF78F4" w:rsidP="00D52313">
      <w:pPr>
        <w:pStyle w:val="Caption"/>
      </w:pPr>
      <w:r>
        <w:t>Figure 27:</w:t>
      </w:r>
      <w:r w:rsidRPr="00AF78F4">
        <w:t xml:space="preserve"> </w:t>
      </w:r>
      <w:r w:rsidR="005B7357">
        <w:t>Wildfires over Canada (circled in red) and the Midwest (circled in green)</w:t>
      </w:r>
      <w:r w:rsidR="005B7357">
        <w:rPr>
          <w:noProof/>
        </w:rPr>
        <w:t xml:space="preserve"> generated heavy smoke plumes affecting North America on June 30, 2015. Source: NASA Terra visible image.</w:t>
      </w:r>
      <w:r>
        <w:rPr>
          <w:noProof/>
        </w:rPr>
        <w:t>.</w:t>
      </w:r>
    </w:p>
    <w:p w14:paraId="5759B3E2" w14:textId="561F4641" w:rsidR="00734668" w:rsidRDefault="00734668" w:rsidP="00AF78F4">
      <w:r>
        <w:tab/>
      </w:r>
      <w:r w:rsidR="001B133E">
        <w:t xml:space="preserve">On June 30, 2015, multiple wildfires were experienced throughout Canada, primarily in Saskatchewan and Alberta (circled in red), as well as throughout the Midwest (circled in green) (Figure 27). Parts of these smoke plumes were occluded by cloud cover, leading to gaps in DB AOD retrievals (Figure 28.b). Figure 28.D shows that MERRA-2 generally retrieves high AOD (&gt;3.0) around the fire source locations. However, MERRA-2 underestimates the loading and advection for both the Canadian and U.S. wildfires, as seen from the steep drop-off to AOD values around ~1.5 surrounding the source regions. UNet 3+ can capture the loading and spread of wildfire smoke (Figure 28.a). For the Canadian fires, the general nature of the northern (non-cloud-occluded) part of the smoke plume is captured by UNet 3+. However, similar to MERRA-2, the loading is not as high as suggested by satellite retrievals. UNet 3+ predicts AOD values ~3 for a larger area than MERRA-2, which is more in line with the DB retrievals of &gt;3 for the entire plume. UNet 3+ suggests that the southern part of the plume (cloud-occluded) is also very dense, which we were not able to evaluate due to missing </w:t>
      </w:r>
      <w:r w:rsidR="008E358E">
        <w:t>retrievals but</w:t>
      </w:r>
      <w:r w:rsidR="001B133E">
        <w:t xml:space="preserve"> does make sense contextualized </w:t>
      </w:r>
      <w:r w:rsidR="001B133E">
        <w:lastRenderedPageBreak/>
        <w:t>by the available satellite retrievals in the gap-filled AOD. Similarly, for the smoke plume over the Midwest, UNet 3+ suggests more reasonably elevated AOD values of around 2.5-3 over Iowa and Missouri compared to MERRA-2, which suggests values of around 1.5 for most areas and 3 for just the source region. The same observation extends to Tennessee and Kentucky as well, where MERRA-2 proposes values of AOD from ~1.5 to ~2 but DB AOD retrievals are ~2.5.</w:t>
      </w:r>
    </w:p>
    <w:p w14:paraId="25A3ACE6" w14:textId="77777777" w:rsidR="00851A93" w:rsidRDefault="00851A93" w:rsidP="00851A93">
      <w:pPr>
        <w:keepNext/>
      </w:pPr>
      <w:r>
        <w:rPr>
          <w:noProof/>
        </w:rPr>
        <w:drawing>
          <wp:inline distT="0" distB="0" distL="0" distR="0" wp14:anchorId="5D2163E9" wp14:editId="73A7CE14">
            <wp:extent cx="5943600" cy="4086225"/>
            <wp:effectExtent l="0" t="0" r="0" b="9525"/>
            <wp:docPr id="106511886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943600" cy="4086225"/>
                    </a:xfrm>
                    <a:prstGeom prst="rect">
                      <a:avLst/>
                    </a:prstGeom>
                    <a:noFill/>
                    <a:ln>
                      <a:noFill/>
                    </a:ln>
                  </pic:spPr>
                </pic:pic>
              </a:graphicData>
            </a:graphic>
          </wp:inline>
        </w:drawing>
      </w:r>
    </w:p>
    <w:p w14:paraId="6B7A3140" w14:textId="72B687E8" w:rsidR="00AF78F4" w:rsidRDefault="00851A93" w:rsidP="00D52313">
      <w:pPr>
        <w:pStyle w:val="Caption"/>
      </w:pPr>
      <w:r>
        <w:t>Figure</w:t>
      </w:r>
      <w:r w:rsidR="00704CA3">
        <w:t xml:space="preserve"> 28</w:t>
      </w:r>
      <w:r>
        <w:t xml:space="preserve">: Wildfires over </w:t>
      </w:r>
      <w:r w:rsidR="00D624BE">
        <w:t xml:space="preserve">Canada </w:t>
      </w:r>
      <w:r w:rsidR="00704CA3">
        <w:t xml:space="preserve">(circled in red) </w:t>
      </w:r>
      <w:r w:rsidR="00D624BE">
        <w:t>and the U.S.</w:t>
      </w:r>
      <w:r w:rsidR="00704CA3">
        <w:t xml:space="preserve"> (circled in green)</w:t>
      </w:r>
      <w:r w:rsidR="00D624BE">
        <w:t xml:space="preserve"> on June </w:t>
      </w:r>
      <w:r w:rsidR="00704CA3">
        <w:t>30, 2015. Source: NASA Terra.</w:t>
      </w:r>
    </w:p>
    <w:p w14:paraId="70D57F6D" w14:textId="1B088E3D" w:rsidR="00ED330A" w:rsidRDefault="00ED330A" w:rsidP="001904F0">
      <w:pPr>
        <w:pStyle w:val="Heading2"/>
      </w:pPr>
      <w:bookmarkStart w:id="116" w:name="_Toc161431118"/>
      <w:r>
        <w:t>4.</w:t>
      </w:r>
      <w:r w:rsidR="00D219AC">
        <w:t>3</w:t>
      </w:r>
      <w:r>
        <w:t xml:space="preserve"> Future Work</w:t>
      </w:r>
      <w:bookmarkEnd w:id="116"/>
    </w:p>
    <w:p w14:paraId="7D8D5601" w14:textId="06271A7B" w:rsidR="002715DE" w:rsidRPr="00C84634" w:rsidRDefault="00C84634" w:rsidP="00C84634">
      <w:pPr>
        <w:spacing w:after="240"/>
      </w:pPr>
      <w:r w:rsidRPr="00C84634">
        <w:tab/>
      </w:r>
      <w:r w:rsidR="002715DE" w:rsidRPr="00C84634">
        <w:t xml:space="preserve">As the work presented in this thesis has primarily been exploratory and the numerous possibilities to be explored are gated behind cluster core hours, many of the design and engineering choices made from start to finish were based on qualitative assessment and not </w:t>
      </w:r>
      <w:r w:rsidR="002715DE" w:rsidRPr="00C84634">
        <w:lastRenderedPageBreak/>
        <w:t>rigorous experimentation. As a result, future work on this project will be focused primarily on three objectives:</w:t>
      </w:r>
    </w:p>
    <w:p w14:paraId="32295F19" w14:textId="77777777" w:rsidR="002715DE" w:rsidRPr="00C84634" w:rsidRDefault="002715DE" w:rsidP="002715DE">
      <w:pPr>
        <w:numPr>
          <w:ilvl w:val="0"/>
          <w:numId w:val="1"/>
        </w:numPr>
        <w:spacing w:after="0"/>
        <w:textAlignment w:val="baseline"/>
      </w:pPr>
      <w:r w:rsidRPr="00C84634">
        <w:t>Developing a rigorous testing environment to quantify the performance of various model designs and configurations. </w:t>
      </w:r>
    </w:p>
    <w:p w14:paraId="783209EF" w14:textId="77777777" w:rsidR="002715DE" w:rsidRPr="00C84634" w:rsidRDefault="002715DE" w:rsidP="002715DE">
      <w:pPr>
        <w:numPr>
          <w:ilvl w:val="0"/>
          <w:numId w:val="1"/>
        </w:numPr>
        <w:spacing w:after="0"/>
        <w:textAlignment w:val="baseline"/>
      </w:pPr>
      <w:r w:rsidRPr="00C84634">
        <w:t>Expanding the collection of models to test the viability of different model inputs, hyperparameters, architectures, and training paradigms.</w:t>
      </w:r>
    </w:p>
    <w:p w14:paraId="32B41D72" w14:textId="77777777" w:rsidR="002715DE" w:rsidRPr="00C84634" w:rsidRDefault="002715DE" w:rsidP="002715DE">
      <w:pPr>
        <w:numPr>
          <w:ilvl w:val="0"/>
          <w:numId w:val="1"/>
        </w:numPr>
        <w:spacing w:after="240"/>
        <w:textAlignment w:val="baseline"/>
      </w:pPr>
      <w:r w:rsidRPr="00C84634">
        <w:t>Exploring methods to explain the scientific mechanisms underlying trained models.</w:t>
      </w:r>
    </w:p>
    <w:p w14:paraId="42DA6F90" w14:textId="77777777" w:rsidR="002715DE" w:rsidRPr="00C84634" w:rsidRDefault="002715DE" w:rsidP="002715DE">
      <w:pPr>
        <w:spacing w:after="0" w:line="240" w:lineRule="auto"/>
      </w:pPr>
    </w:p>
    <w:p w14:paraId="50F6B649" w14:textId="558BFF37" w:rsidR="002715DE" w:rsidRPr="00C84634" w:rsidRDefault="002715DE" w:rsidP="00DC76A7">
      <w:pPr>
        <w:spacing w:after="240"/>
        <w:ind w:firstLine="720"/>
      </w:pPr>
      <w:r w:rsidRPr="00C84634">
        <w:t>The first priority for future work is to develop an environment in which new models can be trained, validated, tested against a suite of performance metrics, and their results archived. Such an environment is required to systematically discover optimal combinations of inputs, architectures, and hyperparameters.</w:t>
      </w:r>
    </w:p>
    <w:p w14:paraId="6BA29916" w14:textId="75FACE3C" w:rsidR="00F86D2A" w:rsidRPr="00C84634" w:rsidRDefault="00C84634" w:rsidP="00C84634">
      <w:pPr>
        <w:spacing w:after="240"/>
      </w:pPr>
      <w:r w:rsidRPr="00C84634">
        <w:tab/>
      </w:r>
      <w:r w:rsidR="002715DE" w:rsidRPr="00C84634">
        <w:t>Once such an environment is developed, the next generation of gap-filling models can be developed. The focus of these new models will be many-fold: perform density estimation in order to provide uncertainty estimates and better capture the multi-modalities associated with transport and different aerosol types; test emissions inventories as a data source to help with urban and wintertime predictions; test regional/seasonal models; improve output resolution; develop forecasting models; and apply explainability techniques to determine key variables and dissect the mechanisms behind AOD gap-filling.</w:t>
      </w:r>
    </w:p>
    <w:p w14:paraId="07A8220A" w14:textId="45532D48" w:rsidR="00DC76A7" w:rsidRPr="00DC76A7" w:rsidRDefault="00DC76A7" w:rsidP="00817708">
      <w:pPr>
        <w:spacing w:after="240"/>
        <w:ind w:firstLine="720"/>
      </w:pPr>
      <w:r w:rsidRPr="00DC76A7">
        <w:t xml:space="preserve">A significant focus for </w:t>
      </w:r>
      <w:r w:rsidR="00E01C67">
        <w:t xml:space="preserve">future work </w:t>
      </w:r>
      <w:r w:rsidRPr="00DC76A7">
        <w:t>is how best to incorporate new data from PACE OCI. The at-launch application of DB to PACE OCI will be similar to that of MODIS and VIIRS, except at finer spatial resolution; however, due to increased spectral coverage, it is anticipated that improved aerosol type products (e.g., fine-resolution UV absorbing aerosol index, fine mode fraction) and an aerosol height product may become available. Additionally, PACE's two multi-</w:t>
      </w:r>
      <w:r w:rsidRPr="00DC76A7">
        <w:lastRenderedPageBreak/>
        <w:t xml:space="preserve">angle polarimeters will be able to provide more detailed aerosol microphysical categorization (e.g., size, sphericity, absorption). </w:t>
      </w:r>
      <w:r w:rsidR="007A48ED">
        <w:t>These u</w:t>
      </w:r>
      <w:r w:rsidR="009A2A32">
        <w:t>pgrades</w:t>
      </w:r>
      <w:r w:rsidRPr="00DC76A7">
        <w:t xml:space="preserve"> could </w:t>
      </w:r>
      <w:r w:rsidR="00C5305D" w:rsidRPr="00DC76A7">
        <w:t>improve</w:t>
      </w:r>
      <w:r w:rsidR="009A2A32">
        <w:t xml:space="preserve"> </w:t>
      </w:r>
      <w:r w:rsidRPr="00DC76A7">
        <w:t xml:space="preserve">heritage aerosol property retrievals and </w:t>
      </w:r>
      <w:r w:rsidR="009A2A32">
        <w:t>offer</w:t>
      </w:r>
      <w:r w:rsidRPr="00DC76A7">
        <w:t xml:space="preserve"> valuable inputs to the gap-filling model. Given these improvements, assimilating PACE data into the existing gap-filling model trained on current DB data would be ideal for improving model performance. However, the methods for assimilating PACE AOD present some challenges due to new instrument calibration in the retrieval algorithm. I plan on testing statistical methods, such as taking the weighted average of all DB AOD sources or a weighted average of model outputs run on both current and next-generation data, as well as machine learning methods like transfer learning through fine-tuning the model in an online setting as PACE generates data.</w:t>
      </w:r>
    </w:p>
    <w:p w14:paraId="582E8624" w14:textId="047FA8B3" w:rsidR="00DC76A7" w:rsidRPr="00DC76A7" w:rsidRDefault="00DC76A7" w:rsidP="00817708">
      <w:pPr>
        <w:spacing w:after="240"/>
        <w:ind w:firstLine="720"/>
      </w:pPr>
      <w:r w:rsidRPr="00DC76A7">
        <w:t xml:space="preserve">Another </w:t>
      </w:r>
      <w:r w:rsidR="00421FF7">
        <w:t xml:space="preserve">future </w:t>
      </w:r>
      <w:r w:rsidRPr="00DC76A7">
        <w:t>area of focus is bias correction. Current results show that the model can be skewed in specific regions and seasons. For example, the current model appears to overestimate AOD in the Pacific Northwest during wildfire season and underestimate AOD across southern Canada throughout the winter because it follows the trends of DB AOD. This is an inevitability due to the fact that we are training against DB AOD, which is an imperfect estimation of AOD. I plan to test methods such as subtracting the seasonal composite error between UNet 3+ and satellite products, training separate regional models, and detrending AOD data/predicting anomalies.</w:t>
      </w:r>
    </w:p>
    <w:p w14:paraId="5A894CDC" w14:textId="0BDCE8E0" w:rsidR="00C84634" w:rsidRPr="00C84634" w:rsidRDefault="00C84634" w:rsidP="00C84634">
      <w:pPr>
        <w:spacing w:after="240"/>
      </w:pPr>
    </w:p>
    <w:p w14:paraId="0DD9B657" w14:textId="77777777" w:rsidR="000E60BF" w:rsidRPr="00DC76A7" w:rsidRDefault="000E60BF" w:rsidP="00DC76A7">
      <w:pPr>
        <w:spacing w:after="240"/>
      </w:pPr>
      <w:r w:rsidRPr="00DC76A7">
        <w:br w:type="page"/>
      </w:r>
    </w:p>
    <w:p w14:paraId="5E72D406" w14:textId="77777777" w:rsidR="006E476D" w:rsidRDefault="006E476D" w:rsidP="006E476D">
      <w:pPr>
        <w:pStyle w:val="Heading1"/>
      </w:pPr>
      <w:bookmarkStart w:id="117" w:name="_Toc161431119"/>
      <w:r>
        <w:lastRenderedPageBreak/>
        <w:t>5. Summary</w:t>
      </w:r>
      <w:bookmarkEnd w:id="117"/>
    </w:p>
    <w:p w14:paraId="763CC284" w14:textId="316E4001" w:rsidR="006E476D" w:rsidRDefault="006E476D" w:rsidP="006E476D">
      <w:pPr>
        <w:ind w:firstLine="720"/>
        <w:rPr>
          <w:rFonts w:cs="Times New Roman"/>
          <w:szCs w:val="24"/>
        </w:rPr>
      </w:pPr>
      <w:r w:rsidRPr="00394920">
        <w:rPr>
          <w:rFonts w:eastAsia="Times New Roman" w:cs="Times New Roman"/>
          <w:color w:val="000000"/>
          <w:szCs w:val="24"/>
        </w:rPr>
        <w:t>Th</w:t>
      </w:r>
      <w:r>
        <w:rPr>
          <w:rFonts w:eastAsia="Times New Roman" w:cs="Times New Roman"/>
          <w:color w:val="000000"/>
          <w:szCs w:val="24"/>
        </w:rPr>
        <w:t>is thesis aimed</w:t>
      </w:r>
      <w:r w:rsidRPr="00394920">
        <w:rPr>
          <w:rFonts w:eastAsia="Times New Roman" w:cs="Times New Roman"/>
          <w:color w:val="000000"/>
          <w:szCs w:val="24"/>
        </w:rPr>
        <w:t xml:space="preserve"> to test the viability of UNet 3+</w:t>
      </w:r>
      <w:r>
        <w:rPr>
          <w:rFonts w:eastAsia="Times New Roman" w:cs="Times New Roman"/>
          <w:color w:val="000000"/>
          <w:szCs w:val="24"/>
        </w:rPr>
        <w:t>, a deep learning (DL) architecture,</w:t>
      </w:r>
      <w:r w:rsidRPr="00394920">
        <w:rPr>
          <w:rFonts w:eastAsia="Times New Roman" w:cs="Times New Roman"/>
          <w:color w:val="000000"/>
          <w:szCs w:val="24"/>
        </w:rPr>
        <w:t xml:space="preserve"> as an architecture for</w:t>
      </w:r>
      <w:r>
        <w:rPr>
          <w:rFonts w:eastAsia="Times New Roman" w:cs="Times New Roman"/>
          <w:color w:val="000000"/>
          <w:szCs w:val="24"/>
        </w:rPr>
        <w:t xml:space="preserve"> aerosol optical depth</w:t>
      </w:r>
      <w:r w:rsidRPr="00394920">
        <w:rPr>
          <w:rFonts w:eastAsia="Times New Roman" w:cs="Times New Roman"/>
          <w:color w:val="000000"/>
          <w:szCs w:val="24"/>
        </w:rPr>
        <w:t xml:space="preserve"> </w:t>
      </w:r>
      <w:r>
        <w:rPr>
          <w:rFonts w:eastAsia="Times New Roman" w:cs="Times New Roman"/>
          <w:color w:val="000000"/>
          <w:szCs w:val="24"/>
        </w:rPr>
        <w:t>(</w:t>
      </w:r>
      <w:r w:rsidRPr="00394920">
        <w:rPr>
          <w:rFonts w:eastAsia="Times New Roman" w:cs="Times New Roman"/>
          <w:color w:val="000000"/>
          <w:szCs w:val="24"/>
        </w:rPr>
        <w:t>AOD</w:t>
      </w:r>
      <w:r>
        <w:rPr>
          <w:rFonts w:eastAsia="Times New Roman" w:cs="Times New Roman"/>
          <w:color w:val="000000"/>
          <w:szCs w:val="24"/>
        </w:rPr>
        <w:t>)</w:t>
      </w:r>
      <w:r w:rsidRPr="00394920">
        <w:rPr>
          <w:rFonts w:eastAsia="Times New Roman" w:cs="Times New Roman"/>
          <w:color w:val="000000"/>
          <w:szCs w:val="24"/>
        </w:rPr>
        <w:t xml:space="preserve"> gap-filling. </w:t>
      </w:r>
      <w:r>
        <w:rPr>
          <w:rFonts w:eastAsia="Times New Roman" w:cs="Times New Roman"/>
          <w:color w:val="000000"/>
          <w:szCs w:val="24"/>
        </w:rPr>
        <w:t xml:space="preserve">We tested the hypothesis that </w:t>
      </w:r>
      <w:r w:rsidRPr="00394920">
        <w:rPr>
          <w:rFonts w:cs="Times New Roman"/>
          <w:color w:val="000000"/>
          <w:szCs w:val="24"/>
        </w:rPr>
        <w:t>UNet 3+</w:t>
      </w:r>
      <w:r w:rsidRPr="00394920">
        <w:rPr>
          <w:rFonts w:cs="Times New Roman"/>
          <w:szCs w:val="24"/>
        </w:rPr>
        <w:t xml:space="preserve"> </w:t>
      </w:r>
      <w:r>
        <w:rPr>
          <w:rFonts w:cs="Times New Roman"/>
          <w:szCs w:val="24"/>
        </w:rPr>
        <w:t>trained</w:t>
      </w:r>
      <w:r w:rsidRPr="00394920">
        <w:rPr>
          <w:rFonts w:cs="Times New Roman"/>
          <w:szCs w:val="24"/>
        </w:rPr>
        <w:t xml:space="preserve"> </w:t>
      </w:r>
      <w:r>
        <w:rPr>
          <w:rFonts w:cs="Times New Roman"/>
          <w:szCs w:val="24"/>
        </w:rPr>
        <w:t>on Deep Blue (</w:t>
      </w:r>
      <w:r w:rsidRPr="00394920">
        <w:rPr>
          <w:rFonts w:cs="Times New Roman"/>
          <w:szCs w:val="24"/>
        </w:rPr>
        <w:t>DB</w:t>
      </w:r>
      <w:r>
        <w:rPr>
          <w:rFonts w:cs="Times New Roman"/>
          <w:szCs w:val="24"/>
        </w:rPr>
        <w:t>)</w:t>
      </w:r>
      <w:r w:rsidRPr="00394920">
        <w:rPr>
          <w:rFonts w:cs="Times New Roman"/>
          <w:szCs w:val="24"/>
        </w:rPr>
        <w:t xml:space="preserve"> AOD and supplemental datasets, will improve spatial-temporal coverage of AOD missing data due to cloud cover</w:t>
      </w:r>
      <w:r>
        <w:rPr>
          <w:rFonts w:cs="Times New Roman"/>
          <w:szCs w:val="24"/>
        </w:rPr>
        <w:t xml:space="preserve"> and </w:t>
      </w:r>
      <w:r w:rsidRPr="00394920">
        <w:rPr>
          <w:rFonts w:cs="Times New Roman"/>
          <w:szCs w:val="24"/>
        </w:rPr>
        <w:t>bright surfaces (e.g., semi-arid or arid desert</w:t>
      </w:r>
      <w:r>
        <w:rPr>
          <w:rFonts w:cs="Times New Roman"/>
          <w:szCs w:val="24"/>
        </w:rPr>
        <w:t>s, snow, and ice</w:t>
      </w:r>
      <w:r w:rsidRPr="00394920">
        <w:rPr>
          <w:rFonts w:cs="Times New Roman"/>
          <w:szCs w:val="24"/>
        </w:rPr>
        <w:t>).</w:t>
      </w:r>
      <w:r>
        <w:rPr>
          <w:rFonts w:cs="Times New Roman"/>
          <w:szCs w:val="24"/>
        </w:rPr>
        <w:t xml:space="preserve"> </w:t>
      </w:r>
    </w:p>
    <w:p w14:paraId="13FF4814" w14:textId="77777777" w:rsidR="006E476D" w:rsidRDefault="006E476D" w:rsidP="006E476D">
      <w:pPr>
        <w:ind w:firstLine="720"/>
      </w:pPr>
      <w:r>
        <w:t>The spatiotemporal gap-filling of AOD was performed daily over the CONtinental United States (CONUS) at a 12 x 12 km</w:t>
      </w:r>
      <w:r>
        <w:rPr>
          <w:vertAlign w:val="superscript"/>
        </w:rPr>
        <w:t>2</w:t>
      </w:r>
      <w:r>
        <w:t xml:space="preserve"> resolution from 2012-2022.</w:t>
      </w:r>
      <w:r w:rsidRPr="0048046B">
        <w:t xml:space="preserve"> </w:t>
      </w:r>
      <w:r>
        <w:t xml:space="preserve">This was achieved by training the model on DB AOD and fire radiative power (FRP) from polar-orbiting satellites (i.e., Terra, Aqua, Suomi-NPP), AOD from the </w:t>
      </w:r>
      <w:r w:rsidRPr="00292A8F">
        <w:t>Modern-Era Retrospective Analysis for Research and Applications, Version 2</w:t>
      </w:r>
      <w:r>
        <w:t xml:space="preserve"> (MERRA-2) reanalysis, meteorological and land-use variables from the North American Mesoscale Forecast System (NAM),</w:t>
      </w:r>
      <w:r w:rsidRPr="008368C1">
        <w:t xml:space="preserve"> </w:t>
      </w:r>
      <w:r>
        <w:t xml:space="preserve">and smoke polygons from the </w:t>
      </w:r>
      <w:r w:rsidRPr="00FC1663">
        <w:t xml:space="preserve">Hazard Mapping System </w:t>
      </w:r>
      <w:r>
        <w:t>(HMS). With the above in mind, we found that:</w:t>
      </w:r>
    </w:p>
    <w:p w14:paraId="437CE023" w14:textId="3F23EDED" w:rsidR="006E476D" w:rsidRDefault="006E476D" w:rsidP="006E476D">
      <w:pPr>
        <w:pStyle w:val="ListParagraph"/>
        <w:numPr>
          <w:ilvl w:val="0"/>
          <w:numId w:val="3"/>
        </w:numPr>
      </w:pPr>
      <w:r>
        <w:t xml:space="preserve">Training the model to converge at a useful solution (i.e., one that predicts an accurate and dynamic range of AOD values from extremely clean (~0) to intense wildfire smoke (&gt;3)) is contingent on a few data preprocessing steps, namely log transformation of AOD, data normalization, sample weighting, and training target augmentation. </w:t>
      </w:r>
    </w:p>
    <w:p w14:paraId="28AF7363" w14:textId="24B6ED6A" w:rsidR="006E476D" w:rsidRDefault="006E476D" w:rsidP="006E476D">
      <w:pPr>
        <w:pStyle w:val="ListParagraph"/>
        <w:numPr>
          <w:ilvl w:val="0"/>
          <w:numId w:val="3"/>
        </w:numPr>
      </w:pPr>
      <w:r>
        <w:t>The resulting model infers aerosol loading and transport through modeled meteorological variables and DB AOD data when available. Where DB AOD is too sparse to provide enough context, the model provides upscaled MERRA-2 AOD values.</w:t>
      </w:r>
    </w:p>
    <w:p w14:paraId="2750320A" w14:textId="651666EA" w:rsidR="001B09A6" w:rsidRDefault="00393191" w:rsidP="001B09A6">
      <w:pPr>
        <w:pStyle w:val="ListParagraph"/>
        <w:numPr>
          <w:ilvl w:val="0"/>
          <w:numId w:val="3"/>
        </w:numPr>
        <w:jc w:val="both"/>
        <w:rPr>
          <w:rFonts w:eastAsia="Times New Roman" w:cs="Times New Roman"/>
          <w:szCs w:val="24"/>
        </w:rPr>
      </w:pPr>
      <w:r>
        <w:rPr>
          <w:rFonts w:eastAsia="Times New Roman" w:cs="Times New Roman"/>
          <w:szCs w:val="24"/>
        </w:rPr>
        <w:t>The covariates chosen as inputs for the model enable</w:t>
      </w:r>
      <w:r w:rsidRPr="00256DF1">
        <w:rPr>
          <w:rFonts w:eastAsia="Times New Roman" w:cs="Times New Roman"/>
          <w:szCs w:val="24"/>
        </w:rPr>
        <w:t xml:space="preserve"> the recognition of the first day of smoke in small fires (HMS and FRP), transport of aerosols (NAM), increased aerosol </w:t>
      </w:r>
      <w:r w:rsidRPr="00256DF1">
        <w:rPr>
          <w:rFonts w:eastAsia="Times New Roman" w:cs="Times New Roman"/>
          <w:szCs w:val="24"/>
        </w:rPr>
        <w:lastRenderedPageBreak/>
        <w:t>loading due to temperature inversions, especially over California, and low aerosol loadings (MERRA-2 AOD).</w:t>
      </w:r>
    </w:p>
    <w:p w14:paraId="72EE28DA" w14:textId="294BE757" w:rsidR="001B09A6" w:rsidRPr="001B09A6" w:rsidRDefault="001B09A6" w:rsidP="001B09A6">
      <w:pPr>
        <w:pStyle w:val="ListParagraph"/>
        <w:numPr>
          <w:ilvl w:val="0"/>
          <w:numId w:val="3"/>
        </w:numPr>
      </w:pPr>
      <w:r>
        <w:t>The model struggles most with areas that are sparse in satellite aerosol data. Notable areas with issues are the Pacific Northwest, Canada for most of the year, and Florida over the summer. These areas also have the most significant discrepancies with DB AOD, suggesting that future investigations should include additional data for the model to assess AOD better in these locations and/or develop separate regional/seasonal models that can specialize for AOD patterns specific to these locations.</w:t>
      </w:r>
    </w:p>
    <w:p w14:paraId="6DEA5A2E" w14:textId="14827BCA" w:rsidR="006E476D" w:rsidRDefault="006E476D" w:rsidP="006E476D">
      <w:pPr>
        <w:pStyle w:val="ListParagraph"/>
        <w:numPr>
          <w:ilvl w:val="0"/>
          <w:numId w:val="3"/>
        </w:numPr>
      </w:pPr>
      <w:r>
        <w:rPr>
          <w:noProof/>
        </w:rPr>
        <w:t>A statistical evaluation of UNet 3+ gap-filled AOD with respect to ground-truth AERONET AOD retrievals show</w:t>
      </w:r>
      <w:r w:rsidR="00C815B5">
        <w:rPr>
          <w:noProof/>
        </w:rPr>
        <w:t>s</w:t>
      </w:r>
      <w:r>
        <w:rPr>
          <w:noProof/>
        </w:rPr>
        <w:t xml:space="preserve"> a root mean square error (RMSE)~0.08 and a Pearson correlation (r)~0.84. This performance is comparable to DB, which scores an RMSE~0.09 and r~0.82 in the same evaluation.</w:t>
      </w:r>
    </w:p>
    <w:p w14:paraId="52927FE9" w14:textId="77777777" w:rsidR="006E476D" w:rsidRDefault="006E476D" w:rsidP="006E476D">
      <w:pPr>
        <w:pStyle w:val="ListParagraph"/>
        <w:numPr>
          <w:ilvl w:val="0"/>
          <w:numId w:val="3"/>
        </w:numPr>
      </w:pPr>
      <w:r>
        <w:t>The statistical evaluation metrics of this model are either better or on par with those of most preexisting AOD gap-filling methods (although most of these methods were developed specifically for parts of Asia) and roughly match the statistics of MERRA-2 and DB against AERONET. This level of performance allows for generating a spatially complete daily AOD dataset over CONUS, even the semi-arid western U.S., which has historically been challenging for this task.</w:t>
      </w:r>
    </w:p>
    <w:p w14:paraId="4F279927" w14:textId="689A90DF" w:rsidR="00C36E00" w:rsidRDefault="006E476D" w:rsidP="006E476D">
      <w:pPr>
        <w:pStyle w:val="ListParagraph"/>
        <w:numPr>
          <w:ilvl w:val="0"/>
          <w:numId w:val="3"/>
        </w:numPr>
        <w:jc w:val="both"/>
        <w:rPr>
          <w:rFonts w:eastAsia="Times New Roman" w:cs="Times New Roman"/>
          <w:szCs w:val="24"/>
        </w:rPr>
      </w:pPr>
      <w:r>
        <w:rPr>
          <w:rFonts w:eastAsia="Times New Roman" w:cs="Times New Roman"/>
          <w:szCs w:val="24"/>
        </w:rPr>
        <w:t xml:space="preserve">The computational requirements for the UNet 3+ gap-filling model are low compared to numerical and reanalysis models. Using an HPC node with 2 Nvidia A100 </w:t>
      </w:r>
      <w:r w:rsidR="00E36340">
        <w:rPr>
          <w:rFonts w:eastAsia="Times New Roman" w:cs="Times New Roman"/>
          <w:szCs w:val="24"/>
        </w:rPr>
        <w:t>GPUs</w:t>
      </w:r>
      <w:r>
        <w:rPr>
          <w:rFonts w:eastAsia="Times New Roman" w:cs="Times New Roman"/>
          <w:szCs w:val="24"/>
        </w:rPr>
        <w:t xml:space="preserve">, it took </w:t>
      </w:r>
      <w:r w:rsidRPr="00256DF1">
        <w:rPr>
          <w:rFonts w:eastAsia="Times New Roman" w:cs="Times New Roman"/>
          <w:szCs w:val="24"/>
        </w:rPr>
        <w:t>~1</w:t>
      </w:r>
      <w:r>
        <w:rPr>
          <w:rFonts w:eastAsia="Times New Roman" w:cs="Times New Roman"/>
          <w:szCs w:val="24"/>
        </w:rPr>
        <w:t>2</w:t>
      </w:r>
      <w:r w:rsidRPr="00256DF1">
        <w:rPr>
          <w:rFonts w:eastAsia="Times New Roman" w:cs="Times New Roman"/>
          <w:szCs w:val="24"/>
        </w:rPr>
        <w:t xml:space="preserve"> hours to train </w:t>
      </w:r>
      <w:r>
        <w:rPr>
          <w:rFonts w:eastAsia="Times New Roman" w:cs="Times New Roman"/>
          <w:szCs w:val="24"/>
        </w:rPr>
        <w:t xml:space="preserve">the model on </w:t>
      </w:r>
      <w:r w:rsidRPr="00256DF1">
        <w:rPr>
          <w:rFonts w:eastAsia="Times New Roman" w:cs="Times New Roman"/>
          <w:szCs w:val="24"/>
        </w:rPr>
        <w:t xml:space="preserve">11 years </w:t>
      </w:r>
      <w:r>
        <w:rPr>
          <w:rFonts w:eastAsia="Times New Roman" w:cs="Times New Roman"/>
          <w:szCs w:val="24"/>
        </w:rPr>
        <w:t>of data to convergence</w:t>
      </w:r>
      <w:r w:rsidRPr="00256DF1">
        <w:rPr>
          <w:rFonts w:eastAsia="Times New Roman" w:cs="Times New Roman"/>
          <w:szCs w:val="24"/>
        </w:rPr>
        <w:t xml:space="preserve"> and seconds to </w:t>
      </w:r>
      <w:r>
        <w:rPr>
          <w:rFonts w:eastAsia="Times New Roman" w:cs="Times New Roman"/>
          <w:szCs w:val="24"/>
        </w:rPr>
        <w:t>generate AOD estimations over CONUS</w:t>
      </w:r>
      <w:r w:rsidRPr="00256DF1">
        <w:rPr>
          <w:rFonts w:eastAsia="Times New Roman" w:cs="Times New Roman"/>
          <w:szCs w:val="24"/>
        </w:rPr>
        <w:t xml:space="preserve"> for one day.</w:t>
      </w:r>
    </w:p>
    <w:p w14:paraId="5F4ACFEB" w14:textId="77777777" w:rsidR="006E476D" w:rsidRDefault="006E476D" w:rsidP="006E476D">
      <w:pPr>
        <w:pStyle w:val="ListParagraph"/>
        <w:numPr>
          <w:ilvl w:val="0"/>
          <w:numId w:val="3"/>
        </w:numPr>
      </w:pPr>
      <w:r>
        <w:lastRenderedPageBreak/>
        <w:t>These results support the feasibility of using DL to gap-fill AOD over CONUS. The advantages of using the DL approach are the flexibility of fusing diverse data from disparate sources, extracting high-level features from these data without imposing any assumptions on the problem, and the fast operational runtime. Leveraging these benefits can lead to a better understanding of aerosol distributions at a much finer temporal resolution than possible and enable future aerosol-focused health, economic, and weather studies.</w:t>
      </w:r>
    </w:p>
    <w:p w14:paraId="54176374" w14:textId="77777777" w:rsidR="006E476D" w:rsidRPr="00CA220C" w:rsidRDefault="006E476D" w:rsidP="006E476D">
      <w:pPr>
        <w:pStyle w:val="ListParagraph"/>
        <w:numPr>
          <w:ilvl w:val="0"/>
          <w:numId w:val="3"/>
        </w:numPr>
      </w:pPr>
      <w:r w:rsidRPr="00F65241">
        <w:rPr>
          <w:rFonts w:eastAsia="Times New Roman" w:cs="Times New Roman"/>
          <w:iCs/>
          <w:szCs w:val="24"/>
        </w:rPr>
        <w:t>Some</w:t>
      </w:r>
      <w:r w:rsidRPr="00F65241">
        <w:rPr>
          <w:rFonts w:eastAsia="Times New Roman" w:cs="Times New Roman"/>
          <w:szCs w:val="24"/>
        </w:rPr>
        <w:t xml:space="preserve"> potential challenges exist with the suggested approaches and, more generally, in estimating AOD and PM</w:t>
      </w:r>
      <w:r w:rsidRPr="00F65241">
        <w:rPr>
          <w:rFonts w:eastAsia="Times New Roman" w:cs="Times New Roman"/>
          <w:szCs w:val="24"/>
          <w:vertAlign w:val="subscript"/>
        </w:rPr>
        <w:t>2.5</w:t>
      </w:r>
      <w:r w:rsidRPr="00F65241">
        <w:rPr>
          <w:rFonts w:eastAsia="Times New Roman" w:cs="Times New Roman"/>
          <w:szCs w:val="24"/>
        </w:rPr>
        <w:t>. The first is the sampling bias that naturally arises from AOD retrievals, whether from ground- or satellite-based sensors. As no retrievals are performed in cloudy pixels, any model trained on this data is only aware of the dynamics of clear-sky AOD, and we cannot directly validate estimations over cloudy-sky areas (not even with ground truth AERONET</w:t>
      </w:r>
      <w:r>
        <w:rPr>
          <w:rFonts w:eastAsia="Times New Roman" w:cs="Times New Roman"/>
          <w:szCs w:val="24"/>
        </w:rPr>
        <w:t>, as AERONET stations cannot perform retrievals during cloudy conditions either</w:t>
      </w:r>
      <w:r w:rsidRPr="00F65241">
        <w:rPr>
          <w:rFonts w:eastAsia="Times New Roman" w:cs="Times New Roman"/>
          <w:szCs w:val="24"/>
        </w:rPr>
        <w:t>). However, because this research aims to use AOD to estimate PM</w:t>
      </w:r>
      <w:r w:rsidRPr="00F65241">
        <w:rPr>
          <w:rFonts w:eastAsia="Times New Roman" w:cs="Times New Roman"/>
          <w:szCs w:val="24"/>
          <w:vertAlign w:val="subscript"/>
        </w:rPr>
        <w:t>2.5</w:t>
      </w:r>
      <w:r w:rsidRPr="00997A0C">
        <w:rPr>
          <w:rFonts w:eastAsia="Times New Roman" w:cs="Times New Roman"/>
          <w:szCs w:val="24"/>
        </w:rPr>
        <w:t>,</w:t>
      </w:r>
      <w:r w:rsidRPr="00F65241">
        <w:rPr>
          <w:rFonts w:eastAsia="Times New Roman" w:cs="Times New Roman"/>
          <w:szCs w:val="24"/>
        </w:rPr>
        <w:t xml:space="preserve"> and hydrological effects tend to lower aerosol concentrations (</w:t>
      </w:r>
      <w:r>
        <w:rPr>
          <w:rFonts w:eastAsia="Times New Roman" w:cs="Times New Roman"/>
          <w:szCs w:val="24"/>
        </w:rPr>
        <w:t>i</w:t>
      </w:r>
      <w:r w:rsidRPr="00F65241">
        <w:rPr>
          <w:rFonts w:eastAsia="Times New Roman" w:cs="Times New Roman"/>
          <w:szCs w:val="24"/>
        </w:rPr>
        <w:t>.</w:t>
      </w:r>
      <w:r>
        <w:rPr>
          <w:rFonts w:eastAsia="Times New Roman" w:cs="Times New Roman"/>
          <w:szCs w:val="24"/>
        </w:rPr>
        <w:t>e</w:t>
      </w:r>
      <w:r w:rsidRPr="00F65241">
        <w:rPr>
          <w:rFonts w:eastAsia="Times New Roman" w:cs="Times New Roman"/>
          <w:szCs w:val="24"/>
        </w:rPr>
        <w:t xml:space="preserve">., </w:t>
      </w:r>
      <w:r>
        <w:rPr>
          <w:rFonts w:eastAsia="Times New Roman" w:cs="Times New Roman"/>
          <w:szCs w:val="24"/>
        </w:rPr>
        <w:t xml:space="preserve">via </w:t>
      </w:r>
      <w:r w:rsidRPr="00F65241">
        <w:rPr>
          <w:rFonts w:eastAsia="Times New Roman" w:cs="Times New Roman"/>
          <w:szCs w:val="24"/>
        </w:rPr>
        <w:t>washout from precipitation), the methods can be justified as providing an upper-bound (acute) estimate for exposure.</w:t>
      </w:r>
    </w:p>
    <w:p w14:paraId="204F475D" w14:textId="3844D520" w:rsidR="006E476D" w:rsidRPr="009F4772" w:rsidRDefault="006E476D" w:rsidP="006E476D">
      <w:pPr>
        <w:pStyle w:val="ListParagraph"/>
        <w:numPr>
          <w:ilvl w:val="0"/>
          <w:numId w:val="3"/>
        </w:numPr>
      </w:pPr>
      <w:r w:rsidRPr="00CA220C">
        <w:rPr>
          <w:rFonts w:eastAsia="Times New Roman" w:cs="Times New Roman"/>
          <w:szCs w:val="24"/>
        </w:rPr>
        <w:t xml:space="preserve">A significant focus for future work is how best to incorporate new data from the novel Plankton Aerosol </w:t>
      </w:r>
      <w:r w:rsidR="00E36340" w:rsidRPr="00CA220C">
        <w:rPr>
          <w:rFonts w:eastAsia="Times New Roman" w:cs="Times New Roman"/>
          <w:szCs w:val="24"/>
        </w:rPr>
        <w:t>Clouds</w:t>
      </w:r>
      <w:r w:rsidRPr="00CA220C">
        <w:rPr>
          <w:rFonts w:eastAsia="Times New Roman" w:cs="Times New Roman"/>
          <w:szCs w:val="24"/>
        </w:rPr>
        <w:t xml:space="preserve"> Ecosystem (PACE) mission. The at-launch (</w:t>
      </w:r>
      <w:r w:rsidR="00E36340" w:rsidRPr="00CA220C">
        <w:rPr>
          <w:rFonts w:eastAsia="Times New Roman" w:cs="Times New Roman"/>
          <w:szCs w:val="24"/>
        </w:rPr>
        <w:t>February</w:t>
      </w:r>
      <w:r w:rsidRPr="00CA220C">
        <w:rPr>
          <w:rFonts w:eastAsia="Times New Roman" w:cs="Times New Roman"/>
          <w:szCs w:val="24"/>
        </w:rPr>
        <w:t xml:space="preserve"> 202</w:t>
      </w:r>
      <w:r>
        <w:rPr>
          <w:rFonts w:eastAsia="Times New Roman" w:cs="Times New Roman"/>
          <w:szCs w:val="24"/>
        </w:rPr>
        <w:t>4</w:t>
      </w:r>
      <w:r w:rsidRPr="00CA220C">
        <w:rPr>
          <w:rFonts w:eastAsia="Times New Roman" w:cs="Times New Roman"/>
          <w:szCs w:val="24"/>
        </w:rPr>
        <w:t xml:space="preserve">) application of DB to PACE Ocean Color Instrument (OCI) was to that of MODIS and VIIRS, except at finer spatial resolution; however, due to increased spectral coverage, it is anticipated that improved aerosol-type products (e.g., fine-resolution UV absorbing aerosol index, fine mode fraction) and an aerosol height product may become available. </w:t>
      </w:r>
      <w:r w:rsidRPr="00CA220C">
        <w:rPr>
          <w:rFonts w:eastAsia="Times New Roman" w:cs="Times New Roman"/>
          <w:szCs w:val="24"/>
        </w:rPr>
        <w:lastRenderedPageBreak/>
        <w:t xml:space="preserve">Given these improvements, assimilating PACE data into the existing gap-filling model trained on current DB data would be ideal for improving model performance and </w:t>
      </w:r>
      <w:r>
        <w:rPr>
          <w:rFonts w:eastAsia="Times New Roman" w:cs="Times New Roman"/>
          <w:szCs w:val="24"/>
        </w:rPr>
        <w:t>ensuring</w:t>
      </w:r>
      <w:r w:rsidRPr="00CA220C">
        <w:rPr>
          <w:rFonts w:eastAsia="Times New Roman" w:cs="Times New Roman"/>
          <w:szCs w:val="24"/>
        </w:rPr>
        <w:t xml:space="preserve"> the continuity of the NASA aerosol mission.</w:t>
      </w:r>
    </w:p>
    <w:p w14:paraId="42A1C0E2" w14:textId="6376C510" w:rsidR="008368C1" w:rsidRPr="008368C1" w:rsidRDefault="008368C1" w:rsidP="00914A8B">
      <w:r w:rsidRPr="008368C1">
        <w:br w:type="page"/>
      </w:r>
    </w:p>
    <w:p w14:paraId="19C758B4" w14:textId="08A87BCB" w:rsidR="00F31A6A" w:rsidRPr="008368C1" w:rsidRDefault="00F31A6A" w:rsidP="00F05FDF">
      <w:pPr>
        <w:pStyle w:val="Heading1"/>
        <w:rPr>
          <w:rFonts w:eastAsia="Times New Roman"/>
          <w:color w:val="000000"/>
          <w:szCs w:val="24"/>
        </w:rPr>
      </w:pPr>
      <w:bookmarkStart w:id="118" w:name="_Toc161431120"/>
      <w:r w:rsidRPr="002B1293">
        <w:lastRenderedPageBreak/>
        <w:t>Bibliography</w:t>
      </w:r>
      <w:bookmarkEnd w:id="118"/>
    </w:p>
    <w:p w14:paraId="1CFB7912" w14:textId="77777777" w:rsidR="002965A0" w:rsidRDefault="00F31A6A" w:rsidP="002965A0">
      <w:pPr>
        <w:pStyle w:val="Bibliography"/>
      </w:pPr>
      <w:r w:rsidRPr="002B1293">
        <w:rPr>
          <w:rFonts w:asciiTheme="minorHAnsi" w:hAnsiTheme="minorHAnsi"/>
          <w:b/>
          <w:bCs/>
          <w:sz w:val="22"/>
        </w:rPr>
        <w:fldChar w:fldCharType="begin"/>
      </w:r>
      <w:r w:rsidR="00E05AAF">
        <w:rPr>
          <w:b/>
          <w:bCs/>
        </w:rPr>
        <w:instrText xml:space="preserve"> ADDIN ZOTERO_BIBL {"uncited":[],"omitted":[],"custom":[]} CSL_BIBLIOGRAPHY </w:instrText>
      </w:r>
      <w:r w:rsidRPr="002B1293">
        <w:rPr>
          <w:rFonts w:asciiTheme="minorHAnsi" w:hAnsiTheme="minorHAnsi"/>
          <w:b/>
          <w:bCs/>
          <w:sz w:val="22"/>
        </w:rPr>
        <w:fldChar w:fldCharType="separate"/>
      </w:r>
      <w:r w:rsidR="002965A0">
        <w:t xml:space="preserve">Ackerman, S. A., Strabala, K. I., Menzel, W. P., Frey, R. A., Moeller, C. C., &amp; Gumley, L. E. (1998). Discriminating clear sky from clouds with MODIS. </w:t>
      </w:r>
      <w:r w:rsidR="002965A0">
        <w:rPr>
          <w:i/>
          <w:iCs/>
        </w:rPr>
        <w:t>Journal of Geophysical Research: Atmospheres</w:t>
      </w:r>
      <w:r w:rsidR="002965A0">
        <w:t xml:space="preserve">, </w:t>
      </w:r>
      <w:r w:rsidR="002965A0">
        <w:rPr>
          <w:i/>
          <w:iCs/>
        </w:rPr>
        <w:t>103</w:t>
      </w:r>
      <w:r w:rsidR="002965A0">
        <w:t>(D24), 32141–32157. https://doi.org/10.1029/1998JD200032</w:t>
      </w:r>
    </w:p>
    <w:p w14:paraId="766070F7" w14:textId="77777777" w:rsidR="002965A0" w:rsidRDefault="002965A0" w:rsidP="002965A0">
      <w:pPr>
        <w:pStyle w:val="Bibliography"/>
      </w:pPr>
      <w:r>
        <w:t xml:space="preserve">Albawi, S., Mohammed, T. A., &amp; Al-Zawi, S. (2017). Understanding of a convolutional neural network. In </w:t>
      </w:r>
      <w:r>
        <w:rPr>
          <w:i/>
          <w:iCs/>
        </w:rPr>
        <w:t>2017 International Conference on Engineering and Technology (ICET)</w:t>
      </w:r>
      <w:r>
        <w:t xml:space="preserve"> (pp. 1–6). https://doi.org/10.1109/ICEngTechnol.2017.8308186</w:t>
      </w:r>
    </w:p>
    <w:p w14:paraId="6CDAB43B" w14:textId="77777777" w:rsidR="002965A0" w:rsidRDefault="002965A0" w:rsidP="002965A0">
      <w:pPr>
        <w:pStyle w:val="Bibliography"/>
      </w:pPr>
      <w:r>
        <w:t xml:space="preserve">Albrecht, B. A. (1989). Aerosols, Cloud Microphysics, and Fractional Cloudiness. </w:t>
      </w:r>
      <w:r>
        <w:rPr>
          <w:i/>
          <w:iCs/>
        </w:rPr>
        <w:t>Science</w:t>
      </w:r>
      <w:r>
        <w:t xml:space="preserve">, </w:t>
      </w:r>
      <w:r>
        <w:rPr>
          <w:i/>
          <w:iCs/>
        </w:rPr>
        <w:t>245</w:t>
      </w:r>
      <w:r>
        <w:t>(4923), 1227–1230. https://doi.org/10.1126/science.245.4923.1227</w:t>
      </w:r>
    </w:p>
    <w:p w14:paraId="1D41290E" w14:textId="77777777" w:rsidR="002965A0" w:rsidRDefault="002965A0" w:rsidP="002965A0">
      <w:pPr>
        <w:pStyle w:val="Bibliography"/>
      </w:pPr>
      <w:r>
        <w:t xml:space="preserve">Alman, B. L., Pfister, G., Hao, H., Stowell, J., Hu, X., Liu, Y., &amp; Strickland, M. J. (2016). The association of wildfire smoke with respiratory and cardiovascular emergency department visits in Colorado in 2012: a case crossover study. </w:t>
      </w:r>
      <w:r>
        <w:rPr>
          <w:i/>
          <w:iCs/>
        </w:rPr>
        <w:t>Environmental Health</w:t>
      </w:r>
      <w:r>
        <w:t xml:space="preserve">, </w:t>
      </w:r>
      <w:r>
        <w:rPr>
          <w:i/>
          <w:iCs/>
        </w:rPr>
        <w:t>15</w:t>
      </w:r>
      <w:r>
        <w:t>, 64. https://doi.org/10.1186/s12940-016-0146-8</w:t>
      </w:r>
    </w:p>
    <w:p w14:paraId="67D0CE08" w14:textId="77777777" w:rsidR="002965A0" w:rsidRDefault="002965A0" w:rsidP="002965A0">
      <w:pPr>
        <w:pStyle w:val="Bibliography"/>
      </w:pPr>
      <w:r>
        <w:t xml:space="preserve">Altaratz, O., Koren, I., Remer, L. A., &amp; Hirsch, E. (2014). Review: Cloud invigoration by aerosols—Coupling between microphysics and dynamics. </w:t>
      </w:r>
      <w:r>
        <w:rPr>
          <w:i/>
          <w:iCs/>
        </w:rPr>
        <w:t>Atmospheric Research</w:t>
      </w:r>
      <w:r>
        <w:t xml:space="preserve">, </w:t>
      </w:r>
      <w:r>
        <w:rPr>
          <w:i/>
          <w:iCs/>
        </w:rPr>
        <w:t>140–141</w:t>
      </w:r>
      <w:r>
        <w:t>, 38–60. https://doi.org/10.1016/j.atmosres.2014.01.009</w:t>
      </w:r>
    </w:p>
    <w:p w14:paraId="507D01D7" w14:textId="77777777" w:rsidR="002965A0" w:rsidRDefault="002965A0" w:rsidP="002965A0">
      <w:pPr>
        <w:pStyle w:val="Bibliography"/>
      </w:pPr>
      <w:r>
        <w:t xml:space="preserve">Anderson, E. L., Turnham, P., Griffin, J. R., &amp; Clarke, C. C. (2020). Consideration of the Aerosol Transmission for COVID-19 and Public Health. </w:t>
      </w:r>
      <w:r>
        <w:rPr>
          <w:i/>
          <w:iCs/>
        </w:rPr>
        <w:t>Risk Analysis</w:t>
      </w:r>
      <w:r>
        <w:t xml:space="preserve">, </w:t>
      </w:r>
      <w:r>
        <w:rPr>
          <w:i/>
          <w:iCs/>
        </w:rPr>
        <w:t>40</w:t>
      </w:r>
      <w:r>
        <w:t>(5), 902–907. https://doi.org/10.1111/risa.13500</w:t>
      </w:r>
    </w:p>
    <w:p w14:paraId="66BC7563" w14:textId="77777777" w:rsidR="002965A0" w:rsidRDefault="002965A0" w:rsidP="002965A0">
      <w:pPr>
        <w:pStyle w:val="Bibliography"/>
      </w:pPr>
      <w:r>
        <w:t xml:space="preserve">Andreae, M. O., &amp; Rosenfeld, D. (2008). Aerosol–cloud–precipitation interactions. Part 1. The nature and sources of cloud-active aerosols. </w:t>
      </w:r>
      <w:r>
        <w:rPr>
          <w:i/>
          <w:iCs/>
        </w:rPr>
        <w:t>Earth-Science Reviews</w:t>
      </w:r>
      <w:r>
        <w:t xml:space="preserve">, </w:t>
      </w:r>
      <w:r>
        <w:rPr>
          <w:i/>
          <w:iCs/>
        </w:rPr>
        <w:t>89</w:t>
      </w:r>
      <w:r>
        <w:t>(1), 13–41. https://doi.org/10.1016/j.earscirev.2008.03.001</w:t>
      </w:r>
    </w:p>
    <w:p w14:paraId="66F04076" w14:textId="77777777" w:rsidR="002965A0" w:rsidRDefault="002965A0" w:rsidP="002965A0">
      <w:pPr>
        <w:pStyle w:val="Bibliography"/>
      </w:pPr>
      <w:r>
        <w:lastRenderedPageBreak/>
        <w:t xml:space="preserve">Angstrom, A. (1929). On the Atmospheric Transmission of Sun Radiation and on Dust in the Air. </w:t>
      </w:r>
      <w:r>
        <w:rPr>
          <w:i/>
          <w:iCs/>
        </w:rPr>
        <w:t>Geografiska Annaler</w:t>
      </w:r>
      <w:r>
        <w:t xml:space="preserve">, </w:t>
      </w:r>
      <w:r>
        <w:rPr>
          <w:i/>
          <w:iCs/>
        </w:rPr>
        <w:t>11</w:t>
      </w:r>
      <w:r>
        <w:t>, 156–166.</w:t>
      </w:r>
    </w:p>
    <w:p w14:paraId="29E5E57B" w14:textId="77777777" w:rsidR="002965A0" w:rsidRDefault="002965A0" w:rsidP="002965A0">
      <w:pPr>
        <w:pStyle w:val="Bibliography"/>
      </w:pPr>
      <w:r>
        <w:t xml:space="preserve">Appel, M. (2024). Efficient data-driven gap filling of satellite image time series using deep neural networks with partial convolutions. </w:t>
      </w:r>
      <w:r>
        <w:rPr>
          <w:i/>
          <w:iCs/>
        </w:rPr>
        <w:t>Artificial Intelligence for the Earth Systems</w:t>
      </w:r>
      <w:r>
        <w:t xml:space="preserve">, </w:t>
      </w:r>
      <w:r>
        <w:rPr>
          <w:i/>
          <w:iCs/>
        </w:rPr>
        <w:t>1</w:t>
      </w:r>
      <w:r>
        <w:t>(aop). https://doi.org/10.1175/AIES-D-22-0055.1</w:t>
      </w:r>
    </w:p>
    <w:p w14:paraId="73A167C3" w14:textId="77777777" w:rsidR="002965A0" w:rsidRDefault="002965A0" w:rsidP="002965A0">
      <w:pPr>
        <w:pStyle w:val="Bibliography"/>
      </w:pPr>
      <w:r>
        <w:t xml:space="preserve">Archibald, S., Lehmann, C. E. R., Gómez-Dans, J. L., &amp; Bradstock, R. A. (2013). Defining pyromes and global syndromes of fire regimes. </w:t>
      </w:r>
      <w:r>
        <w:rPr>
          <w:i/>
          <w:iCs/>
        </w:rPr>
        <w:t>Proceedings of the National Academy of Sciences</w:t>
      </w:r>
      <w:r>
        <w:t xml:space="preserve">, </w:t>
      </w:r>
      <w:r>
        <w:rPr>
          <w:i/>
          <w:iCs/>
        </w:rPr>
        <w:t>110</w:t>
      </w:r>
      <w:r>
        <w:t>(16), 6442–6447. https://doi.org/10.1073/pnas.1211466110</w:t>
      </w:r>
    </w:p>
    <w:p w14:paraId="12169A01" w14:textId="77777777" w:rsidR="002965A0" w:rsidRDefault="002965A0" w:rsidP="002965A0">
      <w:pPr>
        <w:pStyle w:val="Bibliography"/>
      </w:pPr>
      <w:r>
        <w:t xml:space="preserve">Atwater, M. A. (1970). Planetary Albedo Changes Due to Aerosols. </w:t>
      </w:r>
      <w:r>
        <w:rPr>
          <w:i/>
          <w:iCs/>
        </w:rPr>
        <w:t>Science</w:t>
      </w:r>
      <w:r>
        <w:t xml:space="preserve">, </w:t>
      </w:r>
      <w:r>
        <w:rPr>
          <w:i/>
          <w:iCs/>
        </w:rPr>
        <w:t>170</w:t>
      </w:r>
      <w:r>
        <w:t>(3953), 64–66. https://doi.org/10.1126/science.170.3953.64</w:t>
      </w:r>
    </w:p>
    <w:p w14:paraId="081EDD14" w14:textId="77777777" w:rsidR="002965A0" w:rsidRDefault="002965A0" w:rsidP="002965A0">
      <w:pPr>
        <w:pStyle w:val="Bibliography"/>
      </w:pPr>
      <w:r>
        <w:t xml:space="preserve">Bach, A. J., Brazel, A. J., &amp; Lancaster, N. (1996). Temporal and Spatial Aspects of Blowing Dust in the Mojave and Colorado Deserts of Southern California, 1973–1994. </w:t>
      </w:r>
      <w:r>
        <w:rPr>
          <w:i/>
          <w:iCs/>
        </w:rPr>
        <w:t>Physical Geography</w:t>
      </w:r>
      <w:r>
        <w:t xml:space="preserve">, </w:t>
      </w:r>
      <w:r>
        <w:rPr>
          <w:i/>
          <w:iCs/>
        </w:rPr>
        <w:t>17</w:t>
      </w:r>
      <w:r>
        <w:t>(4), 329–353. https://doi.org/10.1080/02723646.1996.10642589</w:t>
      </w:r>
    </w:p>
    <w:p w14:paraId="2313EB09" w14:textId="77777777" w:rsidR="002965A0" w:rsidRDefault="002965A0" w:rsidP="002965A0">
      <w:pPr>
        <w:pStyle w:val="Bibliography"/>
      </w:pPr>
      <w:r>
        <w:t xml:space="preserve">Barbaro, E., Vilà-Guerau de Arellano, J., Krol, M. C., &amp; Holtslag, A. A. M. (2013). Impacts of Aerosol Shortwave Radiation Absorption on the Dynamics of an Idealized Convective Atmospheric Boundary Layer. </w:t>
      </w:r>
      <w:r>
        <w:rPr>
          <w:i/>
          <w:iCs/>
        </w:rPr>
        <w:t>Boundary-Layer Meteorology</w:t>
      </w:r>
      <w:r>
        <w:t xml:space="preserve">, </w:t>
      </w:r>
      <w:r>
        <w:rPr>
          <w:i/>
          <w:iCs/>
        </w:rPr>
        <w:t>148</w:t>
      </w:r>
      <w:r>
        <w:t>(1), 31–49. https://doi.org/10.1007/s10546-013-9800-7</w:t>
      </w:r>
    </w:p>
    <w:p w14:paraId="4E2C7689" w14:textId="77777777" w:rsidR="002965A0" w:rsidRDefault="002965A0" w:rsidP="002965A0">
      <w:pPr>
        <w:pStyle w:val="Bibliography"/>
      </w:pPr>
      <w:r>
        <w:t xml:space="preserve">Barron, A. R. (1994). Approximation and estimation bounds for artificial neural networks. </w:t>
      </w:r>
      <w:r>
        <w:rPr>
          <w:i/>
          <w:iCs/>
        </w:rPr>
        <w:t>Machine Learning</w:t>
      </w:r>
      <w:r>
        <w:t xml:space="preserve">, </w:t>
      </w:r>
      <w:r>
        <w:rPr>
          <w:i/>
          <w:iCs/>
        </w:rPr>
        <w:t>14</w:t>
      </w:r>
      <w:r>
        <w:t>(1), 115–133. https://doi.org/10.1007/BF00993164</w:t>
      </w:r>
    </w:p>
    <w:p w14:paraId="1ACC3D70" w14:textId="77777777" w:rsidR="002965A0" w:rsidRDefault="002965A0" w:rsidP="002965A0">
      <w:pPr>
        <w:pStyle w:val="Bibliography"/>
      </w:pPr>
      <w:r>
        <w:t xml:space="preserve">Bhattacharjee, P. S., Zhang, L., Baker, B., Pan, L., Montuoro, R., Grell, G. A., &amp; McQueen, J. T. (2023). Evaluation of Aerosol Optical Depth Forecasts from NOAA’s Global Aerosol Forecast Model (GEFS-Aerosols). </w:t>
      </w:r>
      <w:r>
        <w:rPr>
          <w:i/>
          <w:iCs/>
        </w:rPr>
        <w:t>Weather and Forecasting</w:t>
      </w:r>
      <w:r>
        <w:t xml:space="preserve">, </w:t>
      </w:r>
      <w:r>
        <w:rPr>
          <w:i/>
          <w:iCs/>
        </w:rPr>
        <w:t>38</w:t>
      </w:r>
      <w:r>
        <w:t>(2), 225–249. https://doi.org/10.1175/WAF-D-22-0083.1</w:t>
      </w:r>
    </w:p>
    <w:p w14:paraId="285DB919" w14:textId="77777777" w:rsidR="002965A0" w:rsidRDefault="002965A0" w:rsidP="002965A0">
      <w:pPr>
        <w:pStyle w:val="Bibliography"/>
      </w:pPr>
      <w:r>
        <w:lastRenderedPageBreak/>
        <w:t xml:space="preserve">Bocquet, M., Elbern, H., Eskes, H., Hirtl, M., Žabkar, R., Carmichael, G. R., et al. (2015). Data assimilation in atmospheric chemistry models: current status and future prospects for coupled chemistry meteorology models. </w:t>
      </w:r>
      <w:r>
        <w:rPr>
          <w:i/>
          <w:iCs/>
        </w:rPr>
        <w:t>Atmospheric Chemistry and Physics</w:t>
      </w:r>
      <w:r>
        <w:t xml:space="preserve">, </w:t>
      </w:r>
      <w:r>
        <w:rPr>
          <w:i/>
          <w:iCs/>
        </w:rPr>
        <w:t>15</w:t>
      </w:r>
      <w:r>
        <w:t>(10), 5325–5358. https://doi.org/10.5194/acp-15-5325-2015</w:t>
      </w:r>
    </w:p>
    <w:p w14:paraId="2E92AB88" w14:textId="77777777" w:rsidR="002965A0" w:rsidRDefault="002965A0" w:rsidP="002965A0">
      <w:pPr>
        <w:pStyle w:val="Bibliography"/>
      </w:pPr>
      <w:r>
        <w:t xml:space="preserve">Bond, T. C., Bhardwaj, E., Dong, R., Jogani, R., Jung, S., Roden, C., et al. (2007). Historical emissions of black and organic carbon aerosol from energy-related combustion, 1850–2000. </w:t>
      </w:r>
      <w:r>
        <w:rPr>
          <w:i/>
          <w:iCs/>
        </w:rPr>
        <w:t>Global Biogeochemical Cycles</w:t>
      </w:r>
      <w:r>
        <w:t xml:space="preserve">, </w:t>
      </w:r>
      <w:r>
        <w:rPr>
          <w:i/>
          <w:iCs/>
        </w:rPr>
        <w:t>21</w:t>
      </w:r>
      <w:r>
        <w:t>(2). https://doi.org/10.1029/2006GB002840</w:t>
      </w:r>
    </w:p>
    <w:p w14:paraId="4BCB43C4" w14:textId="77777777" w:rsidR="002965A0" w:rsidRDefault="002965A0" w:rsidP="002965A0">
      <w:pPr>
        <w:pStyle w:val="Bibliography"/>
      </w:pPr>
      <w:r>
        <w:t xml:space="preserve">Boucher, O., Randall, D., Artaxo, P., Bretherton, C., Feingold, G., Forster, P., et al. (2013). Clouds and Aerosols. In </w:t>
      </w:r>
      <w:r>
        <w:rPr>
          <w:i/>
          <w:iCs/>
        </w:rPr>
        <w:t>Climate Change 2013: The Physical Science Basis. Contribution of Working Group I to the Fifth Assessment Report of the Intergovernmental Panel on Climate Change</w:t>
      </w:r>
      <w:r>
        <w:t xml:space="preserve"> (pp. 571–657). Cambridge University Press. Retrieved from https://pure.mpg.de/pubman/faces/ViewItemOverviewPage.jsp?itemId=item_2007900</w:t>
      </w:r>
    </w:p>
    <w:p w14:paraId="4FF39B5B" w14:textId="77777777" w:rsidR="002965A0" w:rsidRDefault="002965A0" w:rsidP="002965A0">
      <w:pPr>
        <w:pStyle w:val="Bibliography"/>
      </w:pPr>
      <w:r>
        <w:t xml:space="preserve">Brey, S. J., Ruminski, M., Atwood, S. A., &amp; Fischer, E. V. (2018). Connecting smoke plumes to sources using Hazard Mapping System (HMS) smoke and fire location data over North America. </w:t>
      </w:r>
      <w:r>
        <w:rPr>
          <w:i/>
          <w:iCs/>
        </w:rPr>
        <w:t>Atmospheric Chemistry and Physics</w:t>
      </w:r>
      <w:r>
        <w:t xml:space="preserve">, </w:t>
      </w:r>
      <w:r>
        <w:rPr>
          <w:i/>
          <w:iCs/>
        </w:rPr>
        <w:t>18</w:t>
      </w:r>
      <w:r>
        <w:t>(3), 1745–1761. https://doi.org/10.5194/acp-18-1745-2018</w:t>
      </w:r>
    </w:p>
    <w:p w14:paraId="4F9BD424" w14:textId="77777777" w:rsidR="002965A0" w:rsidRDefault="002965A0" w:rsidP="002965A0">
      <w:pPr>
        <w:pStyle w:val="Bibliography"/>
      </w:pPr>
      <w:r>
        <w:t xml:space="preserve">Brook, R. D., Rajagopalan, S., Pope, C. A., Brook, J. R., Bhatnagar, A., Diez-Roux, A. V., et al. (2010). Particulate Matter Air Pollution and Cardiovascular Disease An Update to the Scientific Statement From the American Heart Association. </w:t>
      </w:r>
      <w:r>
        <w:rPr>
          <w:i/>
          <w:iCs/>
        </w:rPr>
        <w:t>Circulation</w:t>
      </w:r>
      <w:r>
        <w:t xml:space="preserve">, </w:t>
      </w:r>
      <w:r>
        <w:rPr>
          <w:i/>
          <w:iCs/>
        </w:rPr>
        <w:t>121</w:t>
      </w:r>
      <w:r>
        <w:t>(21), 2331–2378. https://doi.org/10.1161/CIR.0b013e3181dbece1</w:t>
      </w:r>
    </w:p>
    <w:p w14:paraId="28263A01" w14:textId="77777777" w:rsidR="002965A0" w:rsidRDefault="002965A0" w:rsidP="002965A0">
      <w:pPr>
        <w:pStyle w:val="Bibliography"/>
      </w:pPr>
      <w:r>
        <w:t xml:space="preserve">Chai, J., Zeng, H., Li, A., &amp; Ngai, E. W. T. (2021). Deep learning in computer vision: A critical review of emerging techniques and application scenarios. </w:t>
      </w:r>
      <w:r>
        <w:rPr>
          <w:i/>
          <w:iCs/>
        </w:rPr>
        <w:t>Machine Learning with Applications</w:t>
      </w:r>
      <w:r>
        <w:t xml:space="preserve">, </w:t>
      </w:r>
      <w:r>
        <w:rPr>
          <w:i/>
          <w:iCs/>
        </w:rPr>
        <w:t>6</w:t>
      </w:r>
      <w:r>
        <w:t>, 100134. https://doi.org/10.1016/j.mlwa.2021.100134</w:t>
      </w:r>
    </w:p>
    <w:p w14:paraId="5D8BF26E" w14:textId="77777777" w:rsidR="002965A0" w:rsidRDefault="002965A0" w:rsidP="002965A0">
      <w:pPr>
        <w:pStyle w:val="Bibliography"/>
      </w:pPr>
      <w:r>
        <w:lastRenderedPageBreak/>
        <w:t xml:space="preserve">Chakrabarty, R. K., Moosmüller, H., Chen, L.-W. A., Lewis, K., Arnott, W. P., Mazzoleni, C., et al. (2010). Brown carbon in tar balls from smoldering biomass combustion. </w:t>
      </w:r>
      <w:r>
        <w:rPr>
          <w:i/>
          <w:iCs/>
        </w:rPr>
        <w:t>Atmospheric Chemistry and Physics</w:t>
      </w:r>
      <w:r>
        <w:t xml:space="preserve">, </w:t>
      </w:r>
      <w:r>
        <w:rPr>
          <w:i/>
          <w:iCs/>
        </w:rPr>
        <w:t>10</w:t>
      </w:r>
      <w:r>
        <w:t>(13), 6363–6370. https://doi.org/10.5194/acp-10-6363-2010</w:t>
      </w:r>
    </w:p>
    <w:p w14:paraId="5CE05D65" w14:textId="77777777" w:rsidR="002965A0" w:rsidRDefault="002965A0" w:rsidP="002965A0">
      <w:pPr>
        <w:pStyle w:val="Bibliography"/>
      </w:pPr>
      <w:r>
        <w:t xml:space="preserve">Chang, H. H., Hu, X., &amp; Liu, Y. (2014). Calibrating MODIS aerosol optical depth for predicting daily PM2.5 concentrations via statistical downscaling. </w:t>
      </w:r>
      <w:r>
        <w:rPr>
          <w:i/>
          <w:iCs/>
        </w:rPr>
        <w:t>Journal of Exposure Science and Environmental Epidemiology</w:t>
      </w:r>
      <w:r>
        <w:t xml:space="preserve">, </w:t>
      </w:r>
      <w:r>
        <w:rPr>
          <w:i/>
          <w:iCs/>
        </w:rPr>
        <w:t>24</w:t>
      </w:r>
      <w:r>
        <w:t>(4), 398–404. https://doi.org/10.1038/jes.2013.90</w:t>
      </w:r>
    </w:p>
    <w:p w14:paraId="266BDA10" w14:textId="77777777" w:rsidR="002965A0" w:rsidRDefault="002965A0" w:rsidP="002965A0">
      <w:pPr>
        <w:pStyle w:val="Bibliography"/>
      </w:pPr>
      <w:r>
        <w:t xml:space="preserve">Charlson, R. J., &amp; Pilat, M. J. (1969). Climate: The Influence of Aerosols. </w:t>
      </w:r>
      <w:r>
        <w:rPr>
          <w:i/>
          <w:iCs/>
        </w:rPr>
        <w:t>Journal of Applied Meteorology</w:t>
      </w:r>
      <w:r>
        <w:t xml:space="preserve">, </w:t>
      </w:r>
      <w:r>
        <w:rPr>
          <w:i/>
          <w:iCs/>
        </w:rPr>
        <w:t>8</w:t>
      </w:r>
      <w:r>
        <w:t>(6), 1001–1002. https://doi.org/10.1175/1520-0450(1969)008&lt;1001:CTIOA&gt;2.0.CO;2</w:t>
      </w:r>
    </w:p>
    <w:p w14:paraId="129960A5" w14:textId="77777777" w:rsidR="002965A0" w:rsidRDefault="002965A0" w:rsidP="002965A0">
      <w:pPr>
        <w:pStyle w:val="Bibliography"/>
      </w:pPr>
      <w:r>
        <w:t xml:space="preserve">Charlson, R. J., Schwartz, S. E., Hales, J. M., Cess, R. D., Coakley, J. A., Hansen, J. E., &amp; Hofmann, D. J. (1992). Climate Forcing by Anthropogenic Aerosols. </w:t>
      </w:r>
      <w:r>
        <w:rPr>
          <w:i/>
          <w:iCs/>
        </w:rPr>
        <w:t>Science</w:t>
      </w:r>
      <w:r>
        <w:t xml:space="preserve">, </w:t>
      </w:r>
      <w:r>
        <w:rPr>
          <w:i/>
          <w:iCs/>
        </w:rPr>
        <w:t>255</w:t>
      </w:r>
      <w:r>
        <w:t>(5043), 423–430. https://doi.org/10.1126/science.255.5043.423</w:t>
      </w:r>
    </w:p>
    <w:p w14:paraId="211D62B3" w14:textId="77777777" w:rsidR="002965A0" w:rsidRDefault="002965A0" w:rsidP="002965A0">
      <w:pPr>
        <w:pStyle w:val="Bibliography"/>
      </w:pPr>
      <w:r>
        <w:t xml:space="preserve">Chen, G., Chen, J., Dong, G., Yang, B., Liu, Y., Lu, T., et al. (2021). Improving satellite-based estimation of surface ozone across China during 2008–2019 using iterative random forest model and high-resolution grid meteorological data. </w:t>
      </w:r>
      <w:r>
        <w:rPr>
          <w:i/>
          <w:iCs/>
        </w:rPr>
        <w:t>Sustainable Cities and Society</w:t>
      </w:r>
      <w:r>
        <w:t xml:space="preserve">, </w:t>
      </w:r>
      <w:r>
        <w:rPr>
          <w:i/>
          <w:iCs/>
        </w:rPr>
        <w:t>69</w:t>
      </w:r>
      <w:r>
        <w:t>, 102807. https://doi.org/10.1016/j.scs.2021.102807</w:t>
      </w:r>
    </w:p>
    <w:p w14:paraId="7F602ED0" w14:textId="77777777" w:rsidR="002965A0" w:rsidRDefault="002965A0" w:rsidP="002965A0">
      <w:pPr>
        <w:pStyle w:val="Bibliography"/>
      </w:pPr>
      <w:r>
        <w:t>Chen, J., Lu, Y., Yu, Q., Luo, X., Adeli, E., Wang, Y., et al. (2021, February 8). TransUNet: Transformers Make Strong Encoders for Medical Image Segmentation. arXiv. https://doi.org/10.48550/arXiv.2102.04306</w:t>
      </w:r>
    </w:p>
    <w:p w14:paraId="27F0CDD6" w14:textId="77777777" w:rsidR="002965A0" w:rsidRDefault="002965A0" w:rsidP="002965A0">
      <w:pPr>
        <w:pStyle w:val="Bibliography"/>
      </w:pPr>
      <w:r>
        <w:t xml:space="preserve">Chen, L.-W. A., Moosmüller, H., Arnott, W. P., Chow, J. C., Watson, J. G., Susott, R. A., et al. (2007). Emissions from Laboratory Combustion of Wildland Fuels:  Emission Factors and Source Profiles. </w:t>
      </w:r>
      <w:r>
        <w:rPr>
          <w:i/>
          <w:iCs/>
        </w:rPr>
        <w:t>Environmental Science &amp; Technology</w:t>
      </w:r>
      <w:r>
        <w:t xml:space="preserve">, </w:t>
      </w:r>
      <w:r>
        <w:rPr>
          <w:i/>
          <w:iCs/>
        </w:rPr>
        <w:t>41</w:t>
      </w:r>
      <w:r>
        <w:t>(12), 4317–4325. https://doi.org/10.1021/es062364i</w:t>
      </w:r>
    </w:p>
    <w:p w14:paraId="5C155059" w14:textId="77777777" w:rsidR="002965A0" w:rsidRDefault="002965A0" w:rsidP="002965A0">
      <w:pPr>
        <w:pStyle w:val="Bibliography"/>
      </w:pPr>
      <w:r>
        <w:lastRenderedPageBreak/>
        <w:t xml:space="preserve">Cheng, M.-F., Ho, S.-C., Chiu, H.-F., Wu, T.-N., Chen, P.-S., &amp; Yang, C.-Y. (2008). Consequences of Exposure to Asian Dust Storm Events on Daily Pneumonia Hospital Admissions in Taipei, Taiwan. </w:t>
      </w:r>
      <w:r>
        <w:rPr>
          <w:i/>
          <w:iCs/>
        </w:rPr>
        <w:t>Journal of Toxicology and Environmental Health, Part A</w:t>
      </w:r>
      <w:r>
        <w:t xml:space="preserve">, </w:t>
      </w:r>
      <w:r>
        <w:rPr>
          <w:i/>
          <w:iCs/>
        </w:rPr>
        <w:t>71</w:t>
      </w:r>
      <w:r>
        <w:t>(19), 1295–1299. https://doi.org/10.1080/15287390802114808</w:t>
      </w:r>
    </w:p>
    <w:p w14:paraId="38B85CB8" w14:textId="77777777" w:rsidR="002965A0" w:rsidRDefault="002965A0" w:rsidP="002965A0">
      <w:pPr>
        <w:pStyle w:val="Bibliography"/>
      </w:pPr>
      <w:r>
        <w:t xml:space="preserve">Chien, L.-C., Yang, C.-H., &amp; Yu, H.-L. (2012). Estimated Effects of Asian Dust Storms on Spatiotemporal Distributions of Clinic Visits for Respiratory Diseases in Taipei Children (Taiwan). </w:t>
      </w:r>
      <w:r>
        <w:rPr>
          <w:i/>
          <w:iCs/>
        </w:rPr>
        <w:t>Environmental Health Perspectives</w:t>
      </w:r>
      <w:r>
        <w:t xml:space="preserve">, </w:t>
      </w:r>
      <w:r>
        <w:rPr>
          <w:i/>
          <w:iCs/>
        </w:rPr>
        <w:t>120</w:t>
      </w:r>
      <w:r>
        <w:t>(8), 1215–1220. https://doi.org/10.1289/ehp.1104417</w:t>
      </w:r>
    </w:p>
    <w:p w14:paraId="13C9D863" w14:textId="77777777" w:rsidR="002965A0" w:rsidRDefault="002965A0" w:rsidP="002965A0">
      <w:pPr>
        <w:pStyle w:val="Bibliography"/>
      </w:pPr>
      <w:r>
        <w:t xml:space="preserve">Choudhary, K., DeCost, B., Chen, C., Jain, A., Tavazza, F., Cohn, R., et al. (2022). Recent advances and applications of deep learning methods in materials science. </w:t>
      </w:r>
      <w:r>
        <w:rPr>
          <w:i/>
          <w:iCs/>
        </w:rPr>
        <w:t>Npj Computational Materials</w:t>
      </w:r>
      <w:r>
        <w:t xml:space="preserve">, </w:t>
      </w:r>
      <w:r>
        <w:rPr>
          <w:i/>
          <w:iCs/>
        </w:rPr>
        <w:t>8</w:t>
      </w:r>
      <w:r>
        <w:t>(1), 1–26. https://doi.org/10.1038/s41524-022-00734-6</w:t>
      </w:r>
    </w:p>
    <w:p w14:paraId="417F03C3" w14:textId="77777777" w:rsidR="002965A0" w:rsidRDefault="002965A0" w:rsidP="002965A0">
      <w:pPr>
        <w:pStyle w:val="Bibliography"/>
      </w:pPr>
      <w:r>
        <w:t xml:space="preserve">Chow, J. C., Watson, J. G., Chen, L.-W. A., Arnott, W. P., Moosmüller, H., &amp; Fung, K. (2004). Equivalence of Elemental Carbon by Thermal/Optical Reflectance and Transmittance with Different Temperature Protocols. </w:t>
      </w:r>
      <w:r>
        <w:rPr>
          <w:i/>
          <w:iCs/>
        </w:rPr>
        <w:t>Environmental Science &amp; Technology</w:t>
      </w:r>
      <w:r>
        <w:t xml:space="preserve">, </w:t>
      </w:r>
      <w:r>
        <w:rPr>
          <w:i/>
          <w:iCs/>
        </w:rPr>
        <w:t>38</w:t>
      </w:r>
      <w:r>
        <w:t>(16), 4414–4422. https://doi.org/10.1021/es034936u</w:t>
      </w:r>
    </w:p>
    <w:p w14:paraId="40C039B7" w14:textId="77777777" w:rsidR="002965A0" w:rsidRDefault="002965A0" w:rsidP="002965A0">
      <w:pPr>
        <w:pStyle w:val="Bibliography"/>
      </w:pPr>
      <w:r>
        <w:t xml:space="preserve">Chu, D. A., Kaufman, Y. J., Ichoku, C., Remer, L. A., Tanré, D., &amp; Holben, B. N. (2002). Validation of MODIS aerosol optical depth retrieval over land. </w:t>
      </w:r>
      <w:r>
        <w:rPr>
          <w:i/>
          <w:iCs/>
        </w:rPr>
        <w:t>Geophysical Research Letters</w:t>
      </w:r>
      <w:r>
        <w:t xml:space="preserve">, </w:t>
      </w:r>
      <w:r>
        <w:rPr>
          <w:i/>
          <w:iCs/>
        </w:rPr>
        <w:t>29</w:t>
      </w:r>
      <w:r>
        <w:t>(12), MOD2-1. https://doi.org/10.1029/2001GL013205</w:t>
      </w:r>
    </w:p>
    <w:p w14:paraId="2972EE35" w14:textId="77777777" w:rsidR="002965A0" w:rsidRDefault="002965A0" w:rsidP="002965A0">
      <w:pPr>
        <w:pStyle w:val="Bibliography"/>
      </w:pPr>
      <w:r>
        <w:t xml:space="preserve">Coakley, J. A., Cess, R. D., &amp; Yurevich, F. B. (1983). The Effect of Tropospheric Aerosols on the Earth’s Radiation Budget: A Parameterization for Climate Models. </w:t>
      </w:r>
      <w:r>
        <w:rPr>
          <w:i/>
          <w:iCs/>
        </w:rPr>
        <w:t>Journal of the Atmospheric Sciences</w:t>
      </w:r>
      <w:r>
        <w:t xml:space="preserve">, </w:t>
      </w:r>
      <w:r>
        <w:rPr>
          <w:i/>
          <w:iCs/>
        </w:rPr>
        <w:t>40</w:t>
      </w:r>
      <w:r>
        <w:t>(1), 116–138. https://doi.org/10.1175/1520-0469(1983)040&lt;0116:TEOTAO&gt;2.0.CO;2</w:t>
      </w:r>
    </w:p>
    <w:p w14:paraId="39294118" w14:textId="77777777" w:rsidR="002965A0" w:rsidRDefault="002965A0" w:rsidP="002965A0">
      <w:pPr>
        <w:pStyle w:val="Bibliography"/>
      </w:pPr>
      <w:r>
        <w:lastRenderedPageBreak/>
        <w:t xml:space="preserve">Collobert, R., Weston, J., Bottou, L., Karlen, M., Kavukcuoglu, K., &amp; Kuksa, P. (2011). Natural Language Processing (Almost) from Scratch. </w:t>
      </w:r>
      <w:r>
        <w:rPr>
          <w:i/>
          <w:iCs/>
        </w:rPr>
        <w:t>The Journal of Machine Learning Research</w:t>
      </w:r>
      <w:r>
        <w:t xml:space="preserve">, </w:t>
      </w:r>
      <w:r>
        <w:rPr>
          <w:i/>
          <w:iCs/>
        </w:rPr>
        <w:t>12</w:t>
      </w:r>
      <w:r>
        <w:t>(null), 2493–2537.</w:t>
      </w:r>
    </w:p>
    <w:p w14:paraId="7EB30763" w14:textId="77777777" w:rsidR="002965A0" w:rsidRDefault="002965A0" w:rsidP="002965A0">
      <w:pPr>
        <w:pStyle w:val="Bibliography"/>
      </w:pPr>
      <w:r>
        <w:t xml:space="preserve">Cybenko, G. (1989). Approximation by superpositions of a sigmoidal function. </w:t>
      </w:r>
      <w:r>
        <w:rPr>
          <w:i/>
          <w:iCs/>
        </w:rPr>
        <w:t>Mathematics of Control, Signals and Systems</w:t>
      </w:r>
      <w:r>
        <w:t xml:space="preserve">, </w:t>
      </w:r>
      <w:r>
        <w:rPr>
          <w:i/>
          <w:iCs/>
        </w:rPr>
        <w:t>2</w:t>
      </w:r>
      <w:r>
        <w:t>(4), 303–314. https://doi.org/10.1007/BF02551274</w:t>
      </w:r>
    </w:p>
    <w:p w14:paraId="352F60B8" w14:textId="77777777" w:rsidR="002965A0" w:rsidRDefault="002965A0" w:rsidP="002965A0">
      <w:pPr>
        <w:pStyle w:val="Bibliography"/>
      </w:pPr>
      <w:r>
        <w:t>DMSP Operational Linescan System (OLS). (2022, October 12). Retrieved February 9, 2024, from https://www.ncei.noaa.gov/products/dmsp-operational-linescan-system</w:t>
      </w:r>
    </w:p>
    <w:p w14:paraId="759E4124" w14:textId="77777777" w:rsidR="002965A0" w:rsidRDefault="002965A0" w:rsidP="002965A0">
      <w:pPr>
        <w:pStyle w:val="Bibliography"/>
      </w:pPr>
      <w:r>
        <w:t>Dosovitskiy, A., Beyer, L., Kolesnikov, A., Weissenborn, D., Zhai, X., Unterthiner, T., et al. (2021, June 3). An Image is Worth 16x16 Words: Transformers for Image Recognition at Scale. arXiv. https://doi.org/10.48550/arXiv.2010.11929</w:t>
      </w:r>
    </w:p>
    <w:p w14:paraId="5335FB29" w14:textId="77777777" w:rsidR="002965A0" w:rsidRDefault="002965A0" w:rsidP="002965A0">
      <w:pPr>
        <w:pStyle w:val="Bibliography"/>
      </w:pPr>
      <w:r>
        <w:t xml:space="preserve">Dubovik, O., Smirnov, A., Holben, B. N., King, M. D., Kaufman, Y. J., Eck, T. F., &amp; Slutsker, I. (2000). Accuracy assessments of aerosol optical properties retrieved from Aerosol Robotic Network (AERONET) Sun and sky radiance measurements. </w:t>
      </w:r>
      <w:r>
        <w:rPr>
          <w:i/>
          <w:iCs/>
        </w:rPr>
        <w:t>Journal of Geophysical Research: Atmospheres</w:t>
      </w:r>
      <w:r>
        <w:t xml:space="preserve">, </w:t>
      </w:r>
      <w:r>
        <w:rPr>
          <w:i/>
          <w:iCs/>
        </w:rPr>
        <w:t>105</w:t>
      </w:r>
      <w:r>
        <w:t>(D8), 9791–9806. https://doi.org/10.1029/2000JD900040</w:t>
      </w:r>
    </w:p>
    <w:p w14:paraId="58F1421D" w14:textId="77777777" w:rsidR="002965A0" w:rsidRDefault="002965A0" w:rsidP="002965A0">
      <w:pPr>
        <w:pStyle w:val="Bibliography"/>
      </w:pPr>
      <w:r>
        <w:t xml:space="preserve">Dubovik, Oleg, Sinyuk, A., Lapyonok, T., Holben, B. N., Mishchenko, M., Yang, P., et al. (2006). Application of spheroid models to account for aerosol particle nonsphericity in remote sensing of desert dust. </w:t>
      </w:r>
      <w:r>
        <w:rPr>
          <w:i/>
          <w:iCs/>
        </w:rPr>
        <w:t>Journal of Geophysical Research: Atmospheres</w:t>
      </w:r>
      <w:r>
        <w:t xml:space="preserve">, </w:t>
      </w:r>
      <w:r>
        <w:rPr>
          <w:i/>
          <w:iCs/>
        </w:rPr>
        <w:t>111</w:t>
      </w:r>
      <w:r>
        <w:t>(D11). https://doi.org/10.1029/2005JD006619</w:t>
      </w:r>
    </w:p>
    <w:p w14:paraId="3A8233CB" w14:textId="77777777" w:rsidR="002965A0" w:rsidRDefault="002965A0" w:rsidP="002965A0">
      <w:pPr>
        <w:pStyle w:val="Bibliography"/>
      </w:pPr>
      <w:r>
        <w:t xml:space="preserve">Funahashi, K.-I. (1989). On the approximate realization of continuous mappings by neural networks. </w:t>
      </w:r>
      <w:r>
        <w:rPr>
          <w:i/>
          <w:iCs/>
        </w:rPr>
        <w:t>Neural Networks</w:t>
      </w:r>
      <w:r>
        <w:t xml:space="preserve">, </w:t>
      </w:r>
      <w:r>
        <w:rPr>
          <w:i/>
          <w:iCs/>
        </w:rPr>
        <w:t>2</w:t>
      </w:r>
      <w:r>
        <w:t>(3), 183–192. https://doi.org/10.1016/0893-6080(89)90003-8</w:t>
      </w:r>
    </w:p>
    <w:p w14:paraId="3009C3BF" w14:textId="77777777" w:rsidR="002965A0" w:rsidRDefault="002965A0" w:rsidP="002965A0">
      <w:pPr>
        <w:pStyle w:val="Bibliography"/>
      </w:pPr>
      <w:r>
        <w:lastRenderedPageBreak/>
        <w:t xml:space="preserve">Gao, B.-C., Kaufman, Y. J., Tanre, D., &amp; Li, R.-R. (2002). Distinguishing tropospheric aerosols from thin cirrus clouds for improved aerosol retrievals using the ratio of 1.38-μm and 1.24-μm channels. </w:t>
      </w:r>
      <w:r>
        <w:rPr>
          <w:i/>
          <w:iCs/>
        </w:rPr>
        <w:t>Geophysical Research Letters</w:t>
      </w:r>
      <w:r>
        <w:t xml:space="preserve">, </w:t>
      </w:r>
      <w:r>
        <w:rPr>
          <w:i/>
          <w:iCs/>
        </w:rPr>
        <w:t>29</w:t>
      </w:r>
      <w:r>
        <w:t>(18), 36-1-36–4. https://doi.org/10.1029/2002GL015475</w:t>
      </w:r>
    </w:p>
    <w:p w14:paraId="01A7376E" w14:textId="77777777" w:rsidR="002965A0" w:rsidRDefault="002965A0" w:rsidP="002965A0">
      <w:pPr>
        <w:pStyle w:val="Bibliography"/>
      </w:pPr>
      <w:r>
        <w:t xml:space="preserve">Gelaro, R., McCarty, W., Suárez, M. J., Todling, R., Molod, A., Takacs, L., et al. (2017). The Modern-Era Retrospective Analysis for Research and Applications, Version 2 (MERRA-2). </w:t>
      </w:r>
      <w:r>
        <w:rPr>
          <w:i/>
          <w:iCs/>
        </w:rPr>
        <w:t>Journal of Climate</w:t>
      </w:r>
      <w:r>
        <w:t xml:space="preserve">, </w:t>
      </w:r>
      <w:r>
        <w:rPr>
          <w:i/>
          <w:iCs/>
        </w:rPr>
        <w:t>30</w:t>
      </w:r>
      <w:r>
        <w:t>(14), 5419–5454. https://doi.org/10.1175/JCLI-D-16-0758.1</w:t>
      </w:r>
    </w:p>
    <w:p w14:paraId="07061D8E" w14:textId="77777777" w:rsidR="002965A0" w:rsidRDefault="002965A0" w:rsidP="002965A0">
      <w:pPr>
        <w:pStyle w:val="Bibliography"/>
      </w:pPr>
      <w:r>
        <w:t xml:space="preserve">Giglio, L., Descloitres, J., Justice, C. O., &amp; Kaufman, Y. J. (2003). An Enhanced Contextual Fire Detection Algorithm for MODIS. </w:t>
      </w:r>
      <w:r>
        <w:rPr>
          <w:i/>
          <w:iCs/>
        </w:rPr>
        <w:t>Remote Sensing of Environment</w:t>
      </w:r>
      <w:r>
        <w:t xml:space="preserve">, </w:t>
      </w:r>
      <w:r>
        <w:rPr>
          <w:i/>
          <w:iCs/>
        </w:rPr>
        <w:t>87</w:t>
      </w:r>
      <w:r>
        <w:t>(2), 273–282. https://doi.org/10.1016/S0034-4257(03)00184-6</w:t>
      </w:r>
    </w:p>
    <w:p w14:paraId="10A8729C" w14:textId="77777777" w:rsidR="002965A0" w:rsidRDefault="002965A0" w:rsidP="002965A0">
      <w:pPr>
        <w:pStyle w:val="Bibliography"/>
      </w:pPr>
      <w:r>
        <w:t xml:space="preserve">Giglio, L., Schroeder, W., &amp; Justice, C. O. (2016). The collection 6 MODIS active fire detection algorithm and fire products. </w:t>
      </w:r>
      <w:r>
        <w:rPr>
          <w:i/>
          <w:iCs/>
        </w:rPr>
        <w:t>Remote Sensing of Environment</w:t>
      </w:r>
      <w:r>
        <w:t xml:space="preserve">, </w:t>
      </w:r>
      <w:r>
        <w:rPr>
          <w:i/>
          <w:iCs/>
        </w:rPr>
        <w:t>178</w:t>
      </w:r>
      <w:r>
        <w:t>, 31–41. https://doi.org/10.1016/j.rse.2016.02.054</w:t>
      </w:r>
    </w:p>
    <w:p w14:paraId="2941751F" w14:textId="77777777" w:rsidR="002965A0" w:rsidRDefault="002965A0" w:rsidP="002965A0">
      <w:pPr>
        <w:pStyle w:val="Bibliography"/>
      </w:pPr>
      <w:r>
        <w:t xml:space="preserve">Giles, D. M., Sinyuk, A., Sorokin, M. G., Schafer, J. S., Smirnov, A., Slutsker, I., et al. (2019). Advancements in the Aerosol Robotic Network (AERONET) Version 3 database – automated near-real-time quality control algorithm with improved cloud screening for Sun photometer aerosol optical depth (AOD) measurements. </w:t>
      </w:r>
      <w:r>
        <w:rPr>
          <w:i/>
          <w:iCs/>
        </w:rPr>
        <w:t>Atmospheric Measurement Techniques</w:t>
      </w:r>
      <w:r>
        <w:t xml:space="preserve">, </w:t>
      </w:r>
      <w:r>
        <w:rPr>
          <w:i/>
          <w:iCs/>
        </w:rPr>
        <w:t>12</w:t>
      </w:r>
      <w:r>
        <w:t>(1), 169–209. https://doi.org/10.5194/amt-12-169-2019</w:t>
      </w:r>
    </w:p>
    <w:p w14:paraId="4F36E90F" w14:textId="77777777" w:rsidR="002965A0" w:rsidRDefault="002965A0" w:rsidP="002965A0">
      <w:pPr>
        <w:pStyle w:val="Bibliography"/>
      </w:pPr>
      <w:r>
        <w:t xml:space="preserve">Gillette, D. A., &amp; Hanson, K. J. (1989). Spatial and temporal variability of dust production caused by wind erosion in the United States. </w:t>
      </w:r>
      <w:r>
        <w:rPr>
          <w:i/>
          <w:iCs/>
        </w:rPr>
        <w:t>Journal of Geophysical Research: Atmospheres</w:t>
      </w:r>
      <w:r>
        <w:t xml:space="preserve">, </w:t>
      </w:r>
      <w:r>
        <w:rPr>
          <w:i/>
          <w:iCs/>
        </w:rPr>
        <w:t>94</w:t>
      </w:r>
      <w:r>
        <w:t>(D2), 2197–2206. https://doi.org/10.1029/JD094iD02p02197</w:t>
      </w:r>
    </w:p>
    <w:p w14:paraId="0897CEE3" w14:textId="77777777" w:rsidR="002965A0" w:rsidRDefault="002965A0" w:rsidP="002965A0">
      <w:pPr>
        <w:pStyle w:val="Bibliography"/>
      </w:pPr>
      <w:r>
        <w:lastRenderedPageBreak/>
        <w:t xml:space="preserve">Gonzalez-Alonso, L., Val Martin, M., &amp; Kahn, R. A. (2019). Biomass-burning smoke heights over the Amazon observed from space. </w:t>
      </w:r>
      <w:r>
        <w:rPr>
          <w:i/>
          <w:iCs/>
        </w:rPr>
        <w:t>Atmospheric Chemistry and Physics</w:t>
      </w:r>
      <w:r>
        <w:t xml:space="preserve">, </w:t>
      </w:r>
      <w:r>
        <w:rPr>
          <w:i/>
          <w:iCs/>
        </w:rPr>
        <w:t>19</w:t>
      </w:r>
      <w:r>
        <w:t>(3), 1685–1702. https://doi.org/10.5194/acp-19-1685-2019</w:t>
      </w:r>
    </w:p>
    <w:p w14:paraId="42E8A1F2" w14:textId="77777777" w:rsidR="002965A0" w:rsidRDefault="002965A0" w:rsidP="002965A0">
      <w:pPr>
        <w:pStyle w:val="Bibliography"/>
      </w:pPr>
      <w:r>
        <w:t>Goodfellow, I. J., Pouget-Abadie, J., Mirza, M., Xu, B., Warde-Farley, D., Ozair, S., et al. (2014, June 10). Generative Adversarial Networks. arXiv. https://doi.org/10.48550/arXiv.1406.2661</w:t>
      </w:r>
    </w:p>
    <w:p w14:paraId="7199A5B1" w14:textId="77777777" w:rsidR="002965A0" w:rsidRDefault="002965A0" w:rsidP="002965A0">
      <w:pPr>
        <w:pStyle w:val="Bibliography"/>
      </w:pPr>
      <w:r>
        <w:t xml:space="preserve">Grant, E., &amp; Runkle, J. D. (2022). Long-term health effects of wildfire exposure: A scoping review. </w:t>
      </w:r>
      <w:r>
        <w:rPr>
          <w:i/>
          <w:iCs/>
        </w:rPr>
        <w:t>The Journal of Climate Change and Health</w:t>
      </w:r>
      <w:r>
        <w:t xml:space="preserve">, </w:t>
      </w:r>
      <w:r>
        <w:rPr>
          <w:i/>
          <w:iCs/>
        </w:rPr>
        <w:t>6</w:t>
      </w:r>
      <w:r>
        <w:t>, 100110. https://doi.org/10.1016/j.joclim.2021.100110</w:t>
      </w:r>
    </w:p>
    <w:p w14:paraId="2E765CE8" w14:textId="77777777" w:rsidR="002965A0" w:rsidRDefault="002965A0" w:rsidP="002965A0">
      <w:pPr>
        <w:pStyle w:val="Bibliography"/>
      </w:pPr>
      <w:r>
        <w:t xml:space="preserve">Gupta, P., Christopher, S. A., Wang, J., Gehrig, R., Lee, Y., &amp; Kumar, N. (2006). Satellite remote sensing of particulate matter and air quality assessment over global cities. </w:t>
      </w:r>
      <w:r>
        <w:rPr>
          <w:i/>
          <w:iCs/>
        </w:rPr>
        <w:t>Atmospheric Environment</w:t>
      </w:r>
      <w:r>
        <w:t xml:space="preserve">, </w:t>
      </w:r>
      <w:r>
        <w:rPr>
          <w:i/>
          <w:iCs/>
        </w:rPr>
        <w:t>40</w:t>
      </w:r>
      <w:r>
        <w:t>(30), 5880–5892. https://doi.org/10.1016/j.atmosenv.2006.03.016</w:t>
      </w:r>
    </w:p>
    <w:p w14:paraId="0DD6EF73" w14:textId="77777777" w:rsidR="002965A0" w:rsidRDefault="002965A0" w:rsidP="002965A0">
      <w:pPr>
        <w:pStyle w:val="Bibliography"/>
      </w:pPr>
      <w:r>
        <w:t xml:space="preserve">Hillger, D., Seaman, C., Liang, C., Miller, S., Lindsey, D., &amp; Kopp, T. (2014). Suomi NPP VIIRS Imagery evaluation. </w:t>
      </w:r>
      <w:r>
        <w:rPr>
          <w:i/>
          <w:iCs/>
        </w:rPr>
        <w:t>Journal of Geophysical Research: Atmospheres</w:t>
      </w:r>
      <w:r>
        <w:t xml:space="preserve">, </w:t>
      </w:r>
      <w:r>
        <w:rPr>
          <w:i/>
          <w:iCs/>
        </w:rPr>
        <w:t>119</w:t>
      </w:r>
      <w:r>
        <w:t>(11), 6440–6455. https://doi.org/10.1002/2013JD021170</w:t>
      </w:r>
    </w:p>
    <w:p w14:paraId="09ACC6FA" w14:textId="77777777" w:rsidR="002965A0" w:rsidRDefault="002965A0" w:rsidP="002965A0">
      <w:pPr>
        <w:pStyle w:val="Bibliography"/>
      </w:pPr>
      <w:r>
        <w:t xml:space="preserve">Holben, B. N., Eck, T. F., Slutsker, I., Tanré, D., Buis, J. P., Setzer, A., et al. (1998). AERONET—A Federated Instrument Network and Data Archive for Aerosol Characterization. </w:t>
      </w:r>
      <w:r>
        <w:rPr>
          <w:i/>
          <w:iCs/>
        </w:rPr>
        <w:t>Remote Sensing of Environment</w:t>
      </w:r>
      <w:r>
        <w:t xml:space="preserve">, </w:t>
      </w:r>
      <w:r>
        <w:rPr>
          <w:i/>
          <w:iCs/>
        </w:rPr>
        <w:t>66</w:t>
      </w:r>
      <w:r>
        <w:t>(1), 1–16. https://doi.org/10.1016/S0034-4257(98)00031-5</w:t>
      </w:r>
    </w:p>
    <w:p w14:paraId="445A2123" w14:textId="77777777" w:rsidR="002965A0" w:rsidRDefault="002965A0" w:rsidP="002965A0">
      <w:pPr>
        <w:pStyle w:val="Bibliography"/>
      </w:pPr>
      <w:r>
        <w:t xml:space="preserve">Holmes, H. A., Zhai, X., Redman, J., Digby, K., Ivey, C., Balachandran, S., et al. (2014). Improved Spatiotemporal Source-Based Air Pollutant Mixture Characterization for Health Studies. In D. Steyn &amp; R. Mathur (Eds.), </w:t>
      </w:r>
      <w:r>
        <w:rPr>
          <w:i/>
          <w:iCs/>
        </w:rPr>
        <w:t xml:space="preserve">Air Pollution Modeling and its </w:t>
      </w:r>
      <w:r>
        <w:rPr>
          <w:i/>
          <w:iCs/>
        </w:rPr>
        <w:lastRenderedPageBreak/>
        <w:t>Application XXIII</w:t>
      </w:r>
      <w:r>
        <w:t xml:space="preserve"> (pp. 25–30). Cham: Springer International Publishing. https://doi.org/10.1007/978-3-319-04379-1_4</w:t>
      </w:r>
    </w:p>
    <w:p w14:paraId="50B61E05" w14:textId="77777777" w:rsidR="002965A0" w:rsidRDefault="002965A0" w:rsidP="002965A0">
      <w:pPr>
        <w:pStyle w:val="Bibliography"/>
      </w:pPr>
      <w:r>
        <w:t xml:space="preserve">Hornik, K., Stinchcombe, M., &amp; White, H. (1989). Multilayer feedforward networks are universal approximators. </w:t>
      </w:r>
      <w:r>
        <w:rPr>
          <w:i/>
          <w:iCs/>
        </w:rPr>
        <w:t>Neural Networks</w:t>
      </w:r>
      <w:r>
        <w:t xml:space="preserve">, </w:t>
      </w:r>
      <w:r>
        <w:rPr>
          <w:i/>
          <w:iCs/>
        </w:rPr>
        <w:t>2</w:t>
      </w:r>
      <w:r>
        <w:t>(5), 359–366. https://doi.org/10.1016/0893-6080(89)90020-8</w:t>
      </w:r>
    </w:p>
    <w:p w14:paraId="75AA8BA4" w14:textId="77777777" w:rsidR="002965A0" w:rsidRDefault="002965A0" w:rsidP="002965A0">
      <w:pPr>
        <w:pStyle w:val="Bibliography"/>
      </w:pPr>
      <w:r>
        <w:t>Hsu, N. C. (2017). Changes to MODIS Deep Blue aerosol products between collection 6 and collection 6.1.</w:t>
      </w:r>
    </w:p>
    <w:p w14:paraId="2ABC0D03" w14:textId="77777777" w:rsidR="002965A0" w:rsidRDefault="002965A0" w:rsidP="002965A0">
      <w:pPr>
        <w:pStyle w:val="Bibliography"/>
      </w:pPr>
      <w:r>
        <w:t xml:space="preserve">Hsu, N. C., Tsay, S.-C., King, M. D., &amp; Herman, J. R. (2004). Aerosol properties over bright-reflecting source regions. </w:t>
      </w:r>
      <w:r>
        <w:rPr>
          <w:i/>
          <w:iCs/>
        </w:rPr>
        <w:t>IEEE Transactions on Geoscience and Remote Sensing</w:t>
      </w:r>
      <w:r>
        <w:t xml:space="preserve">, </w:t>
      </w:r>
      <w:r>
        <w:rPr>
          <w:i/>
          <w:iCs/>
        </w:rPr>
        <w:t>42</w:t>
      </w:r>
      <w:r>
        <w:t>(3), 557–569. https://doi.org/10.1109/TGRS.2004.824067</w:t>
      </w:r>
    </w:p>
    <w:p w14:paraId="0B4BFE71" w14:textId="77777777" w:rsidR="002965A0" w:rsidRDefault="002965A0" w:rsidP="002965A0">
      <w:pPr>
        <w:pStyle w:val="Bibliography"/>
      </w:pPr>
      <w:r>
        <w:t xml:space="preserve">Hsu, N. C., Jeong, M.-J., Bettenhausen, C., Sayer, A. M., Hansell, R., Seftor, C. S., et al. (2013). Enhanced Deep Blue aerosol retrieval algorithm: The second generation. </w:t>
      </w:r>
      <w:r>
        <w:rPr>
          <w:i/>
          <w:iCs/>
        </w:rPr>
        <w:t>Journal of Geophysical Research: Atmospheres</w:t>
      </w:r>
      <w:r>
        <w:t xml:space="preserve">, </w:t>
      </w:r>
      <w:r>
        <w:rPr>
          <w:i/>
          <w:iCs/>
        </w:rPr>
        <w:t>118</w:t>
      </w:r>
      <w:r>
        <w:t>(16), 9296–9315. https://doi.org/10.1002/jgrd.50712</w:t>
      </w:r>
    </w:p>
    <w:p w14:paraId="7D6CDA10" w14:textId="77777777" w:rsidR="002965A0" w:rsidRDefault="002965A0" w:rsidP="002965A0">
      <w:pPr>
        <w:pStyle w:val="Bibliography"/>
      </w:pPr>
      <w:r>
        <w:t xml:space="preserve">Hsu, N. C., Lee, J., Sayer, A. M., Kim, W., Bettenhausen, C., &amp; Tsay, S.-C. (2019). VIIRS Deep Blue Aerosol Products Over Land: Extending the EOS Long-Term Aerosol Data Records. </w:t>
      </w:r>
      <w:r>
        <w:rPr>
          <w:i/>
          <w:iCs/>
        </w:rPr>
        <w:t>Journal of Geophysical Research: Atmospheres</w:t>
      </w:r>
      <w:r>
        <w:t xml:space="preserve">, </w:t>
      </w:r>
      <w:r>
        <w:rPr>
          <w:i/>
          <w:iCs/>
        </w:rPr>
        <w:t>124</w:t>
      </w:r>
      <w:r>
        <w:t>(7), 4026–4053. https://doi.org/10.1029/2018JD029688</w:t>
      </w:r>
    </w:p>
    <w:p w14:paraId="53F68DAC" w14:textId="77777777" w:rsidR="002965A0" w:rsidRDefault="002965A0" w:rsidP="002965A0">
      <w:pPr>
        <w:pStyle w:val="Bibliography"/>
      </w:pPr>
      <w:r>
        <w:t xml:space="preserve">Hsu, N. Y. (2016, December). </w:t>
      </w:r>
      <w:r>
        <w:rPr>
          <w:i/>
          <w:iCs/>
        </w:rPr>
        <w:t>Assessing long-term climate data continuity of the Deep Blue aerosol products from MODIS to VIIRS</w:t>
      </w:r>
      <w:r>
        <w:t>. Presented at the American Geophysical Union, San Francisco, CA.</w:t>
      </w:r>
    </w:p>
    <w:p w14:paraId="34A5F50C" w14:textId="77777777" w:rsidR="002965A0" w:rsidRDefault="002965A0" w:rsidP="002965A0">
      <w:pPr>
        <w:pStyle w:val="Bibliography"/>
      </w:pPr>
      <w:r>
        <w:t>Hu, X., Waller, L. A., Lyapustin, A., Wang, Y., &amp; Liu, Y. (2014). 10-year spatial and temporal trends of PM</w:t>
      </w:r>
      <w:r>
        <w:rPr>
          <w:vertAlign w:val="subscript"/>
        </w:rPr>
        <w:t>2.5</w:t>
      </w:r>
      <w:r>
        <w:t xml:space="preserve"> concentrations in the southeastern US estimated using high-resolution </w:t>
      </w:r>
      <w:r>
        <w:lastRenderedPageBreak/>
        <w:t xml:space="preserve">satellite data. </w:t>
      </w:r>
      <w:r>
        <w:rPr>
          <w:i/>
          <w:iCs/>
        </w:rPr>
        <w:t>Atmospheric Chemistry and Physics</w:t>
      </w:r>
      <w:r>
        <w:t xml:space="preserve">, </w:t>
      </w:r>
      <w:r>
        <w:rPr>
          <w:i/>
          <w:iCs/>
        </w:rPr>
        <w:t>14</w:t>
      </w:r>
      <w:r>
        <w:t>(12), 6301–6314. https://doi.org/10.5194/acp-14-6301-2014</w:t>
      </w:r>
    </w:p>
    <w:p w14:paraId="5DB6A6F9" w14:textId="77777777" w:rsidR="002965A0" w:rsidRDefault="002965A0" w:rsidP="002965A0">
      <w:pPr>
        <w:pStyle w:val="Bibliography"/>
      </w:pPr>
      <w:r>
        <w:t xml:space="preserve">Hu, Xuefei, Waller, L. A., Lyapustin, A., Wang, Y., Al-Hamdan, M. Z., Crosson, W. L., et al. (2014). Estimating ground-level PM2.5 concentrations in the Southeastern United States using MAIAC AOD retrievals and a two-stage model. </w:t>
      </w:r>
      <w:r>
        <w:rPr>
          <w:i/>
          <w:iCs/>
        </w:rPr>
        <w:t>Remote Sensing of Environment</w:t>
      </w:r>
      <w:r>
        <w:t xml:space="preserve">, </w:t>
      </w:r>
      <w:r>
        <w:rPr>
          <w:i/>
          <w:iCs/>
        </w:rPr>
        <w:t>140</w:t>
      </w:r>
      <w:r>
        <w:t>, 220–232. https://doi.org/10.1016/j.rse.2013.08.032</w:t>
      </w:r>
    </w:p>
    <w:p w14:paraId="43308196" w14:textId="77777777" w:rsidR="002965A0" w:rsidRDefault="002965A0" w:rsidP="002965A0">
      <w:pPr>
        <w:pStyle w:val="Bibliography"/>
      </w:pPr>
      <w:r>
        <w:t xml:space="preserve">Huang, H., Lin, L., Tong, R., Hu, H., Zhang, Q., Iwamoto, Y., et al. (2020). UNet 3+: A Full-Scale Connected UNet for Medical Image Segmentation. In </w:t>
      </w:r>
      <w:r>
        <w:rPr>
          <w:i/>
          <w:iCs/>
        </w:rPr>
        <w:t>ICASSP 2020 - 2020 IEEE International Conference on Acoustics, Speech and Signal Processing (ICASSP)</w:t>
      </w:r>
      <w:r>
        <w:t xml:space="preserve"> (pp. 1055–1059). Barcelona, Spain: IEEE. https://doi.org/10.1109/ICASSP40776.2020.9053405</w:t>
      </w:r>
    </w:p>
    <w:p w14:paraId="36E83D3F" w14:textId="77777777" w:rsidR="002965A0" w:rsidRDefault="002965A0" w:rsidP="002965A0">
      <w:pPr>
        <w:pStyle w:val="Bibliography"/>
      </w:pPr>
      <w:r>
        <w:t>Iacobellis, S., Norris, J., Tyree, M., &amp; Daniel, R. (2009). CLIMATE VARIABILITY AND CALIFORNIA LOW-LEVEL TEMPERATURE INVERSIONS. Retrieved from https://www.semanticscholar.org/paper/CLIMATE-VARIABILITY-AND-CALIFORNIA-LOW-LEVEL-Iacobellis-Norris/5a1350c4e18bf70aaa47f0dfc1c66b51bc9cab6c</w:t>
      </w:r>
    </w:p>
    <w:p w14:paraId="068266FE" w14:textId="77777777" w:rsidR="002965A0" w:rsidRDefault="002965A0" w:rsidP="002965A0">
      <w:pPr>
        <w:pStyle w:val="Bibliography"/>
      </w:pPr>
      <w:r>
        <w:t xml:space="preserve">Ichoku, C., &amp; Kaufman, Y. J. (2005). A method to derive smoke emission rates from MODIS fire radiative energy measurements. </w:t>
      </w:r>
      <w:r>
        <w:rPr>
          <w:i/>
          <w:iCs/>
        </w:rPr>
        <w:t>IEEE Transactions on Geoscience and Remote Sensing</w:t>
      </w:r>
      <w:r>
        <w:t xml:space="preserve">, </w:t>
      </w:r>
      <w:r>
        <w:rPr>
          <w:i/>
          <w:iCs/>
        </w:rPr>
        <w:t>43</w:t>
      </w:r>
      <w:r>
        <w:t>(11), 2636–2649. https://doi.org/10.1109/TGRS.2005.857328</w:t>
      </w:r>
    </w:p>
    <w:p w14:paraId="53B5CE3A" w14:textId="77777777" w:rsidR="002965A0" w:rsidRDefault="002965A0" w:rsidP="002965A0">
      <w:pPr>
        <w:pStyle w:val="Bibliography"/>
      </w:pPr>
      <w:r>
        <w:t>Information (NCEI), N. C. for E. (n.d.). North American Mesoscale Forecast System (NAM) [12 km]. Retrieved February 2, 2024, from https://www.ncei.noaa.gov/access/metadata/landing-page/bin/iso?id=gov.noaa.ncdc:C00630</w:t>
      </w:r>
    </w:p>
    <w:p w14:paraId="00B56A81" w14:textId="77777777" w:rsidR="002965A0" w:rsidRDefault="002965A0" w:rsidP="002965A0">
      <w:pPr>
        <w:pStyle w:val="Bibliography"/>
      </w:pPr>
      <w:r>
        <w:lastRenderedPageBreak/>
        <w:t xml:space="preserve">Jacobson, M. C., Hansson, H.-C., Noone, K. J., &amp; Charlson, R. J. (2000). Organic atmospheric aerosols: Review and state of the science. </w:t>
      </w:r>
      <w:r>
        <w:rPr>
          <w:i/>
          <w:iCs/>
        </w:rPr>
        <w:t>Reviews of Geophysics</w:t>
      </w:r>
      <w:r>
        <w:t xml:space="preserve">, </w:t>
      </w:r>
      <w:r>
        <w:rPr>
          <w:i/>
          <w:iCs/>
        </w:rPr>
        <w:t>38</w:t>
      </w:r>
      <w:r>
        <w:t>(2), 267–294. https://doi.org/10.1029/1998RG000045</w:t>
      </w:r>
    </w:p>
    <w:p w14:paraId="4AC38BC3" w14:textId="77777777" w:rsidR="002965A0" w:rsidRDefault="002965A0" w:rsidP="002965A0">
      <w:pPr>
        <w:pStyle w:val="Bibliography"/>
      </w:pPr>
      <w:r>
        <w:t>Janjic, Z., Black, T., Pyle, M., Chuang, H., Rogers, E., &amp; DiMego, G. (2005). The NCEP WRF Core. Boulder, CO, NCAR, 2.9.</w:t>
      </w:r>
    </w:p>
    <w:p w14:paraId="4AD59AD2" w14:textId="77777777" w:rsidR="002965A0" w:rsidRDefault="002965A0" w:rsidP="002965A0">
      <w:pPr>
        <w:pStyle w:val="Bibliography"/>
      </w:pPr>
      <w:r>
        <w:t xml:space="preserve">Jeong, M.-J., Hsu, N. C., Kwiatkowska, E. J., Franz, B. A., Meister, G., &amp; Salustro, C. E. (2011). Impacts of Cross-Platform Vicarious Calibration on the Deep Blue Aerosol Retrievals for Moderate Resolution Imaging Spectroradiometer Aboard Terra. </w:t>
      </w:r>
      <w:r>
        <w:rPr>
          <w:i/>
          <w:iCs/>
        </w:rPr>
        <w:t>IEEE Transactions on Geoscience and Remote Sensing</w:t>
      </w:r>
      <w:r>
        <w:t xml:space="preserve">, </w:t>
      </w:r>
      <w:r>
        <w:rPr>
          <w:i/>
          <w:iCs/>
        </w:rPr>
        <w:t>49</w:t>
      </w:r>
      <w:r>
        <w:t>(12), 4877–4888. https://doi.org/10.1109/TGRS.2011.2153205</w:t>
      </w:r>
    </w:p>
    <w:p w14:paraId="7FA14D91" w14:textId="77777777" w:rsidR="002965A0" w:rsidRDefault="002965A0" w:rsidP="002965A0">
      <w:pPr>
        <w:pStyle w:val="Bibliography"/>
      </w:pPr>
      <w:r>
        <w:t xml:space="preserve">Jo, J.-M. (2019). Effectiveness of Normalization Pre-Processing of Big Data to the Machine Learning Performance. </w:t>
      </w:r>
      <w:r>
        <w:rPr>
          <w:i/>
          <w:iCs/>
        </w:rPr>
        <w:t>The Journal of the Korea Institute of Electronic Communication Sciences</w:t>
      </w:r>
      <w:r>
        <w:t xml:space="preserve">, </w:t>
      </w:r>
      <w:r>
        <w:rPr>
          <w:i/>
          <w:iCs/>
        </w:rPr>
        <w:t>14</w:t>
      </w:r>
      <w:r>
        <w:t>(3), 547–552. https://doi.org/10.13067/JKIECS.2019.14.3.547</w:t>
      </w:r>
    </w:p>
    <w:p w14:paraId="6A29A75D" w14:textId="77777777" w:rsidR="002965A0" w:rsidRDefault="002965A0" w:rsidP="002965A0">
      <w:pPr>
        <w:pStyle w:val="Bibliography"/>
      </w:pPr>
      <w:r>
        <w:t xml:space="preserve">Jordan, M. I., &amp; Mitchell, T. M. (2015). Machine learning: Trends, perspectives, and prospects. </w:t>
      </w:r>
      <w:r>
        <w:rPr>
          <w:i/>
          <w:iCs/>
        </w:rPr>
        <w:t>Science</w:t>
      </w:r>
      <w:r>
        <w:t xml:space="preserve">, </w:t>
      </w:r>
      <w:r>
        <w:rPr>
          <w:i/>
          <w:iCs/>
        </w:rPr>
        <w:t>349</w:t>
      </w:r>
      <w:r>
        <w:t>(6245), 255–260. https://doi.org/10.1126/science.aaa8415</w:t>
      </w:r>
    </w:p>
    <w:p w14:paraId="5B068602" w14:textId="77777777" w:rsidR="002965A0" w:rsidRDefault="002965A0" w:rsidP="002965A0">
      <w:pPr>
        <w:pStyle w:val="Bibliography"/>
      </w:pPr>
      <w:r>
        <w:t xml:space="preserve">Justin, A. D., Willingham, C., McGovern, A., &amp; Allen, J. T. (2023). Toward Operational Real-Time Identification of Frontal Boundaries Using Machine Learning. </w:t>
      </w:r>
      <w:r>
        <w:rPr>
          <w:i/>
          <w:iCs/>
        </w:rPr>
        <w:t>Artificial Intelligence for the Earth Systems</w:t>
      </w:r>
      <w:r>
        <w:t xml:space="preserve">, </w:t>
      </w:r>
      <w:r>
        <w:rPr>
          <w:i/>
          <w:iCs/>
        </w:rPr>
        <w:t>2</w:t>
      </w:r>
      <w:r>
        <w:t>(3). https://doi.org/10.1175/AIES-D-22-0052.1</w:t>
      </w:r>
    </w:p>
    <w:p w14:paraId="244FD1CC" w14:textId="77777777" w:rsidR="002965A0" w:rsidRDefault="002965A0" w:rsidP="002965A0">
      <w:pPr>
        <w:pStyle w:val="Bibliography"/>
      </w:pPr>
      <w:r>
        <w:t xml:space="preserve">Kang, Y., Man, Y. B., Cheung, K. C., &amp; Wong, M. H. (2012). Risk Assessment of Human Exposure to Bioaccessible Phthalate Esters via Indoor Dust around the Pearl River Delta. </w:t>
      </w:r>
      <w:r>
        <w:rPr>
          <w:i/>
          <w:iCs/>
        </w:rPr>
        <w:t>Environmental Science &amp; Technology</w:t>
      </w:r>
      <w:r>
        <w:t xml:space="preserve">, </w:t>
      </w:r>
      <w:r>
        <w:rPr>
          <w:i/>
          <w:iCs/>
        </w:rPr>
        <w:t>46</w:t>
      </w:r>
      <w:r>
        <w:t>(15), 8422–8430. https://doi.org/10.1021/es300379v</w:t>
      </w:r>
    </w:p>
    <w:p w14:paraId="25303522" w14:textId="77777777" w:rsidR="002965A0" w:rsidRDefault="002965A0" w:rsidP="002965A0">
      <w:pPr>
        <w:pStyle w:val="Bibliography"/>
      </w:pPr>
      <w:r>
        <w:lastRenderedPageBreak/>
        <w:t xml:space="preserve">Kaufman, Y. J., Tanré, D., Remer, L. A., Vermote, E. F., Chu, A., &amp; Holben, B. N. (1997). Operational remote sensing of tropospheric aerosol over land from EOS moderate resolution imaging spectroradiometer. </w:t>
      </w:r>
      <w:r>
        <w:rPr>
          <w:i/>
          <w:iCs/>
        </w:rPr>
        <w:t>Journal of Geophysical Research: Atmospheres</w:t>
      </w:r>
      <w:r>
        <w:t xml:space="preserve">, </w:t>
      </w:r>
      <w:r>
        <w:rPr>
          <w:i/>
          <w:iCs/>
        </w:rPr>
        <w:t>102</w:t>
      </w:r>
      <w:r>
        <w:t>(D14), 17051–17067. https://doi.org/10.1029/96JD03988</w:t>
      </w:r>
    </w:p>
    <w:p w14:paraId="457331C4" w14:textId="77777777" w:rsidR="002965A0" w:rsidRDefault="002965A0" w:rsidP="002965A0">
      <w:pPr>
        <w:pStyle w:val="Bibliography"/>
      </w:pPr>
      <w:r>
        <w:t xml:space="preserve">Kaufman, Y. J., Justice, C. O., Flynn, L. P., Kendall, J. D., Prins, E. M., Giglio, L., et al. (1998). Potential global fire monitoring from EOS-MODIS. </w:t>
      </w:r>
      <w:r>
        <w:rPr>
          <w:i/>
          <w:iCs/>
        </w:rPr>
        <w:t>Journal of Geophysical Research: Atmospheres</w:t>
      </w:r>
      <w:r>
        <w:t xml:space="preserve">, </w:t>
      </w:r>
      <w:r>
        <w:rPr>
          <w:i/>
          <w:iCs/>
        </w:rPr>
        <w:t>103</w:t>
      </w:r>
      <w:r>
        <w:t>(D24), 32215–32238. https://doi.org/10.1029/98JD01644</w:t>
      </w:r>
    </w:p>
    <w:p w14:paraId="6F4912ED" w14:textId="77777777" w:rsidR="002965A0" w:rsidRDefault="002965A0" w:rsidP="002965A0">
      <w:pPr>
        <w:pStyle w:val="Bibliography"/>
      </w:pPr>
      <w:r>
        <w:t xml:space="preserve">Kennedy, I. M. (2007). The health effects of combustion-generated aerosols. </w:t>
      </w:r>
      <w:r>
        <w:rPr>
          <w:i/>
          <w:iCs/>
        </w:rPr>
        <w:t>Proceedings of the Combustion Institute</w:t>
      </w:r>
      <w:r>
        <w:t xml:space="preserve">, </w:t>
      </w:r>
      <w:r>
        <w:rPr>
          <w:i/>
          <w:iCs/>
        </w:rPr>
        <w:t>31</w:t>
      </w:r>
      <w:r>
        <w:t>(2), 2757–2770. https://doi.org/10.1016/j.proci.2006.08.116</w:t>
      </w:r>
    </w:p>
    <w:p w14:paraId="61680F6C" w14:textId="77777777" w:rsidR="002965A0" w:rsidRDefault="002965A0" w:rsidP="002965A0">
      <w:pPr>
        <w:pStyle w:val="Bibliography"/>
      </w:pPr>
      <w:r>
        <w:t xml:space="preserve">Kennedy, M., &amp; Kopp, S. (2001). </w:t>
      </w:r>
      <w:r>
        <w:rPr>
          <w:i/>
          <w:iCs/>
        </w:rPr>
        <w:t>Understanding Map Projections</w:t>
      </w:r>
      <w:r>
        <w:t xml:space="preserve"> (8th ed.). ESRI Press.</w:t>
      </w:r>
    </w:p>
    <w:p w14:paraId="70248FDA" w14:textId="77777777" w:rsidR="002965A0" w:rsidRDefault="002965A0" w:rsidP="002965A0">
      <w:pPr>
        <w:pStyle w:val="Bibliography"/>
      </w:pPr>
      <w:r>
        <w:t xml:space="preserve">Khain, A., Cohen, N., Lynn, B., &amp; Pokrovsky, A. (2008). Possible Aerosol Effects on Lightning Activity and Structure of Hurricanes. </w:t>
      </w:r>
      <w:r>
        <w:rPr>
          <w:i/>
          <w:iCs/>
        </w:rPr>
        <w:t>Journal of the Atmospheric Sciences</w:t>
      </w:r>
      <w:r>
        <w:t xml:space="preserve">, </w:t>
      </w:r>
      <w:r>
        <w:rPr>
          <w:i/>
          <w:iCs/>
        </w:rPr>
        <w:t>65</w:t>
      </w:r>
      <w:r>
        <w:t>(12), 3652–3677. https://doi.org/10.1175/2008JAS2678.1</w:t>
      </w:r>
    </w:p>
    <w:p w14:paraId="45AF946F" w14:textId="77777777" w:rsidR="002965A0" w:rsidRDefault="002965A0" w:rsidP="002965A0">
      <w:pPr>
        <w:pStyle w:val="Bibliography"/>
      </w:pPr>
      <w:r>
        <w:t xml:space="preserve">Kim, K.-H., Kabir, E., &amp; Kabir, S. (2015). A review on the human health impact of airborne particulate matter. </w:t>
      </w:r>
      <w:r>
        <w:rPr>
          <w:i/>
          <w:iCs/>
        </w:rPr>
        <w:t>Environment International</w:t>
      </w:r>
      <w:r>
        <w:t xml:space="preserve">, </w:t>
      </w:r>
      <w:r>
        <w:rPr>
          <w:i/>
          <w:iCs/>
        </w:rPr>
        <w:t>74</w:t>
      </w:r>
      <w:r>
        <w:t>, 136–143. https://doi.org/10.1016/j.envint.2014.10.005</w:t>
      </w:r>
    </w:p>
    <w:p w14:paraId="7BDE3213" w14:textId="77777777" w:rsidR="002965A0" w:rsidRDefault="002965A0" w:rsidP="002965A0">
      <w:pPr>
        <w:pStyle w:val="Bibliography"/>
      </w:pPr>
      <w:r>
        <w:t xml:space="preserve">Kim, Y., Knowles, S., Manley, J., &amp; Radoias, V. (2017). Long-run health consequences of air pollution: Evidence from Indonesia’s forest fires of 1997. </w:t>
      </w:r>
      <w:r>
        <w:rPr>
          <w:i/>
          <w:iCs/>
        </w:rPr>
        <w:t>Economics &amp; Human Biology</w:t>
      </w:r>
      <w:r>
        <w:t xml:space="preserve">, </w:t>
      </w:r>
      <w:r>
        <w:rPr>
          <w:i/>
          <w:iCs/>
        </w:rPr>
        <w:t>26</w:t>
      </w:r>
      <w:r>
        <w:t>, 186–198. https://doi.org/10.1016/j.ehb.2017.03.006</w:t>
      </w:r>
    </w:p>
    <w:p w14:paraId="1633F53F" w14:textId="77777777" w:rsidR="002965A0" w:rsidRDefault="002965A0" w:rsidP="002965A0">
      <w:pPr>
        <w:pStyle w:val="Bibliography"/>
      </w:pPr>
      <w:r>
        <w:t>Kingma, D. P., &amp; Ba, J. (2017, January 29). Adam: A Method for Stochastic Optimization. arXiv. https://doi.org/10.48550/arXiv.1412.6980</w:t>
      </w:r>
    </w:p>
    <w:p w14:paraId="62542C8E" w14:textId="77777777" w:rsidR="002965A0" w:rsidRDefault="002965A0" w:rsidP="002965A0">
      <w:pPr>
        <w:pStyle w:val="Bibliography"/>
      </w:pPr>
      <w:r>
        <w:lastRenderedPageBreak/>
        <w:t xml:space="preserve">Koren, I., Kaufman, Y. J., Rosenfeld, D., Remer, L. A., &amp; Rudich, Y. (2005). Aerosol invigoration and restructuring of Atlantic convective clouds. </w:t>
      </w:r>
      <w:r>
        <w:rPr>
          <w:i/>
          <w:iCs/>
        </w:rPr>
        <w:t>Geophysical Research Letters</w:t>
      </w:r>
      <w:r>
        <w:t xml:space="preserve">, </w:t>
      </w:r>
      <w:r>
        <w:rPr>
          <w:i/>
          <w:iCs/>
        </w:rPr>
        <w:t>32</w:t>
      </w:r>
      <w:r>
        <w:t>(14). https://doi.org/10.1029/2005GL023187</w:t>
      </w:r>
    </w:p>
    <w:p w14:paraId="523E260A" w14:textId="77777777" w:rsidR="002965A0" w:rsidRDefault="002965A0" w:rsidP="002965A0">
      <w:pPr>
        <w:pStyle w:val="Bibliography"/>
      </w:pPr>
      <w:r>
        <w:t xml:space="preserve">Koren, I., Remer, L. A., Altaratz, O., Martins, J. V., &amp; Davidi, A. (2010). Aerosol-induced changes of convective cloud anvils produce strong climate warming. </w:t>
      </w:r>
      <w:r>
        <w:rPr>
          <w:i/>
          <w:iCs/>
        </w:rPr>
        <w:t>Atmospheric Chemistry and Physics</w:t>
      </w:r>
      <w:r>
        <w:t xml:space="preserve">, </w:t>
      </w:r>
      <w:r>
        <w:rPr>
          <w:i/>
          <w:iCs/>
        </w:rPr>
        <w:t>10</w:t>
      </w:r>
      <w:r>
        <w:t>(10), 5001–5010. https://doi.org/10.5194/acp-10-5001-2010</w:t>
      </w:r>
    </w:p>
    <w:p w14:paraId="35464166" w14:textId="77777777" w:rsidR="002965A0" w:rsidRDefault="002965A0" w:rsidP="002965A0">
      <w:pPr>
        <w:pStyle w:val="Bibliography"/>
      </w:pPr>
      <w:r>
        <w:t xml:space="preserve">Kramer, H. A., Mockrin, M. H., Alexandre, P. M., &amp; Radeloff, V. C. (2019). High wildfire damage in interface communities in California. </w:t>
      </w:r>
      <w:r>
        <w:rPr>
          <w:i/>
          <w:iCs/>
        </w:rPr>
        <w:t>International Journal of Wildland Fire</w:t>
      </w:r>
      <w:r>
        <w:t xml:space="preserve">, </w:t>
      </w:r>
      <w:r>
        <w:rPr>
          <w:i/>
          <w:iCs/>
        </w:rPr>
        <w:t>28</w:t>
      </w:r>
      <w:r>
        <w:t>(9), 641–650. https://doi.org/10.1071/WF18108</w:t>
      </w:r>
    </w:p>
    <w:p w14:paraId="6347B1E1" w14:textId="77777777" w:rsidR="002965A0" w:rsidRDefault="002965A0" w:rsidP="002965A0">
      <w:pPr>
        <w:pStyle w:val="Bibliography"/>
      </w:pPr>
      <w:r>
        <w:t xml:space="preserve">Lecun, Y., Bottou, L., Bengio, Y., &amp; Haffner, P. (1998). Gradient-based learning applied to document recognition. </w:t>
      </w:r>
      <w:r>
        <w:rPr>
          <w:i/>
          <w:iCs/>
        </w:rPr>
        <w:t>Proceedings of the IEEE</w:t>
      </w:r>
      <w:r>
        <w:t xml:space="preserve">, </w:t>
      </w:r>
      <w:r>
        <w:rPr>
          <w:i/>
          <w:iCs/>
        </w:rPr>
        <w:t>86</w:t>
      </w:r>
      <w:r>
        <w:t>(11), 2278–2324. https://doi.org/10.1109/5.726791</w:t>
      </w:r>
    </w:p>
    <w:p w14:paraId="507FFE0C" w14:textId="77777777" w:rsidR="002965A0" w:rsidRDefault="002965A0" w:rsidP="002965A0">
      <w:pPr>
        <w:pStyle w:val="Bibliography"/>
      </w:pPr>
      <w:r>
        <w:t xml:space="preserve">LeCun, Y., Bengio, Y., &amp; Hinton, G. (2015). Deep learning. </w:t>
      </w:r>
      <w:r>
        <w:rPr>
          <w:i/>
          <w:iCs/>
        </w:rPr>
        <w:t>Nature</w:t>
      </w:r>
      <w:r>
        <w:t xml:space="preserve">, </w:t>
      </w:r>
      <w:r>
        <w:rPr>
          <w:i/>
          <w:iCs/>
        </w:rPr>
        <w:t>521</w:t>
      </w:r>
      <w:r>
        <w:t>(7553), 436–444. https://doi.org/10.1038/nature14539</w:t>
      </w:r>
    </w:p>
    <w:p w14:paraId="5941EF1F" w14:textId="77777777" w:rsidR="002965A0" w:rsidRDefault="002965A0" w:rsidP="002965A0">
      <w:pPr>
        <w:pStyle w:val="Bibliography"/>
      </w:pPr>
      <w:r>
        <w:t xml:space="preserve">Lee, Hoesung, Calvin, K., Dasgupta, D., Krinner, G., Mukherji, A., Thorne, P., et al. (2023). </w:t>
      </w:r>
      <w:r>
        <w:rPr>
          <w:i/>
          <w:iCs/>
        </w:rPr>
        <w:t>Climate Change 2023: Synthesis Report. Contribution of Working Groups I, II and III to the Sixth Assessment Report of the Intergovernmental Panel on Climate Change</w:t>
      </w:r>
      <w:r>
        <w:t xml:space="preserve"> (Report). The Australian National University. Retrieved from https://openresearch-repository.anu.edu.au/handle/1885/299630</w:t>
      </w:r>
    </w:p>
    <w:p w14:paraId="517F4D28" w14:textId="77777777" w:rsidR="002965A0" w:rsidRDefault="002965A0" w:rsidP="002965A0">
      <w:pPr>
        <w:pStyle w:val="Bibliography"/>
      </w:pPr>
      <w:r>
        <w:t xml:space="preserve">Lee, Hyewon, Kim, H., Honda, Y., Lim, Y.-H., &amp; Yi, S. (2013). Effect of Asian dust storms on daily mortality in seven metropolitan cities of Korea. </w:t>
      </w:r>
      <w:r>
        <w:rPr>
          <w:i/>
          <w:iCs/>
        </w:rPr>
        <w:t>Atmospheric Environment</w:t>
      </w:r>
      <w:r>
        <w:t xml:space="preserve">, </w:t>
      </w:r>
      <w:r>
        <w:rPr>
          <w:i/>
          <w:iCs/>
        </w:rPr>
        <w:t>79</w:t>
      </w:r>
      <w:r>
        <w:t>, 510–517. https://doi.org/10.1016/j.atmosenv.2013.06.046</w:t>
      </w:r>
    </w:p>
    <w:p w14:paraId="1BBFC9A8" w14:textId="77777777" w:rsidR="002965A0" w:rsidRDefault="002965A0" w:rsidP="002965A0">
      <w:pPr>
        <w:pStyle w:val="Bibliography"/>
      </w:pPr>
      <w:r>
        <w:lastRenderedPageBreak/>
        <w:t xml:space="preserve">Lee, J., Hsu, N. C., Bettenhausen, C., Sayer, A. M., Seftor, C. J., Jeong, M.-J., et al. (2016). Evaluating the Height of Biomass Burning Smoke Aerosols Retrieved from Synergistic Use of Multiple Satellite Sensors over Southeast Asia. </w:t>
      </w:r>
      <w:r>
        <w:rPr>
          <w:i/>
          <w:iCs/>
        </w:rPr>
        <w:t>Aerosol and Air Quality Research</w:t>
      </w:r>
      <w:r>
        <w:t xml:space="preserve">, </w:t>
      </w:r>
      <w:r>
        <w:rPr>
          <w:i/>
          <w:iCs/>
        </w:rPr>
        <w:t>16</w:t>
      </w:r>
      <w:r>
        <w:t>(11), 2831–2842. https://doi.org/10.4209/aaqr.2015.08.0506</w:t>
      </w:r>
    </w:p>
    <w:p w14:paraId="27A7E882" w14:textId="77777777" w:rsidR="002965A0" w:rsidRDefault="002965A0" w:rsidP="002965A0">
      <w:pPr>
        <w:pStyle w:val="Bibliography"/>
      </w:pPr>
      <w:r>
        <w:t xml:space="preserve">Leibensperger, E. M., Mickley, L. J., Jacob, D. J., Chen, W.-T., Seinfeld, J. H., Nenes, A., et al. (2012). Climatic effects of 1950&amp;ndash;2050 changes in US anthropogenic aerosols &amp;ndash; Part 1: Aerosol trends and radiative forcing. </w:t>
      </w:r>
      <w:r>
        <w:rPr>
          <w:i/>
          <w:iCs/>
        </w:rPr>
        <w:t>Atmospheric Chemistry and Physics</w:t>
      </w:r>
      <w:r>
        <w:t xml:space="preserve">, </w:t>
      </w:r>
      <w:r>
        <w:rPr>
          <w:i/>
          <w:iCs/>
        </w:rPr>
        <w:t>12</w:t>
      </w:r>
      <w:r>
        <w:t>(7), 3333–3348. https://doi.org/10.5194/acp-12-3333-2012</w:t>
      </w:r>
    </w:p>
    <w:p w14:paraId="6F8F78B9" w14:textId="77777777" w:rsidR="002965A0" w:rsidRDefault="002965A0" w:rsidP="002965A0">
      <w:pPr>
        <w:pStyle w:val="Bibliography"/>
      </w:pPr>
      <w:r>
        <w:t>Liang, S. (2018). Comprehensive Remote Sensing. Retrieved February 9, 2024, from http://www.sciencedirect.com:5070/referencework/9780128032213/comprehensive-remote-sensing</w:t>
      </w:r>
    </w:p>
    <w:p w14:paraId="6E174591" w14:textId="77777777" w:rsidR="002965A0" w:rsidRDefault="002965A0" w:rsidP="002965A0">
      <w:pPr>
        <w:pStyle w:val="Bibliography"/>
      </w:pPr>
      <w:r>
        <w:t xml:space="preserve">Lim, S. S., Vos, T., Flaxman, A. D., Danaei, G., Shibuya, K., Adair-Rohani, H., et al. (2012). A comparative risk assessment of burden of disease and injury attributable to 67 risk factors and risk factor clusters in 21 regions, 1990–2010: a systematic analysis for the Global Burden of Disease Study 2010. </w:t>
      </w:r>
      <w:r>
        <w:rPr>
          <w:i/>
          <w:iCs/>
        </w:rPr>
        <w:t>The Lancet</w:t>
      </w:r>
      <w:r>
        <w:t xml:space="preserve">, </w:t>
      </w:r>
      <w:r>
        <w:rPr>
          <w:i/>
          <w:iCs/>
        </w:rPr>
        <w:t>380</w:t>
      </w:r>
      <w:r>
        <w:t>(9859), 2224–2260. https://doi.org/10.1016/S0140-6736(12)61766-8</w:t>
      </w:r>
    </w:p>
    <w:p w14:paraId="0DD4CF54" w14:textId="77777777" w:rsidR="002965A0" w:rsidRDefault="002965A0" w:rsidP="002965A0">
      <w:pPr>
        <w:pStyle w:val="Bibliography"/>
      </w:pPr>
      <w:r>
        <w:t xml:space="preserve">Lohmann, U., &amp; Feichter, J. (2005). Global indirect aerosol effects: a review. </w:t>
      </w:r>
      <w:r>
        <w:rPr>
          <w:i/>
          <w:iCs/>
        </w:rPr>
        <w:t>Atmospheric Chemistry and Physics</w:t>
      </w:r>
      <w:r>
        <w:t xml:space="preserve">, </w:t>
      </w:r>
      <w:r>
        <w:rPr>
          <w:i/>
          <w:iCs/>
        </w:rPr>
        <w:t>5</w:t>
      </w:r>
      <w:r>
        <w:t>(3), 715–737. https://doi.org/10.5194/acp-5-715-2005</w:t>
      </w:r>
    </w:p>
    <w:p w14:paraId="38228289" w14:textId="77777777" w:rsidR="002965A0" w:rsidRDefault="002965A0" w:rsidP="002965A0">
      <w:pPr>
        <w:pStyle w:val="Bibliography"/>
      </w:pPr>
      <w:r>
        <w:t xml:space="preserve">Loría-Salazar, S. M., Holmes, H. A., Arnott, W. P., Barnard, J. C., &amp; Moosmüller, H. (2016). Evaluation of MODIS columnar aerosol retrievals using AERONET in semi-arid Nevada and California, U.S.A., during the summer of 2012. </w:t>
      </w:r>
      <w:r>
        <w:rPr>
          <w:i/>
          <w:iCs/>
        </w:rPr>
        <w:t>Atmospheric Environment</w:t>
      </w:r>
      <w:r>
        <w:t xml:space="preserve">, </w:t>
      </w:r>
      <w:r>
        <w:rPr>
          <w:i/>
          <w:iCs/>
        </w:rPr>
        <w:t>144</w:t>
      </w:r>
      <w:r>
        <w:t>, 345–360. https://doi.org/10.1016/j.atmosenv.2016.08.070</w:t>
      </w:r>
    </w:p>
    <w:p w14:paraId="1EF6A461" w14:textId="77777777" w:rsidR="002965A0" w:rsidRDefault="002965A0" w:rsidP="002965A0">
      <w:pPr>
        <w:pStyle w:val="Bibliography"/>
      </w:pPr>
      <w:r>
        <w:lastRenderedPageBreak/>
        <w:t xml:space="preserve">Loría-Salazar, S. Marcela, Sayer, A. M., Barnes, J., Huang, J., Flynn, C., Lareau, N., et al. (2021). Evaluation of Novel NASA Moderate Resolution Imaging Spectroradiometer and Visible Infrared Imaging Radiometer Suite Aerosol Products and Assessment of Smoke Height Boundary Layer Ratio During Extreme Smoke Events in the Western USA. </w:t>
      </w:r>
      <w:r>
        <w:rPr>
          <w:i/>
          <w:iCs/>
        </w:rPr>
        <w:t>Journal of Geophysical Research: Atmospheres</w:t>
      </w:r>
      <w:r>
        <w:t xml:space="preserve">, </w:t>
      </w:r>
      <w:r>
        <w:rPr>
          <w:i/>
          <w:iCs/>
        </w:rPr>
        <w:t>126</w:t>
      </w:r>
      <w:r>
        <w:t>(11), e2020JD034180. https://doi.org/10.1029/2020JD034180</w:t>
      </w:r>
    </w:p>
    <w:p w14:paraId="770CD236" w14:textId="77777777" w:rsidR="002965A0" w:rsidRDefault="002965A0" w:rsidP="002965A0">
      <w:pPr>
        <w:pStyle w:val="Bibliography"/>
      </w:pPr>
      <w:r>
        <w:t xml:space="preserve">Lu, Z., Pu, H., Wang, F., Hu, Z., &amp; Wang, L. (2017). The Expressive Power of Neural Networks: A View from the Width. In </w:t>
      </w:r>
      <w:r>
        <w:rPr>
          <w:i/>
          <w:iCs/>
        </w:rPr>
        <w:t>Advances in Neural Information Processing Systems</w:t>
      </w:r>
      <w:r>
        <w:t xml:space="preserve"> (Vol. 30). Curran Associates, Inc. Retrieved from https://proceedings.neurips.cc/paper_files/paper/2017/hash/32cbf687880eb1674a07bf717761dd3a-Abstract.html</w:t>
      </w:r>
    </w:p>
    <w:p w14:paraId="41E94B91" w14:textId="77777777" w:rsidR="002965A0" w:rsidRDefault="002965A0" w:rsidP="002965A0">
      <w:pPr>
        <w:pStyle w:val="Bibliography"/>
      </w:pPr>
      <w:r>
        <w:t xml:space="preserve">Lyapustin, A., &amp; Wang, Y. (2008, January 1). </w:t>
      </w:r>
      <w:r>
        <w:rPr>
          <w:i/>
          <w:iCs/>
        </w:rPr>
        <w:t>The Time Series Technique for Aerosol Retrievals over Land from MODIS: Algorithm MAIAC</w:t>
      </w:r>
      <w:r>
        <w:t>. Retrieved from https://ntrs.nasa.gov/citations/20080023335</w:t>
      </w:r>
    </w:p>
    <w:p w14:paraId="2E04CD86" w14:textId="77777777" w:rsidR="002965A0" w:rsidRDefault="002965A0" w:rsidP="002965A0">
      <w:pPr>
        <w:pStyle w:val="Bibliography"/>
      </w:pPr>
      <w:r>
        <w:t xml:space="preserve">Lyapustin, A., Martonchik, J., Wang, Y., Laszlo, I., &amp; Korkin, S. (2011). Multiangle implementation of atmospheric correction (MAIAC): 1. Radiative transfer basis and look-up tables. </w:t>
      </w:r>
      <w:r>
        <w:rPr>
          <w:i/>
          <w:iCs/>
        </w:rPr>
        <w:t>Journal of Geophysical Research: Atmospheres</w:t>
      </w:r>
      <w:r>
        <w:t xml:space="preserve">, </w:t>
      </w:r>
      <w:r>
        <w:rPr>
          <w:i/>
          <w:iCs/>
        </w:rPr>
        <w:t>116</w:t>
      </w:r>
      <w:r>
        <w:t>(D3). https://doi.org/10.1029/2010JD014985</w:t>
      </w:r>
    </w:p>
    <w:p w14:paraId="094D4AFA" w14:textId="77777777" w:rsidR="002965A0" w:rsidRDefault="002965A0" w:rsidP="002965A0">
      <w:pPr>
        <w:pStyle w:val="Bibliography"/>
      </w:pPr>
      <w:r>
        <w:t xml:space="preserve">Lyapustin, A., Wang, Y., Laszlo, I., Kahn, R., Korkin, S., Remer, L., et al. (2011). Multiangle implementation of atmospheric correction (MAIAC): 2. Aerosol algorithm. </w:t>
      </w:r>
      <w:r>
        <w:rPr>
          <w:i/>
          <w:iCs/>
        </w:rPr>
        <w:t>Journal of Geophysical Research: Atmospheres</w:t>
      </w:r>
      <w:r>
        <w:t xml:space="preserve">, </w:t>
      </w:r>
      <w:r>
        <w:rPr>
          <w:i/>
          <w:iCs/>
        </w:rPr>
        <w:t>116</w:t>
      </w:r>
      <w:r>
        <w:t>(D3). https://doi.org/10.1029/2010JD014986</w:t>
      </w:r>
    </w:p>
    <w:p w14:paraId="7541FC42" w14:textId="77777777" w:rsidR="002965A0" w:rsidRDefault="002965A0" w:rsidP="002965A0">
      <w:pPr>
        <w:pStyle w:val="Bibliography"/>
      </w:pPr>
      <w:r>
        <w:t xml:space="preserve">Lyapustin, A., Wang, Y., Laszlo, I., Hilker, T., G.Hall, F., Sellers, P. J., et al. (2012). Multi-angle implementation of atmospheric correction for MODIS (MAIAC): 3. Atmospheric </w:t>
      </w:r>
      <w:r>
        <w:lastRenderedPageBreak/>
        <w:t xml:space="preserve">correction. </w:t>
      </w:r>
      <w:r>
        <w:rPr>
          <w:i/>
          <w:iCs/>
        </w:rPr>
        <w:t>Remote Sensing of Environment</w:t>
      </w:r>
      <w:r>
        <w:t xml:space="preserve">, </w:t>
      </w:r>
      <w:r>
        <w:rPr>
          <w:i/>
          <w:iCs/>
        </w:rPr>
        <w:t>127</w:t>
      </w:r>
      <w:r>
        <w:t>, 385–393. https://doi.org/10.1016/j.rse.2012.09.002</w:t>
      </w:r>
    </w:p>
    <w:p w14:paraId="7F776CF4" w14:textId="77777777" w:rsidR="002965A0" w:rsidRDefault="002965A0" w:rsidP="002965A0">
      <w:pPr>
        <w:pStyle w:val="Bibliography"/>
      </w:pPr>
      <w:r>
        <w:t xml:space="preserve">Lyapustin, A., Wang, Y., Korkin, S., &amp; Huang, D. (2018). MODIS Collection 6 MAIAC algorithm. </w:t>
      </w:r>
      <w:r>
        <w:rPr>
          <w:i/>
          <w:iCs/>
        </w:rPr>
        <w:t>Atmospheric Measurement Techniques</w:t>
      </w:r>
      <w:r>
        <w:t xml:space="preserve">, </w:t>
      </w:r>
      <w:r>
        <w:rPr>
          <w:i/>
          <w:iCs/>
        </w:rPr>
        <w:t>11</w:t>
      </w:r>
      <w:r>
        <w:t>(10), 5741–5765. https://doi.org/10.5194/amt-11-5741-2018</w:t>
      </w:r>
    </w:p>
    <w:p w14:paraId="239BCBF2" w14:textId="77777777" w:rsidR="002965A0" w:rsidRDefault="002965A0" w:rsidP="002965A0">
      <w:pPr>
        <w:pStyle w:val="Bibliography"/>
      </w:pPr>
      <w:r>
        <w:t xml:space="preserve">Ma, J., Sheridan, R. P., Liaw, A., Dahl, G. E., &amp; Svetnik, V. (2015). Deep Neural Nets as a Method for Quantitative Structure–Activity Relationships. </w:t>
      </w:r>
      <w:r>
        <w:rPr>
          <w:i/>
          <w:iCs/>
        </w:rPr>
        <w:t>Journal of Chemical Information and Modeling</w:t>
      </w:r>
      <w:r>
        <w:t xml:space="preserve">, </w:t>
      </w:r>
      <w:r>
        <w:rPr>
          <w:i/>
          <w:iCs/>
        </w:rPr>
        <w:t>55</w:t>
      </w:r>
      <w:r>
        <w:t>(2), 263–274. https://doi.org/10.1021/ci500747n</w:t>
      </w:r>
    </w:p>
    <w:p w14:paraId="2AEBCDC5" w14:textId="77777777" w:rsidR="002965A0" w:rsidRDefault="002965A0" w:rsidP="002965A0">
      <w:pPr>
        <w:pStyle w:val="Bibliography"/>
      </w:pPr>
      <w:r>
        <w:t xml:space="preserve">Martinelli, N., Olivieri, O., &amp; Girelli, D. (2013). Air particulate matter and cardiovascular disease: A narrative review. </w:t>
      </w:r>
      <w:r>
        <w:rPr>
          <w:i/>
          <w:iCs/>
        </w:rPr>
        <w:t>European Journal of Internal Medicine</w:t>
      </w:r>
      <w:r>
        <w:t xml:space="preserve">, </w:t>
      </w:r>
      <w:r>
        <w:rPr>
          <w:i/>
          <w:iCs/>
        </w:rPr>
        <w:t>24</w:t>
      </w:r>
      <w:r>
        <w:t>(4), 295–302. https://doi.org/10.1016/j.ejim.2013.04.001</w:t>
      </w:r>
    </w:p>
    <w:p w14:paraId="3341C3A7" w14:textId="77777777" w:rsidR="002965A0" w:rsidRDefault="002965A0" w:rsidP="002965A0">
      <w:pPr>
        <w:pStyle w:val="Bibliography"/>
      </w:pPr>
      <w:r>
        <w:t xml:space="preserve">Martins, J. V., Tanré, D., Remer, L., Kaufman, Y., Mattoo, S., &amp; Levy, R. (2002). MODIS Cloud screening for remote sensing of aerosols over oceans using spatial variability. </w:t>
      </w:r>
      <w:r>
        <w:rPr>
          <w:i/>
          <w:iCs/>
        </w:rPr>
        <w:t>Geophysical Research Letters</w:t>
      </w:r>
      <w:r>
        <w:t xml:space="preserve">, </w:t>
      </w:r>
      <w:r>
        <w:rPr>
          <w:i/>
          <w:iCs/>
        </w:rPr>
        <w:t>29</w:t>
      </w:r>
      <w:r>
        <w:t>(12), MOD4-1-MOD4-4. https://doi.org/10.1029/2001GL013252</w:t>
      </w:r>
    </w:p>
    <w:p w14:paraId="7CFBA346" w14:textId="77777777" w:rsidR="002965A0" w:rsidRDefault="002965A0" w:rsidP="002965A0">
      <w:pPr>
        <w:pStyle w:val="Bibliography"/>
      </w:pPr>
      <w:r>
        <w:t xml:space="preserve">Matz, C. J., Egyed, M., Xi, G., Racine, J., Pavlovic, R., Rittmaster, R., et al. (2020). Health impact analysis of PM2.5 from wildfire smoke in Canada (2013–2015, 2017–2018). </w:t>
      </w:r>
      <w:r>
        <w:rPr>
          <w:i/>
          <w:iCs/>
        </w:rPr>
        <w:t>Science of The Total Environment</w:t>
      </w:r>
      <w:r>
        <w:t xml:space="preserve">, </w:t>
      </w:r>
      <w:r>
        <w:rPr>
          <w:i/>
          <w:iCs/>
        </w:rPr>
        <w:t>725</w:t>
      </w:r>
      <w:r>
        <w:t>, 138506. https://doi.org/10.1016/j.scitotenv.2020.138506</w:t>
      </w:r>
    </w:p>
    <w:p w14:paraId="5CB3AAD1" w14:textId="77777777" w:rsidR="002965A0" w:rsidRDefault="002965A0" w:rsidP="002965A0">
      <w:pPr>
        <w:pStyle w:val="Bibliography"/>
      </w:pPr>
      <w:r>
        <w:t xml:space="preserve">Mauderly, J. L., &amp; Chow, J. C. (2008). Health Effects of Organic Aerosols. </w:t>
      </w:r>
      <w:r>
        <w:rPr>
          <w:i/>
          <w:iCs/>
        </w:rPr>
        <w:t>Inhalation Toxicology</w:t>
      </w:r>
      <w:r>
        <w:t xml:space="preserve">, </w:t>
      </w:r>
      <w:r>
        <w:rPr>
          <w:i/>
          <w:iCs/>
        </w:rPr>
        <w:t>20</w:t>
      </w:r>
      <w:r>
        <w:t>(3), 257–288. https://doi.org/10.1080/08958370701866008</w:t>
      </w:r>
    </w:p>
    <w:p w14:paraId="73ACED76" w14:textId="77777777" w:rsidR="002965A0" w:rsidRDefault="002965A0" w:rsidP="002965A0">
      <w:pPr>
        <w:pStyle w:val="Bibliography"/>
      </w:pPr>
      <w:r>
        <w:t xml:space="preserve">McCormick, R. A., &amp; Ludwig, J. H. (1967). Climate Modification by Atmospheric Aerosols. </w:t>
      </w:r>
      <w:r>
        <w:rPr>
          <w:i/>
          <w:iCs/>
        </w:rPr>
        <w:t>Science</w:t>
      </w:r>
      <w:r>
        <w:t xml:space="preserve">, </w:t>
      </w:r>
      <w:r>
        <w:rPr>
          <w:i/>
          <w:iCs/>
        </w:rPr>
        <w:t>156</w:t>
      </w:r>
      <w:r>
        <w:t>(3780), 1358–1359. https://doi.org/10.1126/science.156.3780.1358</w:t>
      </w:r>
    </w:p>
    <w:p w14:paraId="4C1ECA64" w14:textId="77777777" w:rsidR="002965A0" w:rsidRDefault="002965A0" w:rsidP="002965A0">
      <w:pPr>
        <w:pStyle w:val="Bibliography"/>
      </w:pPr>
      <w:r>
        <w:lastRenderedPageBreak/>
        <w:t>McNamara, D., Stephens, G., &amp; Ruminski, M. (2004). THE HAZARD MAPPING SYSTEM (HMS) - NOAA’S MULTI-SENSOR FIRE AND SMOKE DETECTION PROGRAM USING ENVIRONMENTAL SATELLITES. NOAA/NESDIS.</w:t>
      </w:r>
    </w:p>
    <w:p w14:paraId="5447485A" w14:textId="77777777" w:rsidR="002965A0" w:rsidRDefault="002965A0" w:rsidP="002965A0">
      <w:pPr>
        <w:pStyle w:val="Bibliography"/>
      </w:pPr>
      <w:r>
        <w:t xml:space="preserve">Muhammad Ali, P. J., &amp; Faraj, Rezhna H. (2014). Data Normalization and Standardization: A Technical Report. </w:t>
      </w:r>
      <w:r>
        <w:rPr>
          <w:i/>
          <w:iCs/>
        </w:rPr>
        <w:t>Machine Learning Technical Reports</w:t>
      </w:r>
      <w:r>
        <w:t>, 1–6.</w:t>
      </w:r>
    </w:p>
    <w:p w14:paraId="4DAF7F5C" w14:textId="77777777" w:rsidR="002965A0" w:rsidRDefault="002965A0" w:rsidP="002965A0">
      <w:pPr>
        <w:pStyle w:val="Bibliography"/>
      </w:pPr>
      <w:r>
        <w:t xml:space="preserve">Neale, T., &amp; May, D. (2018). Bushfire simulators and analysis in Australia: insights into an emerging sociotechnical practice. </w:t>
      </w:r>
      <w:r>
        <w:rPr>
          <w:i/>
          <w:iCs/>
        </w:rPr>
        <w:t>Environmental Hazards</w:t>
      </w:r>
      <w:r>
        <w:t xml:space="preserve">, </w:t>
      </w:r>
      <w:r>
        <w:rPr>
          <w:i/>
          <w:iCs/>
        </w:rPr>
        <w:t>17</w:t>
      </w:r>
      <w:r>
        <w:t>(3), 200–218. https://doi.org/10.1080/17477891.2017.1410462</w:t>
      </w:r>
    </w:p>
    <w:p w14:paraId="60B5BE04" w14:textId="77777777" w:rsidR="002965A0" w:rsidRDefault="002965A0" w:rsidP="002965A0">
      <w:pPr>
        <w:pStyle w:val="Bibliography"/>
      </w:pPr>
      <w:r>
        <w:t>North American Mesoscale Forecast System. (2020, August 10). Retrieved February 24, 2024, from https://www.ncei.noaa.gov/products/weather-climate-models/north-american-mesoscale</w:t>
      </w:r>
    </w:p>
    <w:p w14:paraId="3747983D" w14:textId="77777777" w:rsidR="002965A0" w:rsidRDefault="002965A0" w:rsidP="002965A0">
      <w:pPr>
        <w:pStyle w:val="Bibliography"/>
      </w:pPr>
      <w:r>
        <w:t>O’Shea, K., &amp; Nash, R. (2015, December 2). An Introduction to Convolutional Neural Networks. arXiv. https://doi.org/10.48550/arXiv.1511.08458</w:t>
      </w:r>
    </w:p>
    <w:p w14:paraId="50A82E81" w14:textId="77777777" w:rsidR="002965A0" w:rsidRDefault="002965A0" w:rsidP="002965A0">
      <w:pPr>
        <w:pStyle w:val="Bibliography"/>
      </w:pPr>
      <w:r>
        <w:t xml:space="preserve">Panikkath, R., Jumper, C. A., &amp; Mulkey, Z. (2013). Multilobar Lung Infiltrates after Exposure to Dust Storm: The Haboob Lung Syndrome. </w:t>
      </w:r>
      <w:r>
        <w:rPr>
          <w:i/>
          <w:iCs/>
        </w:rPr>
        <w:t>The American Journal of Medicine</w:t>
      </w:r>
      <w:r>
        <w:t xml:space="preserve">, </w:t>
      </w:r>
      <w:r>
        <w:rPr>
          <w:i/>
          <w:iCs/>
        </w:rPr>
        <w:t>126</w:t>
      </w:r>
      <w:r>
        <w:t>(2), e5–e7. https://doi.org/10.1016/j.amjmed.2012.08.012</w:t>
      </w:r>
    </w:p>
    <w:p w14:paraId="5F0CFC9A" w14:textId="77777777" w:rsidR="002965A0" w:rsidRDefault="002965A0" w:rsidP="002965A0">
      <w:pPr>
        <w:pStyle w:val="Bibliography"/>
      </w:pPr>
      <w:r>
        <w:t xml:space="preserve">Peterson, D. A., Hyer, E. J., Campbell, J. R., Fromm, M. D., Hair, J. W., Butler, C. F., &amp; Fenn, M. A. (2014). The 2013 Rim Fire: Implications for Predicting Extreme Fire Spread, Pyroconvection, and Smoke Emissions. </w:t>
      </w:r>
      <w:r>
        <w:rPr>
          <w:i/>
          <w:iCs/>
        </w:rPr>
        <w:t>Bulletin of the American Meteorological Society</w:t>
      </w:r>
      <w:r>
        <w:t xml:space="preserve">, </w:t>
      </w:r>
      <w:r>
        <w:rPr>
          <w:i/>
          <w:iCs/>
        </w:rPr>
        <w:t>96</w:t>
      </w:r>
      <w:r>
        <w:t>(2), 229–247. https://doi.org/10.1175/BAMS-D-14-00060.1</w:t>
      </w:r>
    </w:p>
    <w:p w14:paraId="104395D0" w14:textId="77777777" w:rsidR="002965A0" w:rsidRDefault="002965A0" w:rsidP="002965A0">
      <w:pPr>
        <w:pStyle w:val="Bibliography"/>
      </w:pPr>
      <w:r>
        <w:t xml:space="preserve">Peterson, D. A., Fromm, M. D., Solbrig, J. E., Hyer, E. J., Surratt, M. L., &amp; Campbell, J. R. (2017). Detection and Inventory of Intense Pyroconvection in Western North America </w:t>
      </w:r>
      <w:r>
        <w:lastRenderedPageBreak/>
        <w:t xml:space="preserve">using GOES-15 Daytime Infrared Data. </w:t>
      </w:r>
      <w:r>
        <w:rPr>
          <w:i/>
          <w:iCs/>
        </w:rPr>
        <w:t>Journal of Applied Meteorology and Climatology</w:t>
      </w:r>
      <w:r>
        <w:t xml:space="preserve">, </w:t>
      </w:r>
      <w:r>
        <w:rPr>
          <w:i/>
          <w:iCs/>
        </w:rPr>
        <w:t>56</w:t>
      </w:r>
      <w:r>
        <w:t>(2), 471–493. https://doi.org/10.1175/JAMC-D-16-0226.1</w:t>
      </w:r>
    </w:p>
    <w:p w14:paraId="0BD6F554" w14:textId="77777777" w:rsidR="002965A0" w:rsidRDefault="002965A0" w:rsidP="002965A0">
      <w:pPr>
        <w:pStyle w:val="Bibliography"/>
      </w:pPr>
      <w:r>
        <w:t xml:space="preserve">Petty, G. W. (2006). </w:t>
      </w:r>
      <w:r>
        <w:rPr>
          <w:i/>
          <w:iCs/>
        </w:rPr>
        <w:t>A First Course in Atmospheric Radiation Second Edition</w:t>
      </w:r>
      <w:r>
        <w:t>. Sundog Publishing LLC.</w:t>
      </w:r>
    </w:p>
    <w:p w14:paraId="508E43CC" w14:textId="77777777" w:rsidR="002965A0" w:rsidRDefault="002965A0" w:rsidP="002965A0">
      <w:pPr>
        <w:pStyle w:val="Bibliography"/>
      </w:pPr>
      <w:r>
        <w:t xml:space="preserve">Péwé, T. L., &amp; Science, A. A. for the A. of. (1981). </w:t>
      </w:r>
      <w:r>
        <w:rPr>
          <w:i/>
          <w:iCs/>
        </w:rPr>
        <w:t>Desert Dust: Origin, Characteristics, and Effect on Man</w:t>
      </w:r>
      <w:r>
        <w:t>. Geological Society of America.</w:t>
      </w:r>
    </w:p>
    <w:p w14:paraId="7CCBD05B" w14:textId="77777777" w:rsidR="002965A0" w:rsidRDefault="002965A0" w:rsidP="002965A0">
      <w:pPr>
        <w:pStyle w:val="Bibliography"/>
      </w:pPr>
      <w:r>
        <w:t xml:space="preserve">Pöschl, U. (2005). Atmospheric Aerosols: Composition, Transformation, Climate and Health Effects. </w:t>
      </w:r>
      <w:r>
        <w:rPr>
          <w:i/>
          <w:iCs/>
        </w:rPr>
        <w:t>Angewandte Chemie International Edition</w:t>
      </w:r>
      <w:r>
        <w:t xml:space="preserve">, </w:t>
      </w:r>
      <w:r>
        <w:rPr>
          <w:i/>
          <w:iCs/>
        </w:rPr>
        <w:t>44</w:t>
      </w:r>
      <w:r>
        <w:t>(46), 7520–7540. https://doi.org/10.1002/anie.200501122</w:t>
      </w:r>
    </w:p>
    <w:p w14:paraId="32053ECD" w14:textId="77777777" w:rsidR="002965A0" w:rsidRDefault="002965A0" w:rsidP="002965A0">
      <w:pPr>
        <w:pStyle w:val="Bibliography"/>
      </w:pPr>
      <w:r>
        <w:t xml:space="preserve">Prather, K. A., Hatch, C. D., &amp; Grassian, V. H. (2008). Analysis of Atmospheric Aerosols. </w:t>
      </w:r>
      <w:r>
        <w:rPr>
          <w:i/>
          <w:iCs/>
        </w:rPr>
        <w:t>Annual Review of Analytical Chemistry</w:t>
      </w:r>
      <w:r>
        <w:t xml:space="preserve">, </w:t>
      </w:r>
      <w:r>
        <w:rPr>
          <w:i/>
          <w:iCs/>
        </w:rPr>
        <w:t>1</w:t>
      </w:r>
      <w:r>
        <w:t>(1), 485–514. https://doi.org/10.1146/annurev.anchem.1.031207.113030</w:t>
      </w:r>
    </w:p>
    <w:p w14:paraId="0E470F2C" w14:textId="77777777" w:rsidR="002965A0" w:rsidRDefault="002965A0" w:rsidP="002965A0">
      <w:pPr>
        <w:pStyle w:val="Bibliography"/>
      </w:pPr>
      <w:r>
        <w:t xml:space="preserve">Ramanathan, V., Crutzen, P. J., Kiehl, J. T., &amp; Rosenfeld, D. (2001). Aerosols, Climate, and the Hydrological Cycle. </w:t>
      </w:r>
      <w:r>
        <w:rPr>
          <w:i/>
          <w:iCs/>
        </w:rPr>
        <w:t>Science</w:t>
      </w:r>
      <w:r>
        <w:t xml:space="preserve">, </w:t>
      </w:r>
      <w:r>
        <w:rPr>
          <w:i/>
          <w:iCs/>
        </w:rPr>
        <w:t>294</w:t>
      </w:r>
      <w:r>
        <w:t>(5549), 2119–2124. https://doi.org/10.1126/science.1064034</w:t>
      </w:r>
    </w:p>
    <w:p w14:paraId="571DD683" w14:textId="77777777" w:rsidR="002965A0" w:rsidRDefault="002965A0" w:rsidP="002965A0">
      <w:pPr>
        <w:pStyle w:val="Bibliography"/>
      </w:pPr>
      <w:r>
        <w:t xml:space="preserve">Randles, C. A., Silva, A. M. da, Buchard, V., Colarco, P. R., Darmenov, A., Govindaraju, R., et al. (2017). The MERRA-2 Aerosol Reanalysis, 1980 Onward. Part I: System Description and Data Assimilation Evaluation. </w:t>
      </w:r>
      <w:r>
        <w:rPr>
          <w:i/>
          <w:iCs/>
        </w:rPr>
        <w:t>Journal of Climate</w:t>
      </w:r>
      <w:r>
        <w:t xml:space="preserve">, </w:t>
      </w:r>
      <w:r>
        <w:rPr>
          <w:i/>
          <w:iCs/>
        </w:rPr>
        <w:t>30</w:t>
      </w:r>
      <w:r>
        <w:t>(17), 6823–6850. https://doi.org/10.1175/JCLI-D-16-0609.1</w:t>
      </w:r>
    </w:p>
    <w:p w14:paraId="2EBB3D07" w14:textId="77777777" w:rsidR="002965A0" w:rsidRDefault="002965A0" w:rsidP="002965A0">
      <w:pPr>
        <w:pStyle w:val="Bibliography"/>
      </w:pPr>
      <w:r>
        <w:t>Redmon, J., Divvala, S., Girshick, R., &amp; Farhadi, A. (2016). You Only Look Once: Unified, Real-Time Object Detection (pp. 779–788). Presented at the Proceedings of the IEEE Conference on Computer Vision and Pattern Recognition. Retrieved from https://www.cv-</w:t>
      </w:r>
      <w:r>
        <w:lastRenderedPageBreak/>
        <w:t>foundation.org/openaccess/content_cvpr_2016/html/Redmon_You_Only_Look_CVPR_2016_paper.html</w:t>
      </w:r>
    </w:p>
    <w:p w14:paraId="6020FC6C" w14:textId="77777777" w:rsidR="002965A0" w:rsidRDefault="002965A0" w:rsidP="002965A0">
      <w:pPr>
        <w:pStyle w:val="Bibliography"/>
      </w:pPr>
      <w:r>
        <w:t xml:space="preserve">Reid, C. E., Brauer, M., Johnston, F. H., Jerrett, M., Balmes, J. R., &amp; Elliott, C. T. (2016). Critical Review of Health Impacts of Wildfire Smoke Exposure. </w:t>
      </w:r>
      <w:r>
        <w:rPr>
          <w:i/>
          <w:iCs/>
        </w:rPr>
        <w:t>Environmental Health Perspectives</w:t>
      </w:r>
      <w:r>
        <w:t xml:space="preserve">, </w:t>
      </w:r>
      <w:r>
        <w:rPr>
          <w:i/>
          <w:iCs/>
        </w:rPr>
        <w:t>124</w:t>
      </w:r>
      <w:r>
        <w:t>(9), 1334–1343. https://doi.org/10.1289/ehp.1409277</w:t>
      </w:r>
    </w:p>
    <w:p w14:paraId="6C80B4FE" w14:textId="77777777" w:rsidR="002965A0" w:rsidRDefault="002965A0" w:rsidP="002965A0">
      <w:pPr>
        <w:pStyle w:val="Bibliography"/>
      </w:pPr>
      <w:r>
        <w:t xml:space="preserve">Remer, L. A., Tanré, D., Kaufman, Y. J., Ichoku, C., Mattoo, S., Levy, R., et al. (2002). Validation of MODIS aerosol retrieval over ocean. </w:t>
      </w:r>
      <w:r>
        <w:rPr>
          <w:i/>
          <w:iCs/>
        </w:rPr>
        <w:t>Geophysical Research Letters</w:t>
      </w:r>
      <w:r>
        <w:t xml:space="preserve">, </w:t>
      </w:r>
      <w:r>
        <w:rPr>
          <w:i/>
          <w:iCs/>
        </w:rPr>
        <w:t>29</w:t>
      </w:r>
      <w:r>
        <w:t>(12), MOD3-1-MOD3-4. https://doi.org/10.1029/2001GL013204</w:t>
      </w:r>
    </w:p>
    <w:p w14:paraId="20AC547C" w14:textId="77777777" w:rsidR="002965A0" w:rsidRDefault="002965A0" w:rsidP="002965A0">
      <w:pPr>
        <w:pStyle w:val="Bibliography"/>
      </w:pPr>
      <w:r>
        <w:t xml:space="preserve">Remer, L. A., Kaufman, Y. J., Tanré, D., Mattoo, S., Chu, D. A., Martins, J. V., et al. (2005). The MODIS Aerosol Algorithm, Products, and Validation. </w:t>
      </w:r>
      <w:r>
        <w:rPr>
          <w:i/>
          <w:iCs/>
        </w:rPr>
        <w:t>Journal of the Atmospheric Sciences</w:t>
      </w:r>
      <w:r>
        <w:t xml:space="preserve">, </w:t>
      </w:r>
      <w:r>
        <w:rPr>
          <w:i/>
          <w:iCs/>
        </w:rPr>
        <w:t>62</w:t>
      </w:r>
      <w:r>
        <w:t>(4), 947–973. https://doi.org/10.1175/JAS3385.1</w:t>
      </w:r>
    </w:p>
    <w:p w14:paraId="0E31D538" w14:textId="77777777" w:rsidR="002965A0" w:rsidRDefault="002965A0" w:rsidP="002965A0">
      <w:pPr>
        <w:pStyle w:val="Bibliography"/>
      </w:pPr>
      <w:r>
        <w:t>Ronneberger, O., Fischer, P., &amp; Brox, T. (2015, May 18). U-Net: Convolutional Networks for Biomedical Image Segmentation. arXiv. https://doi.org/10.48550/arXiv.1505.04597</w:t>
      </w:r>
    </w:p>
    <w:p w14:paraId="28CD735A" w14:textId="77777777" w:rsidR="002965A0" w:rsidRDefault="002965A0" w:rsidP="002965A0">
      <w:pPr>
        <w:pStyle w:val="Bibliography"/>
      </w:pPr>
      <w:r>
        <w:t xml:space="preserve">Rosenfeld, D., Andreae, M. O., Asmi, A., Chin, M., de Leeuw, G., Donovan, D. P., et al. (2014). Global observations of aerosol-cloud-precipitation-climate interactions. </w:t>
      </w:r>
      <w:r>
        <w:rPr>
          <w:i/>
          <w:iCs/>
        </w:rPr>
        <w:t>Reviews of Geophysics</w:t>
      </w:r>
      <w:r>
        <w:t xml:space="preserve">, </w:t>
      </w:r>
      <w:r>
        <w:rPr>
          <w:i/>
          <w:iCs/>
        </w:rPr>
        <w:t>52</w:t>
      </w:r>
      <w:r>
        <w:t>(4), 750–808. https://doi.org/10.1002/2013RG000441</w:t>
      </w:r>
    </w:p>
    <w:p w14:paraId="6CCF0B66" w14:textId="77777777" w:rsidR="002965A0" w:rsidRDefault="002965A0" w:rsidP="002965A0">
      <w:pPr>
        <w:pStyle w:val="Bibliography"/>
      </w:pPr>
      <w:r>
        <w:t xml:space="preserve">Roy, D. P., &amp; Kumar, S. S. (2017). Multi-year MODIS active fire type classification over the Brazilian Tropical Moist Forest Biome. </w:t>
      </w:r>
      <w:r>
        <w:rPr>
          <w:i/>
          <w:iCs/>
        </w:rPr>
        <w:t>International Journal of Digital Earth</w:t>
      </w:r>
      <w:r>
        <w:t xml:space="preserve">, </w:t>
      </w:r>
      <w:r>
        <w:rPr>
          <w:i/>
          <w:iCs/>
        </w:rPr>
        <w:t>10</w:t>
      </w:r>
      <w:r>
        <w:t>(1), 54–84. https://doi.org/10.1080/17538947.2016.1208686</w:t>
      </w:r>
    </w:p>
    <w:p w14:paraId="5DF541BD" w14:textId="77777777" w:rsidR="002965A0" w:rsidRDefault="002965A0" w:rsidP="002965A0">
      <w:pPr>
        <w:pStyle w:val="Bibliography"/>
      </w:pPr>
      <w:r>
        <w:t>Saharia, C., Chan, W., Chang, H., Lee, C. A., Ho, J., Salimans, T., et al. (2022, May 3). Palette: Image-to-Image Diffusion Models. arXiv. https://doi.org/10.48550/arXiv.2111.05826</w:t>
      </w:r>
    </w:p>
    <w:p w14:paraId="24E7C8E7" w14:textId="77777777" w:rsidR="002965A0" w:rsidRDefault="002965A0" w:rsidP="002965A0">
      <w:pPr>
        <w:pStyle w:val="Bibliography"/>
      </w:pPr>
      <w:r>
        <w:t xml:space="preserve">Sayer, A. M., Hsu, N. C., Bettenhausen, C., Jeong, M.-J., Holben, B. N., &amp; Zhang, J. (2012). Global and regional evaluation of over-land spectral aerosol optical depth retrievals from </w:t>
      </w:r>
      <w:r>
        <w:lastRenderedPageBreak/>
        <w:t xml:space="preserve">SeaWiFS. </w:t>
      </w:r>
      <w:r>
        <w:rPr>
          <w:i/>
          <w:iCs/>
        </w:rPr>
        <w:t>Atmospheric Measurement Techniques</w:t>
      </w:r>
      <w:r>
        <w:t xml:space="preserve">, </w:t>
      </w:r>
      <w:r>
        <w:rPr>
          <w:i/>
          <w:iCs/>
        </w:rPr>
        <w:t>5</w:t>
      </w:r>
      <w:r>
        <w:t>(7), 1761–1778. https://doi.org/10.5194/amt-5-1761-2012</w:t>
      </w:r>
    </w:p>
    <w:p w14:paraId="6B130634" w14:textId="77777777" w:rsidR="002965A0" w:rsidRDefault="002965A0" w:rsidP="002965A0">
      <w:pPr>
        <w:pStyle w:val="Bibliography"/>
      </w:pPr>
      <w:r>
        <w:t xml:space="preserve">Sayer, A. M., Hsu, N. C., Bettenhausen, C., Ahmad, Z., Holben, B. N., Smirnov, A., et al. (2012). SeaWiFS Ocean Aerosol Retrieval (SOAR): Algorithm, validation, and comparison with other data sets. </w:t>
      </w:r>
      <w:r>
        <w:rPr>
          <w:i/>
          <w:iCs/>
        </w:rPr>
        <w:t>Journal of Geophysical Research: Atmospheres</w:t>
      </w:r>
      <w:r>
        <w:t xml:space="preserve">, </w:t>
      </w:r>
      <w:r>
        <w:rPr>
          <w:i/>
          <w:iCs/>
        </w:rPr>
        <w:t>117</w:t>
      </w:r>
      <w:r>
        <w:t>(D3). https://doi.org/10.1029/2011JD016599</w:t>
      </w:r>
    </w:p>
    <w:p w14:paraId="53E1F33F" w14:textId="77777777" w:rsidR="002965A0" w:rsidRDefault="002965A0" w:rsidP="002965A0">
      <w:pPr>
        <w:pStyle w:val="Bibliography"/>
      </w:pPr>
      <w:r>
        <w:t xml:space="preserve">Sayer, A. M., Hsu, N. C., Bettenhausen, C., &amp; Jeong, M.-J. (2013). Validation and uncertainty estimates for MODIS Collection 6 “Deep Blue” aerosol data. </w:t>
      </w:r>
      <w:r>
        <w:rPr>
          <w:i/>
          <w:iCs/>
        </w:rPr>
        <w:t>Journal of Geophysical Research: Atmospheres</w:t>
      </w:r>
      <w:r>
        <w:t xml:space="preserve">, </w:t>
      </w:r>
      <w:r>
        <w:rPr>
          <w:i/>
          <w:iCs/>
        </w:rPr>
        <w:t>118</w:t>
      </w:r>
      <w:r>
        <w:t>(14), 7864–7872. https://doi.org/10.1002/jgrd.50600</w:t>
      </w:r>
    </w:p>
    <w:p w14:paraId="1E3DA98E" w14:textId="77777777" w:rsidR="002965A0" w:rsidRDefault="002965A0" w:rsidP="002965A0">
      <w:pPr>
        <w:pStyle w:val="Bibliography"/>
      </w:pPr>
      <w:r>
        <w:t xml:space="preserve">Sayer, A. M., Hsu, N. C., Lee, J., Kim, W. V., Dubovik, O., Dutcher, S. T., et al. (2018). Validation of SOAR VIIRS Over-Water Aerosol Retrievals and Context Within the Global Satellite Aerosol Data Record. </w:t>
      </w:r>
      <w:r>
        <w:rPr>
          <w:i/>
          <w:iCs/>
        </w:rPr>
        <w:t>Journal of Geophysical Research: Atmospheres</w:t>
      </w:r>
      <w:r>
        <w:t xml:space="preserve">, </w:t>
      </w:r>
      <w:r>
        <w:rPr>
          <w:i/>
          <w:iCs/>
        </w:rPr>
        <w:t>123</w:t>
      </w:r>
      <w:r>
        <w:t>(23), 13,496-13,526. https://doi.org/10.1029/2018JD029465</w:t>
      </w:r>
    </w:p>
    <w:p w14:paraId="3E9E751E" w14:textId="77777777" w:rsidR="002965A0" w:rsidRDefault="002965A0" w:rsidP="002965A0">
      <w:pPr>
        <w:pStyle w:val="Bibliography"/>
      </w:pPr>
      <w:r>
        <w:t xml:space="preserve">Sayer, A. M., Hsu, N. C., Lee, J., Kim, W. V., &amp; Dutcher, S. T. (2019). Validation, Stability, and Consistency of MODIS Collection 6.1 and VIIRS Version 1 Deep Blue Aerosol Data Over Land. </w:t>
      </w:r>
      <w:r>
        <w:rPr>
          <w:i/>
          <w:iCs/>
        </w:rPr>
        <w:t>Journal of Geophysical Research: Atmospheres</w:t>
      </w:r>
      <w:r>
        <w:t xml:space="preserve">, </w:t>
      </w:r>
      <w:r>
        <w:rPr>
          <w:i/>
          <w:iCs/>
        </w:rPr>
        <w:t>124</w:t>
      </w:r>
      <w:r>
        <w:t>(8), 4658–4688. https://doi.org/10.1029/2018JD029598</w:t>
      </w:r>
    </w:p>
    <w:p w14:paraId="5FFFD324" w14:textId="77777777" w:rsidR="002965A0" w:rsidRDefault="002965A0" w:rsidP="002965A0">
      <w:pPr>
        <w:pStyle w:val="Bibliography"/>
      </w:pPr>
      <w:r>
        <w:t xml:space="preserve">Sayer, Andrew M. (2020). How Long Is Too Long? Variogram Analysis of AERONET Data to Aid Aerosol Validation and Intercomparison Studies. </w:t>
      </w:r>
      <w:r>
        <w:rPr>
          <w:i/>
          <w:iCs/>
        </w:rPr>
        <w:t>Earth and Space Science</w:t>
      </w:r>
      <w:r>
        <w:t xml:space="preserve">, </w:t>
      </w:r>
      <w:r>
        <w:rPr>
          <w:i/>
          <w:iCs/>
        </w:rPr>
        <w:t>7</w:t>
      </w:r>
      <w:r>
        <w:t>(9), e2020EA001290. https://doi.org/10.1029/2020EA001290</w:t>
      </w:r>
    </w:p>
    <w:p w14:paraId="745404B6" w14:textId="77777777" w:rsidR="002965A0" w:rsidRDefault="002965A0" w:rsidP="002965A0">
      <w:pPr>
        <w:pStyle w:val="Bibliography"/>
      </w:pPr>
      <w:r>
        <w:t xml:space="preserve">Schraufnagel, D. E. (2020). The health effects of ultrafine particles. </w:t>
      </w:r>
      <w:r>
        <w:rPr>
          <w:i/>
          <w:iCs/>
        </w:rPr>
        <w:t>Experimental &amp; Molecular Medicine</w:t>
      </w:r>
      <w:r>
        <w:t xml:space="preserve">, </w:t>
      </w:r>
      <w:r>
        <w:rPr>
          <w:i/>
          <w:iCs/>
        </w:rPr>
        <w:t>52</w:t>
      </w:r>
      <w:r>
        <w:t>(3), 311–317. https://doi.org/10.1038/s12276-020-0403-3</w:t>
      </w:r>
    </w:p>
    <w:p w14:paraId="5645A4E4" w14:textId="77777777" w:rsidR="002965A0" w:rsidRDefault="002965A0" w:rsidP="002965A0">
      <w:pPr>
        <w:pStyle w:val="Bibliography"/>
      </w:pPr>
      <w:r>
        <w:lastRenderedPageBreak/>
        <w:t xml:space="preserve">Shaw, G. E. (1983). Sun Photometry. </w:t>
      </w:r>
      <w:r>
        <w:rPr>
          <w:i/>
          <w:iCs/>
        </w:rPr>
        <w:t>Bulletin of the American Meteorological Society</w:t>
      </w:r>
      <w:r>
        <w:t xml:space="preserve">, </w:t>
      </w:r>
      <w:r>
        <w:rPr>
          <w:i/>
          <w:iCs/>
        </w:rPr>
        <w:t>64</w:t>
      </w:r>
      <w:r>
        <w:t>(1), 4–10. https://doi.org/10.1175/1520-0477(1983)064&lt;0004:SP&gt;2.0.CO;2</w:t>
      </w:r>
    </w:p>
    <w:p w14:paraId="48D39286" w14:textId="77777777" w:rsidR="002965A0" w:rsidRDefault="002965A0" w:rsidP="002965A0">
      <w:pPr>
        <w:pStyle w:val="Bibliography"/>
      </w:pPr>
      <w:r>
        <w:t xml:space="preserve">Shiraiwa, M., Ueda, K., Pozzer, A., Lammel, G., Kampf, C. J., Fushimi, A., et al. (2017). Aerosol Health Effects from Molecular to Global Scales. </w:t>
      </w:r>
      <w:r>
        <w:rPr>
          <w:i/>
          <w:iCs/>
        </w:rPr>
        <w:t>Environmental Science &amp; Technology</w:t>
      </w:r>
      <w:r>
        <w:t xml:space="preserve">, </w:t>
      </w:r>
      <w:r>
        <w:rPr>
          <w:i/>
          <w:iCs/>
        </w:rPr>
        <w:t>51</w:t>
      </w:r>
      <w:r>
        <w:t>(23), 13545–13567. https://doi.org/10.1021/acs.est.7b04417</w:t>
      </w:r>
    </w:p>
    <w:p w14:paraId="77A8F465" w14:textId="77777777" w:rsidR="002965A0" w:rsidRDefault="002965A0" w:rsidP="002965A0">
      <w:pPr>
        <w:pStyle w:val="Bibliography"/>
      </w:pPr>
      <w:r>
        <w:t xml:space="preserve">Shuman, J. K., Balch, J. K., Barnes, R. T., Higuera, P. E., Roos, C. I., Schwilk, D. W., et al. (2022). Reimagine fire science for the anthropocene. </w:t>
      </w:r>
      <w:r>
        <w:rPr>
          <w:i/>
          <w:iCs/>
        </w:rPr>
        <w:t>PNAS Nexus</w:t>
      </w:r>
      <w:r>
        <w:t xml:space="preserve">, </w:t>
      </w:r>
      <w:r>
        <w:rPr>
          <w:i/>
          <w:iCs/>
        </w:rPr>
        <w:t>1</w:t>
      </w:r>
      <w:r>
        <w:t>(3), pgac115. https://doi.org/10.1093/pnasnexus/pgac115</w:t>
      </w:r>
    </w:p>
    <w:p w14:paraId="27B4BF1A" w14:textId="77777777" w:rsidR="002965A0" w:rsidRDefault="002965A0" w:rsidP="002965A0">
      <w:pPr>
        <w:pStyle w:val="Bibliography"/>
      </w:pPr>
      <w:r>
        <w:t xml:space="preserve">Silcox, G. D., Kelly, K. E., Crosman, E. T., Whiteman, C. D., &amp; Allen, B. L. (2012). Wintertime PM2.5 concentrations during persistent, multi-day cold-air pools in a mountain valley. </w:t>
      </w:r>
      <w:r>
        <w:rPr>
          <w:i/>
          <w:iCs/>
        </w:rPr>
        <w:t>Atmospheric Environment</w:t>
      </w:r>
      <w:r>
        <w:t xml:space="preserve">, </w:t>
      </w:r>
      <w:r>
        <w:rPr>
          <w:i/>
          <w:iCs/>
        </w:rPr>
        <w:t>46</w:t>
      </w:r>
      <w:r>
        <w:t>, 17–24. https://doi.org/10.1016/j.atmosenv.2011.10.041</w:t>
      </w:r>
    </w:p>
    <w:p w14:paraId="5C141E63" w14:textId="77777777" w:rsidR="002965A0" w:rsidRDefault="002965A0" w:rsidP="002965A0">
      <w:pPr>
        <w:pStyle w:val="Bibliography"/>
      </w:pPr>
      <w:r>
        <w:t>Simonyan, K., &amp; Zisserman, A. (2015, April 10). Very Deep Convolutional Networks for Large-Scale Image Recognition. arXiv. https://doi.org/10.48550/arXiv.1409.1556</w:t>
      </w:r>
    </w:p>
    <w:p w14:paraId="0ADEA2EB" w14:textId="77777777" w:rsidR="002965A0" w:rsidRDefault="002965A0" w:rsidP="002965A0">
      <w:pPr>
        <w:pStyle w:val="Bibliography"/>
      </w:pPr>
      <w:r>
        <w:t xml:space="preserve">Singh, D., &amp; Singh, B. (2020). Investigating the impact of data normalization on classification performance. </w:t>
      </w:r>
      <w:r>
        <w:rPr>
          <w:i/>
          <w:iCs/>
        </w:rPr>
        <w:t>Applied Soft Computing</w:t>
      </w:r>
      <w:r>
        <w:t xml:space="preserve">, </w:t>
      </w:r>
      <w:r>
        <w:rPr>
          <w:i/>
          <w:iCs/>
        </w:rPr>
        <w:t>97</w:t>
      </w:r>
      <w:r>
        <w:t>, 105524. https://doi.org/10.1016/j.asoc.2019.105524</w:t>
      </w:r>
    </w:p>
    <w:p w14:paraId="1A1CDAE1" w14:textId="77777777" w:rsidR="002965A0" w:rsidRDefault="002965A0" w:rsidP="002965A0">
      <w:pPr>
        <w:pStyle w:val="Bibliography"/>
      </w:pPr>
      <w:r>
        <w:t xml:space="preserve">Singh, M. K., Gautam, R., &amp; Venkatachalam, P. (2017). Bayesian Merging of MISR and MODIS Aerosol Optical Depth Products Using Error Distributions From AERONET. </w:t>
      </w:r>
      <w:r>
        <w:rPr>
          <w:i/>
          <w:iCs/>
        </w:rPr>
        <w:t>IEEE Journal of Selected Topics in Applied Earth Observations and Remote Sensing</w:t>
      </w:r>
      <w:r>
        <w:t xml:space="preserve">, </w:t>
      </w:r>
      <w:r>
        <w:rPr>
          <w:i/>
          <w:iCs/>
        </w:rPr>
        <w:t>10</w:t>
      </w:r>
      <w:r>
        <w:t>(12), 5186–5200. https://doi.org/10.1109/JSTARS.2017.2734331</w:t>
      </w:r>
    </w:p>
    <w:p w14:paraId="6005A47B" w14:textId="77777777" w:rsidR="002965A0" w:rsidRDefault="002965A0" w:rsidP="002965A0">
      <w:pPr>
        <w:pStyle w:val="Bibliography"/>
      </w:pPr>
      <w:r>
        <w:t xml:space="preserve">Stephens, G. L., Vane, D. G., Boain, R. J., Mace, G. G., Sassen, K., Wang, Z., et al. (2002). THE CLOUDSAT MISSION AND THE A-TRAIN: A New Dimension of Space-Based </w:t>
      </w:r>
      <w:r>
        <w:lastRenderedPageBreak/>
        <w:t xml:space="preserve">Observations of Clouds and Precipitation. </w:t>
      </w:r>
      <w:r>
        <w:rPr>
          <w:i/>
          <w:iCs/>
        </w:rPr>
        <w:t>Bulletin of the American Meteorological Society</w:t>
      </w:r>
      <w:r>
        <w:t xml:space="preserve">, </w:t>
      </w:r>
      <w:r>
        <w:rPr>
          <w:i/>
          <w:iCs/>
        </w:rPr>
        <w:t>83</w:t>
      </w:r>
      <w:r>
        <w:t>(12), 1771–1790. https://doi.org/10.1175/BAMS-83-12-1771</w:t>
      </w:r>
    </w:p>
    <w:p w14:paraId="5383EC1B" w14:textId="77777777" w:rsidR="002965A0" w:rsidRDefault="002965A0" w:rsidP="002965A0">
      <w:pPr>
        <w:pStyle w:val="Bibliography"/>
      </w:pPr>
      <w:r>
        <w:t xml:space="preserve">Tanré, D., Herman, M., &amp; Kaufman, Y. J. (1996). Information on aerosol size distribution contained in solar reflected spectral radiances. </w:t>
      </w:r>
      <w:r>
        <w:rPr>
          <w:i/>
          <w:iCs/>
        </w:rPr>
        <w:t>Journal of Geophysical Research: Atmospheres</w:t>
      </w:r>
      <w:r>
        <w:t xml:space="preserve">, </w:t>
      </w:r>
      <w:r>
        <w:rPr>
          <w:i/>
          <w:iCs/>
        </w:rPr>
        <w:t>101</w:t>
      </w:r>
      <w:r>
        <w:t>(D14), 19043–19060. https://doi.org/10.1029/96JD00333</w:t>
      </w:r>
    </w:p>
    <w:p w14:paraId="0705B775" w14:textId="77777777" w:rsidR="002965A0" w:rsidRDefault="002965A0" w:rsidP="002965A0">
      <w:pPr>
        <w:pStyle w:val="Bibliography"/>
      </w:pPr>
      <w:r>
        <w:t xml:space="preserve">Tanré, D., Kaufman, Y. J., Herman, M., &amp; Mattoo, S. (1997a). Remote sensing of aerosol properties over oceans using the MODIS/EOS spectral radiances. </w:t>
      </w:r>
      <w:r>
        <w:rPr>
          <w:i/>
          <w:iCs/>
        </w:rPr>
        <w:t>Journal of Geophysical Research: Atmospheres</w:t>
      </w:r>
      <w:r>
        <w:t xml:space="preserve">, </w:t>
      </w:r>
      <w:r>
        <w:rPr>
          <w:i/>
          <w:iCs/>
        </w:rPr>
        <w:t>102</w:t>
      </w:r>
      <w:r>
        <w:t>(D14), 16971–16988. https://doi.org/10.1029/96JD03437</w:t>
      </w:r>
    </w:p>
    <w:p w14:paraId="015BA959" w14:textId="77777777" w:rsidR="002965A0" w:rsidRDefault="002965A0" w:rsidP="002965A0">
      <w:pPr>
        <w:pStyle w:val="Bibliography"/>
      </w:pPr>
      <w:r>
        <w:t xml:space="preserve">Tanré, D., Kaufman, Y. J., Herman, M., &amp; Mattoo, S. (1997b). Remote sensing of aerosol properties over oceans using the MODIS/EOS spectral radiances. </w:t>
      </w:r>
      <w:r>
        <w:rPr>
          <w:i/>
          <w:iCs/>
        </w:rPr>
        <w:t>Journal of Geophysical Research: Atmospheres</w:t>
      </w:r>
      <w:r>
        <w:t xml:space="preserve">, </w:t>
      </w:r>
      <w:r>
        <w:rPr>
          <w:i/>
          <w:iCs/>
        </w:rPr>
        <w:t>102</w:t>
      </w:r>
      <w:r>
        <w:t>(D14), 16971–16988. https://doi.org/10.1029/96JD03437</w:t>
      </w:r>
    </w:p>
    <w:p w14:paraId="347C6465" w14:textId="77777777" w:rsidR="002965A0" w:rsidRDefault="002965A0" w:rsidP="002965A0">
      <w:pPr>
        <w:pStyle w:val="Bibliography"/>
      </w:pPr>
      <w:r>
        <w:t xml:space="preserve">Tanré, D., Remer, L. A., Kaufman, Y. J., Mattoo, S., Hobbs, P. V., Livingston, J. M., et al. (1999). Retrieval of aerosol optical thickness and size distribution over ocean from the MODIS airborne simulator during TARFOX. </w:t>
      </w:r>
      <w:r>
        <w:rPr>
          <w:i/>
          <w:iCs/>
        </w:rPr>
        <w:t>Journal of Geophysical Research: Atmospheres</w:t>
      </w:r>
      <w:r>
        <w:t xml:space="preserve">, </w:t>
      </w:r>
      <w:r>
        <w:rPr>
          <w:i/>
          <w:iCs/>
        </w:rPr>
        <w:t>104</w:t>
      </w:r>
      <w:r>
        <w:t>(D2), 2261–2278. https://doi.org/10.1029/1998JD200077</w:t>
      </w:r>
    </w:p>
    <w:p w14:paraId="23243EDA" w14:textId="77777777" w:rsidR="002965A0" w:rsidRDefault="002965A0" w:rsidP="002965A0">
      <w:pPr>
        <w:pStyle w:val="Bibliography"/>
      </w:pPr>
      <w:r>
        <w:t xml:space="preserve">Trinh, T. T., Trinh, T. T., Le, T. T., Nguyen, T. D. H., &amp; Tu, B. M. (2019). Temperature inversion and air pollution relationship, and its effects on human health in Hanoi City, Vietnam. </w:t>
      </w:r>
      <w:r>
        <w:rPr>
          <w:i/>
          <w:iCs/>
        </w:rPr>
        <w:t>Environmental Geochemistry and Health</w:t>
      </w:r>
      <w:r>
        <w:t xml:space="preserve">, </w:t>
      </w:r>
      <w:r>
        <w:rPr>
          <w:i/>
          <w:iCs/>
        </w:rPr>
        <w:t>41</w:t>
      </w:r>
      <w:r>
        <w:t>(2), 929–937. https://doi.org/10.1007/s10653-018-0190-0</w:t>
      </w:r>
    </w:p>
    <w:p w14:paraId="408BED1A" w14:textId="77777777" w:rsidR="002965A0" w:rsidRDefault="002965A0" w:rsidP="002965A0">
      <w:pPr>
        <w:pStyle w:val="Bibliography"/>
      </w:pPr>
      <w:r>
        <w:t xml:space="preserve">Twomey, S. (1974). Pollution and the planetary albedo. </w:t>
      </w:r>
      <w:r>
        <w:rPr>
          <w:i/>
          <w:iCs/>
        </w:rPr>
        <w:t>Atmospheric Environment (1967)</w:t>
      </w:r>
      <w:r>
        <w:t xml:space="preserve">, </w:t>
      </w:r>
      <w:r>
        <w:rPr>
          <w:i/>
          <w:iCs/>
        </w:rPr>
        <w:t>8</w:t>
      </w:r>
      <w:r>
        <w:t>(12), 1251–1256. https://doi.org/10.1016/0004-6981(74)90004-3</w:t>
      </w:r>
    </w:p>
    <w:p w14:paraId="5313CD9B" w14:textId="77777777" w:rsidR="002965A0" w:rsidRDefault="002965A0" w:rsidP="002965A0">
      <w:pPr>
        <w:pStyle w:val="Bibliography"/>
      </w:pPr>
      <w:r>
        <w:lastRenderedPageBreak/>
        <w:t xml:space="preserve">Uda, S. K., Hein, L., &amp; Atmoko, D. (2019). Assessing the health impacts of peatland fires: a case study for Central Kalimantan, Indonesia. </w:t>
      </w:r>
      <w:r>
        <w:rPr>
          <w:i/>
          <w:iCs/>
        </w:rPr>
        <w:t>Environmental Science and Pollution Research</w:t>
      </w:r>
      <w:r>
        <w:t xml:space="preserve">, </w:t>
      </w:r>
      <w:r>
        <w:rPr>
          <w:i/>
          <w:iCs/>
        </w:rPr>
        <w:t>26</w:t>
      </w:r>
      <w:r>
        <w:t>(30), 31315–31327. https://doi.org/10.1007/s11356-019-06264-x</w:t>
      </w:r>
    </w:p>
    <w:p w14:paraId="39C39CA9" w14:textId="77777777" w:rsidR="002965A0" w:rsidRDefault="002965A0" w:rsidP="002965A0">
      <w:pPr>
        <w:pStyle w:val="Bibliography"/>
      </w:pPr>
      <w:r>
        <w:t xml:space="preserve">Wallace, J., Corr, D., &amp; Kanaroglou, P. (2010). Topographic and spatial impacts of temperature inversions on air quality using mobile air pollution surveys. </w:t>
      </w:r>
      <w:r>
        <w:rPr>
          <w:i/>
          <w:iCs/>
        </w:rPr>
        <w:t>Science of The Total Environment</w:t>
      </w:r>
      <w:r>
        <w:t xml:space="preserve">, </w:t>
      </w:r>
      <w:r>
        <w:rPr>
          <w:i/>
          <w:iCs/>
        </w:rPr>
        <w:t>408</w:t>
      </w:r>
      <w:r>
        <w:t>(21), 5086–5096. https://doi.org/10.1016/j.scitotenv.2010.06.020</w:t>
      </w:r>
    </w:p>
    <w:p w14:paraId="205DC1B5" w14:textId="77777777" w:rsidR="002965A0" w:rsidRDefault="002965A0" w:rsidP="002965A0">
      <w:pPr>
        <w:pStyle w:val="Bibliography"/>
      </w:pPr>
      <w:r>
        <w:t xml:space="preserve">Wang, C. (2005). A modeling study of the response of tropical deep convection to the increase of cloud condensation nuclei concentration: 1. Dynamics and microphysics. </w:t>
      </w:r>
      <w:r>
        <w:rPr>
          <w:i/>
          <w:iCs/>
        </w:rPr>
        <w:t>Journal of Geophysical Research: Atmospheres</w:t>
      </w:r>
      <w:r>
        <w:t xml:space="preserve">, </w:t>
      </w:r>
      <w:r>
        <w:rPr>
          <w:i/>
          <w:iCs/>
        </w:rPr>
        <w:t>110</w:t>
      </w:r>
      <w:r>
        <w:t>(D21). https://doi.org/10.1029/2004JD005720</w:t>
      </w:r>
    </w:p>
    <w:p w14:paraId="47DD0D14" w14:textId="77777777" w:rsidR="002965A0" w:rsidRDefault="002965A0" w:rsidP="002965A0">
      <w:pPr>
        <w:pStyle w:val="Bibliography"/>
      </w:pPr>
      <w:r>
        <w:t xml:space="preserve">Wang, Y., Khalizov, A., Levy, M., &amp; Zhang, R. (2013). New Directions: Light absorbing aerosols and their atmospheric impacts. </w:t>
      </w:r>
      <w:r>
        <w:rPr>
          <w:i/>
          <w:iCs/>
        </w:rPr>
        <w:t>Atmospheric Environment</w:t>
      </w:r>
      <w:r>
        <w:t xml:space="preserve">, </w:t>
      </w:r>
      <w:r>
        <w:rPr>
          <w:i/>
          <w:iCs/>
        </w:rPr>
        <w:t>81</w:t>
      </w:r>
      <w:r>
        <w:t>, 713–715. https://doi.org/10.1016/j.atmosenv.2013.09.034</w:t>
      </w:r>
    </w:p>
    <w:p w14:paraId="064B8752" w14:textId="77777777" w:rsidR="002965A0" w:rsidRDefault="002965A0" w:rsidP="002965A0">
      <w:pPr>
        <w:pStyle w:val="Bibliography"/>
      </w:pPr>
      <w:r>
        <w:t xml:space="preserve">Wei, J., Huang, W., Li, Z., Xue, W., Peng, Y., Sun, L., &amp; Cribb, M. (2019). Estimating 1-km-resolution PM2.5 concentrations across China using the space-time random forest approach. </w:t>
      </w:r>
      <w:r>
        <w:rPr>
          <w:i/>
          <w:iCs/>
        </w:rPr>
        <w:t>Remote Sensing of Environment</w:t>
      </w:r>
      <w:r>
        <w:t xml:space="preserve">, </w:t>
      </w:r>
      <w:r>
        <w:rPr>
          <w:i/>
          <w:iCs/>
        </w:rPr>
        <w:t>231</w:t>
      </w:r>
      <w:r>
        <w:t>, 111221. https://doi.org/10.1016/j.rse.2019.111221</w:t>
      </w:r>
    </w:p>
    <w:p w14:paraId="1A92FA1B" w14:textId="77777777" w:rsidR="002965A0" w:rsidRDefault="002965A0" w:rsidP="002965A0">
      <w:pPr>
        <w:pStyle w:val="Bibliography"/>
      </w:pPr>
      <w:r>
        <w:t xml:space="preserve">Wei, X., Chang, N. B., Bai, K., &amp; Gao, W. (2020). Satellite remote sensing of aerosol optical depth: advances, challenges, and perspectives. </w:t>
      </w:r>
      <w:r>
        <w:rPr>
          <w:i/>
          <w:iCs/>
        </w:rPr>
        <w:t>Critical Reviews in Environmental Science and Technology</w:t>
      </w:r>
      <w:r>
        <w:t xml:space="preserve">, </w:t>
      </w:r>
      <w:r>
        <w:rPr>
          <w:i/>
          <w:iCs/>
        </w:rPr>
        <w:t>50</w:t>
      </w:r>
      <w:r>
        <w:t>(16), 1640–1725. https://doi.org/10.1080/10643389.2019.1665944</w:t>
      </w:r>
    </w:p>
    <w:p w14:paraId="1391A2D2" w14:textId="77777777" w:rsidR="002965A0" w:rsidRDefault="002965A0" w:rsidP="002965A0">
      <w:pPr>
        <w:pStyle w:val="Bibliography"/>
      </w:pPr>
      <w:r>
        <w:t xml:space="preserve">Wilcox, L. J., Highwood, E. J., &amp; Dunstone, N. J. (2013). The influence of anthropogenic aerosol on multi-decadal variations of historical global climate. </w:t>
      </w:r>
      <w:r>
        <w:rPr>
          <w:i/>
          <w:iCs/>
        </w:rPr>
        <w:t>Environmental Research Letters</w:t>
      </w:r>
      <w:r>
        <w:t xml:space="preserve">, </w:t>
      </w:r>
      <w:r>
        <w:rPr>
          <w:i/>
          <w:iCs/>
        </w:rPr>
        <w:t>8</w:t>
      </w:r>
      <w:r>
        <w:t>(2), 024033. https://doi.org/10.1088/1748-9326/8/2/024033</w:t>
      </w:r>
    </w:p>
    <w:p w14:paraId="552010EE" w14:textId="77777777" w:rsidR="002965A0" w:rsidRDefault="002965A0" w:rsidP="002965A0">
      <w:pPr>
        <w:pStyle w:val="Bibliography"/>
      </w:pPr>
      <w:r>
        <w:lastRenderedPageBreak/>
        <w:t xml:space="preserve">Wooster, M. J., &amp; Zhang, Y. H. (2004). Boreal forest fires burn less intensely in Russia than in North America. </w:t>
      </w:r>
      <w:r>
        <w:rPr>
          <w:i/>
          <w:iCs/>
        </w:rPr>
        <w:t>Geophysical Research Letters</w:t>
      </w:r>
      <w:r>
        <w:t xml:space="preserve">, </w:t>
      </w:r>
      <w:r>
        <w:rPr>
          <w:i/>
          <w:iCs/>
        </w:rPr>
        <w:t>31</w:t>
      </w:r>
      <w:r>
        <w:t>(20). https://doi.org/10.1029/2004GL020805</w:t>
      </w:r>
    </w:p>
    <w:p w14:paraId="4A364E9B" w14:textId="77777777" w:rsidR="002965A0" w:rsidRDefault="002965A0" w:rsidP="002965A0">
      <w:pPr>
        <w:pStyle w:val="Bibliography"/>
      </w:pPr>
      <w:r>
        <w:t xml:space="preserve">Wooster, M. J., Zhukov, B., &amp; Oertel, D. (2003). Fire radiative energy for quantitative study of biomass burning: derivation from the BIRD experimental satellite and comparison to MODIS fire products. </w:t>
      </w:r>
      <w:r>
        <w:rPr>
          <w:i/>
          <w:iCs/>
        </w:rPr>
        <w:t>Remote Sensing of Environment</w:t>
      </w:r>
      <w:r>
        <w:t xml:space="preserve">, </w:t>
      </w:r>
      <w:r>
        <w:rPr>
          <w:i/>
          <w:iCs/>
        </w:rPr>
        <w:t>86</w:t>
      </w:r>
      <w:r>
        <w:t>(1), 83–107. https://doi.org/10.1016/S0034-4257(03)00070-1</w:t>
      </w:r>
    </w:p>
    <w:p w14:paraId="2072697A" w14:textId="77777777" w:rsidR="002965A0" w:rsidRDefault="002965A0" w:rsidP="002965A0">
      <w:pPr>
        <w:pStyle w:val="Bibliography"/>
      </w:pPr>
      <w:r>
        <w:t xml:space="preserve">Wu, Y., Arapi, A., Huang, J., Gross, B., &amp; Moshary, F. (2018). Intra-continental wildfire smoke transport and impact on local air quality observed by ground-based and satellite remote sensing in New York City. </w:t>
      </w:r>
      <w:r>
        <w:rPr>
          <w:i/>
          <w:iCs/>
        </w:rPr>
        <w:t>Atmospheric Environment</w:t>
      </w:r>
      <w:r>
        <w:t xml:space="preserve">, </w:t>
      </w:r>
      <w:r>
        <w:rPr>
          <w:i/>
          <w:iCs/>
        </w:rPr>
        <w:t>187</w:t>
      </w:r>
      <w:r>
        <w:t>, 266–281. https://doi.org/10.1016/j.atmosenv.2018.06.006</w:t>
      </w:r>
    </w:p>
    <w:p w14:paraId="604526A4" w14:textId="77777777" w:rsidR="002965A0" w:rsidRDefault="002965A0" w:rsidP="002965A0">
      <w:pPr>
        <w:pStyle w:val="Bibliography"/>
      </w:pPr>
      <w:r>
        <w:t xml:space="preserve">Zhang, Q., Meng, J., Quan, J., Gao, Y., Zhao, D., Chen, P., &amp; He, H. (2012). Impact of aerosol composition on cloud condensation nuclei activity. </w:t>
      </w:r>
      <w:r>
        <w:rPr>
          <w:i/>
          <w:iCs/>
        </w:rPr>
        <w:t>Atmospheric Chemistry and Physics</w:t>
      </w:r>
      <w:r>
        <w:t xml:space="preserve">, </w:t>
      </w:r>
      <w:r>
        <w:rPr>
          <w:i/>
          <w:iCs/>
        </w:rPr>
        <w:t>12</w:t>
      </w:r>
      <w:r>
        <w:t>(8), 3783–3790. https://doi.org/10.5194/acp-12-3783-2012</w:t>
      </w:r>
    </w:p>
    <w:p w14:paraId="57E839B1" w14:textId="77777777" w:rsidR="002965A0" w:rsidRDefault="002965A0" w:rsidP="002965A0">
      <w:pPr>
        <w:pStyle w:val="Bibliography"/>
      </w:pPr>
      <w:r>
        <w:t xml:space="preserve">Zhang, R., Wang, G., Guo, S., Zamora, M. L., Ying, Q., Lin, Y., et al. (2015). Formation of Urban Fine Particulate Matter. </w:t>
      </w:r>
      <w:r>
        <w:rPr>
          <w:i/>
          <w:iCs/>
        </w:rPr>
        <w:t>Chemical Reviews</w:t>
      </w:r>
      <w:r>
        <w:t xml:space="preserve">, </w:t>
      </w:r>
      <w:r>
        <w:rPr>
          <w:i/>
          <w:iCs/>
        </w:rPr>
        <w:t>115</w:t>
      </w:r>
      <w:r>
        <w:t>(10), 3803–3855. https://doi.org/10.1021/acs.chemrev.5b00067</w:t>
      </w:r>
    </w:p>
    <w:p w14:paraId="02FA2C85" w14:textId="77777777" w:rsidR="002965A0" w:rsidRDefault="002965A0" w:rsidP="002965A0">
      <w:pPr>
        <w:pStyle w:val="Bibliography"/>
      </w:pPr>
      <w:r>
        <w:t xml:space="preserve">Zhang, T., Zhou, Y., Zhao, K., Zhu, Z., Asrar, G. R., &amp; Zhao, X. (2022). Gap-filling MODIS daily aerosol optical depth products by developing a spatiotemporal fitting algorithm. </w:t>
      </w:r>
      <w:r>
        <w:rPr>
          <w:i/>
          <w:iCs/>
        </w:rPr>
        <w:t>GIScience &amp; Remote Sensing</w:t>
      </w:r>
      <w:r>
        <w:t xml:space="preserve">, </w:t>
      </w:r>
      <w:r>
        <w:rPr>
          <w:i/>
          <w:iCs/>
        </w:rPr>
        <w:t>59</w:t>
      </w:r>
      <w:r>
        <w:t>(1), 762–781. https://doi.org/10.1080/15481603.2022.2060596</w:t>
      </w:r>
    </w:p>
    <w:p w14:paraId="528AAF66" w14:textId="77777777" w:rsidR="002965A0" w:rsidRDefault="002965A0" w:rsidP="002965A0">
      <w:pPr>
        <w:pStyle w:val="Bibliography"/>
      </w:pPr>
      <w:r>
        <w:t xml:space="preserve">Zhou, Z., Rahman Siddiquee, M. M., Tajbakhsh, N., &amp; Liang, J. (2018). UNet++: A Nested U-Net Architecture for Medical Image Segmentation. In D. Stoyanov, Z. Taylor, G. </w:t>
      </w:r>
      <w:r>
        <w:lastRenderedPageBreak/>
        <w:t xml:space="preserve">Carneiro, T. Syeda-Mahmood, A. Martel, L. Maier-Hein, et al. (Eds.), </w:t>
      </w:r>
      <w:r>
        <w:rPr>
          <w:i/>
          <w:iCs/>
        </w:rPr>
        <w:t>Deep Learning in Medical Image Analysis and Multimodal Learning for Clinical Decision Support</w:t>
      </w:r>
      <w:r>
        <w:t xml:space="preserve"> (pp. 3–11). Cham: Springer International Publishing. https://doi.org/10.1007/978-3-030-00889-5_1</w:t>
      </w:r>
    </w:p>
    <w:p w14:paraId="2D77C808" w14:textId="77777777" w:rsidR="002965A0" w:rsidRDefault="002965A0" w:rsidP="002965A0">
      <w:pPr>
        <w:pStyle w:val="Bibliography"/>
      </w:pPr>
      <w:r>
        <w:t xml:space="preserve">Zou, J., Han, Y., &amp; So, S.-S. (2009). Overview of Artificial Neural Networks. In D. J. Livingstone (Ed.), </w:t>
      </w:r>
      <w:r>
        <w:rPr>
          <w:i/>
          <w:iCs/>
        </w:rPr>
        <w:t>Artificial Neural Networks: Methods and Applications</w:t>
      </w:r>
      <w:r>
        <w:t xml:space="preserve"> (pp. 14–22). Totowa, NJ: Humana Press. https://doi.org/10.1007/978-1-60327-101-1_2</w:t>
      </w:r>
    </w:p>
    <w:p w14:paraId="66D57A78" w14:textId="5AFA0083" w:rsidR="000E00EF" w:rsidRPr="002B1293" w:rsidRDefault="00F31A6A" w:rsidP="00582302">
      <w:pPr>
        <w:rPr>
          <w:rFonts w:cs="Times New Roman"/>
          <w:b/>
          <w:bCs/>
          <w:szCs w:val="24"/>
        </w:rPr>
      </w:pPr>
      <w:r w:rsidRPr="002B1293">
        <w:rPr>
          <w:rFonts w:cs="Times New Roman"/>
          <w:b/>
          <w:bCs/>
          <w:szCs w:val="24"/>
        </w:rPr>
        <w:fldChar w:fldCharType="end"/>
      </w:r>
    </w:p>
    <w:p w14:paraId="65B64856" w14:textId="3B355C32" w:rsidR="000E00EF" w:rsidRPr="002B1293" w:rsidRDefault="000E00EF" w:rsidP="00582302">
      <w:pPr>
        <w:rPr>
          <w:rFonts w:cs="Times New Roman"/>
          <w:szCs w:val="24"/>
        </w:rPr>
      </w:pPr>
    </w:p>
    <w:sectPr w:rsidR="000E00EF" w:rsidRPr="002B1293" w:rsidSect="00E65486">
      <w:footerReference w:type="default" r:id="rId38"/>
      <w:pgSz w:w="12240" w:h="15840" w:code="1"/>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17C345A" w14:textId="77777777" w:rsidR="00E65486" w:rsidRDefault="00E65486" w:rsidP="00406EB2">
      <w:pPr>
        <w:spacing w:after="0" w:line="240" w:lineRule="auto"/>
      </w:pPr>
      <w:r>
        <w:separator/>
      </w:r>
    </w:p>
  </w:endnote>
  <w:endnote w:type="continuationSeparator" w:id="0">
    <w:p w14:paraId="22153156" w14:textId="77777777" w:rsidR="00E65486" w:rsidRDefault="00E65486" w:rsidP="00406E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130584060"/>
      <w:docPartObj>
        <w:docPartGallery w:val="Page Numbers (Bottom of Page)"/>
        <w:docPartUnique/>
      </w:docPartObj>
    </w:sdtPr>
    <w:sdtEndPr>
      <w:rPr>
        <w:noProof/>
      </w:rPr>
    </w:sdtEndPr>
    <w:sdtContent>
      <w:p w14:paraId="36422A48" w14:textId="77777777" w:rsidR="000F55B9" w:rsidRDefault="000F55B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35CCF38" w14:textId="77777777" w:rsidR="000F55B9" w:rsidRDefault="000F55B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25609276"/>
      <w:docPartObj>
        <w:docPartGallery w:val="Page Numbers (Bottom of Page)"/>
        <w:docPartUnique/>
      </w:docPartObj>
    </w:sdtPr>
    <w:sdtEndPr>
      <w:rPr>
        <w:noProof/>
      </w:rPr>
    </w:sdtEndPr>
    <w:sdtContent>
      <w:p w14:paraId="4F5D335B" w14:textId="77777777" w:rsidR="00614C2B" w:rsidRDefault="00614C2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58803D3" w14:textId="77777777" w:rsidR="00614C2B" w:rsidRDefault="00614C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A0B18D6" w14:textId="77777777" w:rsidR="00E65486" w:rsidRDefault="00E65486" w:rsidP="00406EB2">
      <w:pPr>
        <w:spacing w:after="0" w:line="240" w:lineRule="auto"/>
      </w:pPr>
      <w:r>
        <w:separator/>
      </w:r>
    </w:p>
  </w:footnote>
  <w:footnote w:type="continuationSeparator" w:id="0">
    <w:p w14:paraId="035C5EEE" w14:textId="77777777" w:rsidR="00E65486" w:rsidRDefault="00E65486" w:rsidP="00406EB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B2A61E0"/>
    <w:multiLevelType w:val="hybridMultilevel"/>
    <w:tmpl w:val="2BA6E0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BC90138"/>
    <w:multiLevelType w:val="hybridMultilevel"/>
    <w:tmpl w:val="D206E9BA"/>
    <w:lvl w:ilvl="0" w:tplc="02DE379E">
      <w:start w:val="1"/>
      <w:numFmt w:val="bullet"/>
      <w:lvlText w:val=""/>
      <w:lvlJc w:val="left"/>
      <w:pPr>
        <w:ind w:left="1080" w:hanging="360"/>
      </w:pPr>
      <w:rPr>
        <w:rFonts w:ascii="Symbol" w:hAnsi="Symbol"/>
      </w:rPr>
    </w:lvl>
    <w:lvl w:ilvl="1" w:tplc="04E8860E">
      <w:start w:val="1"/>
      <w:numFmt w:val="bullet"/>
      <w:lvlText w:val=""/>
      <w:lvlJc w:val="left"/>
      <w:pPr>
        <w:ind w:left="1080" w:hanging="360"/>
      </w:pPr>
      <w:rPr>
        <w:rFonts w:ascii="Symbol" w:hAnsi="Symbol"/>
      </w:rPr>
    </w:lvl>
    <w:lvl w:ilvl="2" w:tplc="3748297E">
      <w:start w:val="1"/>
      <w:numFmt w:val="bullet"/>
      <w:lvlText w:val=""/>
      <w:lvlJc w:val="left"/>
      <w:pPr>
        <w:ind w:left="1080" w:hanging="360"/>
      </w:pPr>
      <w:rPr>
        <w:rFonts w:ascii="Symbol" w:hAnsi="Symbol"/>
      </w:rPr>
    </w:lvl>
    <w:lvl w:ilvl="3" w:tplc="2AD0D4B0">
      <w:start w:val="1"/>
      <w:numFmt w:val="bullet"/>
      <w:lvlText w:val=""/>
      <w:lvlJc w:val="left"/>
      <w:pPr>
        <w:ind w:left="1080" w:hanging="360"/>
      </w:pPr>
      <w:rPr>
        <w:rFonts w:ascii="Symbol" w:hAnsi="Symbol"/>
      </w:rPr>
    </w:lvl>
    <w:lvl w:ilvl="4" w:tplc="22CAE236">
      <w:start w:val="1"/>
      <w:numFmt w:val="bullet"/>
      <w:lvlText w:val=""/>
      <w:lvlJc w:val="left"/>
      <w:pPr>
        <w:ind w:left="1080" w:hanging="360"/>
      </w:pPr>
      <w:rPr>
        <w:rFonts w:ascii="Symbol" w:hAnsi="Symbol"/>
      </w:rPr>
    </w:lvl>
    <w:lvl w:ilvl="5" w:tplc="D18A4AE6">
      <w:start w:val="1"/>
      <w:numFmt w:val="bullet"/>
      <w:lvlText w:val=""/>
      <w:lvlJc w:val="left"/>
      <w:pPr>
        <w:ind w:left="1080" w:hanging="360"/>
      </w:pPr>
      <w:rPr>
        <w:rFonts w:ascii="Symbol" w:hAnsi="Symbol"/>
      </w:rPr>
    </w:lvl>
    <w:lvl w:ilvl="6" w:tplc="D44E6884">
      <w:start w:val="1"/>
      <w:numFmt w:val="bullet"/>
      <w:lvlText w:val=""/>
      <w:lvlJc w:val="left"/>
      <w:pPr>
        <w:ind w:left="1080" w:hanging="360"/>
      </w:pPr>
      <w:rPr>
        <w:rFonts w:ascii="Symbol" w:hAnsi="Symbol"/>
      </w:rPr>
    </w:lvl>
    <w:lvl w:ilvl="7" w:tplc="F29ABA2A">
      <w:start w:val="1"/>
      <w:numFmt w:val="bullet"/>
      <w:lvlText w:val=""/>
      <w:lvlJc w:val="left"/>
      <w:pPr>
        <w:ind w:left="1080" w:hanging="360"/>
      </w:pPr>
      <w:rPr>
        <w:rFonts w:ascii="Symbol" w:hAnsi="Symbol"/>
      </w:rPr>
    </w:lvl>
    <w:lvl w:ilvl="8" w:tplc="54386A94">
      <w:start w:val="1"/>
      <w:numFmt w:val="bullet"/>
      <w:lvlText w:val=""/>
      <w:lvlJc w:val="left"/>
      <w:pPr>
        <w:ind w:left="1080" w:hanging="360"/>
      </w:pPr>
      <w:rPr>
        <w:rFonts w:ascii="Symbol" w:hAnsi="Symbol"/>
      </w:rPr>
    </w:lvl>
  </w:abstractNum>
  <w:abstractNum w:abstractNumId="2" w15:restartNumberingAfterBreak="0">
    <w:nsid w:val="7A47544B"/>
    <w:multiLevelType w:val="multilevel"/>
    <w:tmpl w:val="EBC6A6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53178595">
    <w:abstractNumId w:val="2"/>
  </w:num>
  <w:num w:numId="2" w16cid:durableId="544682357">
    <w:abstractNumId w:val="1"/>
  </w:num>
  <w:num w:numId="3" w16cid:durableId="2896279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TUwMLA0MLOwtASSZko6SsGpxcWZ+XkgBUa1AKb/KK4sAAAA"/>
  </w:docVars>
  <w:rsids>
    <w:rsidRoot w:val="00EA3D4E"/>
    <w:rsid w:val="0000062B"/>
    <w:rsid w:val="00000702"/>
    <w:rsid w:val="000027B9"/>
    <w:rsid w:val="000028A3"/>
    <w:rsid w:val="00003445"/>
    <w:rsid w:val="00004ED8"/>
    <w:rsid w:val="0000675D"/>
    <w:rsid w:val="00006F7B"/>
    <w:rsid w:val="00007219"/>
    <w:rsid w:val="000114F6"/>
    <w:rsid w:val="000117FC"/>
    <w:rsid w:val="00011F6B"/>
    <w:rsid w:val="00011FF5"/>
    <w:rsid w:val="00012FC9"/>
    <w:rsid w:val="00013871"/>
    <w:rsid w:val="00014106"/>
    <w:rsid w:val="00016A4D"/>
    <w:rsid w:val="00016EEE"/>
    <w:rsid w:val="00016F11"/>
    <w:rsid w:val="00020672"/>
    <w:rsid w:val="000206A9"/>
    <w:rsid w:val="00020A10"/>
    <w:rsid w:val="000210C3"/>
    <w:rsid w:val="00021644"/>
    <w:rsid w:val="00023609"/>
    <w:rsid w:val="000242C9"/>
    <w:rsid w:val="000248CA"/>
    <w:rsid w:val="00024AA7"/>
    <w:rsid w:val="00024D59"/>
    <w:rsid w:val="00024F5B"/>
    <w:rsid w:val="000256B0"/>
    <w:rsid w:val="00025864"/>
    <w:rsid w:val="00026BA1"/>
    <w:rsid w:val="00027552"/>
    <w:rsid w:val="00027C61"/>
    <w:rsid w:val="00027CF4"/>
    <w:rsid w:val="00027EB6"/>
    <w:rsid w:val="00030301"/>
    <w:rsid w:val="00030A2F"/>
    <w:rsid w:val="0003131A"/>
    <w:rsid w:val="00031423"/>
    <w:rsid w:val="00031A80"/>
    <w:rsid w:val="00031CDC"/>
    <w:rsid w:val="0003227A"/>
    <w:rsid w:val="00032E2D"/>
    <w:rsid w:val="000334DF"/>
    <w:rsid w:val="0003413B"/>
    <w:rsid w:val="0003440F"/>
    <w:rsid w:val="00034E6B"/>
    <w:rsid w:val="00036884"/>
    <w:rsid w:val="00036F79"/>
    <w:rsid w:val="0003733B"/>
    <w:rsid w:val="00040107"/>
    <w:rsid w:val="00040643"/>
    <w:rsid w:val="00040A40"/>
    <w:rsid w:val="00040AD5"/>
    <w:rsid w:val="0004138C"/>
    <w:rsid w:val="00042B9D"/>
    <w:rsid w:val="00043340"/>
    <w:rsid w:val="000449FA"/>
    <w:rsid w:val="00044E89"/>
    <w:rsid w:val="0004515D"/>
    <w:rsid w:val="000451AF"/>
    <w:rsid w:val="00045296"/>
    <w:rsid w:val="00047579"/>
    <w:rsid w:val="00047BA4"/>
    <w:rsid w:val="00047BA8"/>
    <w:rsid w:val="0005072B"/>
    <w:rsid w:val="00050A56"/>
    <w:rsid w:val="00050A94"/>
    <w:rsid w:val="00050ABD"/>
    <w:rsid w:val="000523FF"/>
    <w:rsid w:val="00053886"/>
    <w:rsid w:val="00054536"/>
    <w:rsid w:val="000556E3"/>
    <w:rsid w:val="00055AFE"/>
    <w:rsid w:val="00056FB5"/>
    <w:rsid w:val="000573C3"/>
    <w:rsid w:val="00057F44"/>
    <w:rsid w:val="0006048A"/>
    <w:rsid w:val="00060FC5"/>
    <w:rsid w:val="00061F67"/>
    <w:rsid w:val="000622A1"/>
    <w:rsid w:val="00062375"/>
    <w:rsid w:val="00062886"/>
    <w:rsid w:val="00063039"/>
    <w:rsid w:val="0006619C"/>
    <w:rsid w:val="000679E8"/>
    <w:rsid w:val="00067A72"/>
    <w:rsid w:val="00067BA6"/>
    <w:rsid w:val="00067D58"/>
    <w:rsid w:val="000704F1"/>
    <w:rsid w:val="00070F42"/>
    <w:rsid w:val="000721A8"/>
    <w:rsid w:val="000721D2"/>
    <w:rsid w:val="0007242C"/>
    <w:rsid w:val="00073F99"/>
    <w:rsid w:val="00074434"/>
    <w:rsid w:val="00075206"/>
    <w:rsid w:val="0007559F"/>
    <w:rsid w:val="00075F7E"/>
    <w:rsid w:val="00077984"/>
    <w:rsid w:val="00077A07"/>
    <w:rsid w:val="00080AA4"/>
    <w:rsid w:val="00080E81"/>
    <w:rsid w:val="000813D8"/>
    <w:rsid w:val="000840A5"/>
    <w:rsid w:val="00085550"/>
    <w:rsid w:val="0008640A"/>
    <w:rsid w:val="0008666B"/>
    <w:rsid w:val="00087040"/>
    <w:rsid w:val="000877B2"/>
    <w:rsid w:val="0009019A"/>
    <w:rsid w:val="00091324"/>
    <w:rsid w:val="00092347"/>
    <w:rsid w:val="00092453"/>
    <w:rsid w:val="00093B7F"/>
    <w:rsid w:val="00093CA3"/>
    <w:rsid w:val="00093E4A"/>
    <w:rsid w:val="000947FE"/>
    <w:rsid w:val="00095325"/>
    <w:rsid w:val="0009568E"/>
    <w:rsid w:val="000967DC"/>
    <w:rsid w:val="000967ED"/>
    <w:rsid w:val="0009687D"/>
    <w:rsid w:val="000975B5"/>
    <w:rsid w:val="00097F6F"/>
    <w:rsid w:val="000A1B55"/>
    <w:rsid w:val="000A1C31"/>
    <w:rsid w:val="000A264C"/>
    <w:rsid w:val="000A37AB"/>
    <w:rsid w:val="000A3B6E"/>
    <w:rsid w:val="000A47C8"/>
    <w:rsid w:val="000A4A12"/>
    <w:rsid w:val="000A4A1B"/>
    <w:rsid w:val="000A4CC3"/>
    <w:rsid w:val="000A53E4"/>
    <w:rsid w:val="000A570E"/>
    <w:rsid w:val="000A5760"/>
    <w:rsid w:val="000A6CB7"/>
    <w:rsid w:val="000A7172"/>
    <w:rsid w:val="000A71B5"/>
    <w:rsid w:val="000A7241"/>
    <w:rsid w:val="000A77AC"/>
    <w:rsid w:val="000A7A80"/>
    <w:rsid w:val="000A7C66"/>
    <w:rsid w:val="000B176A"/>
    <w:rsid w:val="000B28D6"/>
    <w:rsid w:val="000B28F8"/>
    <w:rsid w:val="000B2BB4"/>
    <w:rsid w:val="000B31AF"/>
    <w:rsid w:val="000B3E56"/>
    <w:rsid w:val="000B42C3"/>
    <w:rsid w:val="000B5C03"/>
    <w:rsid w:val="000B7BDE"/>
    <w:rsid w:val="000C0DF9"/>
    <w:rsid w:val="000C0FE7"/>
    <w:rsid w:val="000C16AF"/>
    <w:rsid w:val="000C1B17"/>
    <w:rsid w:val="000C4F53"/>
    <w:rsid w:val="000C568E"/>
    <w:rsid w:val="000C6A6A"/>
    <w:rsid w:val="000C7223"/>
    <w:rsid w:val="000D17EE"/>
    <w:rsid w:val="000D2215"/>
    <w:rsid w:val="000D27E1"/>
    <w:rsid w:val="000D2B87"/>
    <w:rsid w:val="000D2CE7"/>
    <w:rsid w:val="000D2DCB"/>
    <w:rsid w:val="000D465E"/>
    <w:rsid w:val="000D5156"/>
    <w:rsid w:val="000E00EF"/>
    <w:rsid w:val="000E0388"/>
    <w:rsid w:val="000E0925"/>
    <w:rsid w:val="000E0AB7"/>
    <w:rsid w:val="000E1375"/>
    <w:rsid w:val="000E197A"/>
    <w:rsid w:val="000E1C21"/>
    <w:rsid w:val="000E23BB"/>
    <w:rsid w:val="000E3BAF"/>
    <w:rsid w:val="000E4157"/>
    <w:rsid w:val="000E49EF"/>
    <w:rsid w:val="000E60BF"/>
    <w:rsid w:val="000E6889"/>
    <w:rsid w:val="000E69D3"/>
    <w:rsid w:val="000F0256"/>
    <w:rsid w:val="000F0C18"/>
    <w:rsid w:val="000F159D"/>
    <w:rsid w:val="000F2337"/>
    <w:rsid w:val="000F4307"/>
    <w:rsid w:val="000F49A6"/>
    <w:rsid w:val="000F4C5C"/>
    <w:rsid w:val="000F4E52"/>
    <w:rsid w:val="000F55B9"/>
    <w:rsid w:val="000F727C"/>
    <w:rsid w:val="000F7AC3"/>
    <w:rsid w:val="00103766"/>
    <w:rsid w:val="001042FC"/>
    <w:rsid w:val="0010450C"/>
    <w:rsid w:val="00105401"/>
    <w:rsid w:val="00105643"/>
    <w:rsid w:val="001060ED"/>
    <w:rsid w:val="00106897"/>
    <w:rsid w:val="00106966"/>
    <w:rsid w:val="001108E7"/>
    <w:rsid w:val="001109F8"/>
    <w:rsid w:val="001127A5"/>
    <w:rsid w:val="001143D4"/>
    <w:rsid w:val="001148FE"/>
    <w:rsid w:val="00116B71"/>
    <w:rsid w:val="00116C5C"/>
    <w:rsid w:val="001177F2"/>
    <w:rsid w:val="001205A2"/>
    <w:rsid w:val="00121172"/>
    <w:rsid w:val="001219C8"/>
    <w:rsid w:val="00122CEA"/>
    <w:rsid w:val="001231F1"/>
    <w:rsid w:val="001238DA"/>
    <w:rsid w:val="00123A58"/>
    <w:rsid w:val="00123C66"/>
    <w:rsid w:val="00123ED8"/>
    <w:rsid w:val="00126435"/>
    <w:rsid w:val="00130842"/>
    <w:rsid w:val="00130CF6"/>
    <w:rsid w:val="001311C1"/>
    <w:rsid w:val="001319FC"/>
    <w:rsid w:val="00131E46"/>
    <w:rsid w:val="00132242"/>
    <w:rsid w:val="00132E81"/>
    <w:rsid w:val="00132F19"/>
    <w:rsid w:val="00133059"/>
    <w:rsid w:val="001334AF"/>
    <w:rsid w:val="00133A07"/>
    <w:rsid w:val="00134052"/>
    <w:rsid w:val="0013406E"/>
    <w:rsid w:val="00136B9F"/>
    <w:rsid w:val="00137F3B"/>
    <w:rsid w:val="001400F2"/>
    <w:rsid w:val="001407C6"/>
    <w:rsid w:val="00141183"/>
    <w:rsid w:val="00143527"/>
    <w:rsid w:val="00144014"/>
    <w:rsid w:val="00144969"/>
    <w:rsid w:val="0014510F"/>
    <w:rsid w:val="00145F7B"/>
    <w:rsid w:val="001460EB"/>
    <w:rsid w:val="00146B9E"/>
    <w:rsid w:val="00146CD7"/>
    <w:rsid w:val="00150387"/>
    <w:rsid w:val="00150BC3"/>
    <w:rsid w:val="00151180"/>
    <w:rsid w:val="0015179B"/>
    <w:rsid w:val="0015292D"/>
    <w:rsid w:val="00153C23"/>
    <w:rsid w:val="00154056"/>
    <w:rsid w:val="001547D4"/>
    <w:rsid w:val="00154E48"/>
    <w:rsid w:val="00156AE6"/>
    <w:rsid w:val="00156BB4"/>
    <w:rsid w:val="00157638"/>
    <w:rsid w:val="00160694"/>
    <w:rsid w:val="00160743"/>
    <w:rsid w:val="001609D0"/>
    <w:rsid w:val="00161A4F"/>
    <w:rsid w:val="00161AFC"/>
    <w:rsid w:val="00161C65"/>
    <w:rsid w:val="00162607"/>
    <w:rsid w:val="00163105"/>
    <w:rsid w:val="001632AB"/>
    <w:rsid w:val="00163451"/>
    <w:rsid w:val="00164567"/>
    <w:rsid w:val="001647F1"/>
    <w:rsid w:val="00164C3B"/>
    <w:rsid w:val="00164F5D"/>
    <w:rsid w:val="00166DB4"/>
    <w:rsid w:val="001671E2"/>
    <w:rsid w:val="00167885"/>
    <w:rsid w:val="0017023B"/>
    <w:rsid w:val="001702CC"/>
    <w:rsid w:val="00171D59"/>
    <w:rsid w:val="00171F10"/>
    <w:rsid w:val="001725C7"/>
    <w:rsid w:val="00172643"/>
    <w:rsid w:val="001735CE"/>
    <w:rsid w:val="00173F09"/>
    <w:rsid w:val="00174859"/>
    <w:rsid w:val="0017750A"/>
    <w:rsid w:val="0017769D"/>
    <w:rsid w:val="0018033D"/>
    <w:rsid w:val="00181AE6"/>
    <w:rsid w:val="00181F5E"/>
    <w:rsid w:val="00182537"/>
    <w:rsid w:val="00182FED"/>
    <w:rsid w:val="001831E1"/>
    <w:rsid w:val="0018389D"/>
    <w:rsid w:val="00183E67"/>
    <w:rsid w:val="001842AC"/>
    <w:rsid w:val="001849F0"/>
    <w:rsid w:val="00184DC6"/>
    <w:rsid w:val="00185182"/>
    <w:rsid w:val="00186638"/>
    <w:rsid w:val="00187F53"/>
    <w:rsid w:val="001904F0"/>
    <w:rsid w:val="001907EA"/>
    <w:rsid w:val="00190B74"/>
    <w:rsid w:val="00190CBB"/>
    <w:rsid w:val="001917DD"/>
    <w:rsid w:val="001924F9"/>
    <w:rsid w:val="00192C3F"/>
    <w:rsid w:val="001933B1"/>
    <w:rsid w:val="00194F7F"/>
    <w:rsid w:val="001A122B"/>
    <w:rsid w:val="001A1639"/>
    <w:rsid w:val="001A1D32"/>
    <w:rsid w:val="001A3554"/>
    <w:rsid w:val="001A3880"/>
    <w:rsid w:val="001A4080"/>
    <w:rsid w:val="001A41F5"/>
    <w:rsid w:val="001A49C1"/>
    <w:rsid w:val="001A5597"/>
    <w:rsid w:val="001A56F1"/>
    <w:rsid w:val="001A61B8"/>
    <w:rsid w:val="001A6572"/>
    <w:rsid w:val="001A71F3"/>
    <w:rsid w:val="001A7EF8"/>
    <w:rsid w:val="001B003E"/>
    <w:rsid w:val="001B03DF"/>
    <w:rsid w:val="001B09A6"/>
    <w:rsid w:val="001B133E"/>
    <w:rsid w:val="001B15EE"/>
    <w:rsid w:val="001B188D"/>
    <w:rsid w:val="001B26AD"/>
    <w:rsid w:val="001B31A6"/>
    <w:rsid w:val="001B468C"/>
    <w:rsid w:val="001B4828"/>
    <w:rsid w:val="001B4A2D"/>
    <w:rsid w:val="001B5E9F"/>
    <w:rsid w:val="001B65D9"/>
    <w:rsid w:val="001B76CF"/>
    <w:rsid w:val="001B7DC8"/>
    <w:rsid w:val="001B7E17"/>
    <w:rsid w:val="001C0E4D"/>
    <w:rsid w:val="001C0F12"/>
    <w:rsid w:val="001C15B2"/>
    <w:rsid w:val="001C212F"/>
    <w:rsid w:val="001C2F67"/>
    <w:rsid w:val="001C4A64"/>
    <w:rsid w:val="001C5D9F"/>
    <w:rsid w:val="001D07D3"/>
    <w:rsid w:val="001D0CF0"/>
    <w:rsid w:val="001D15ED"/>
    <w:rsid w:val="001D4A0E"/>
    <w:rsid w:val="001D5A83"/>
    <w:rsid w:val="001D5A85"/>
    <w:rsid w:val="001D5B9B"/>
    <w:rsid w:val="001D606A"/>
    <w:rsid w:val="001D6163"/>
    <w:rsid w:val="001D6C51"/>
    <w:rsid w:val="001D6D1B"/>
    <w:rsid w:val="001D6E2A"/>
    <w:rsid w:val="001D7E6D"/>
    <w:rsid w:val="001E0267"/>
    <w:rsid w:val="001E0537"/>
    <w:rsid w:val="001E0917"/>
    <w:rsid w:val="001E13C6"/>
    <w:rsid w:val="001E1532"/>
    <w:rsid w:val="001E165E"/>
    <w:rsid w:val="001E2683"/>
    <w:rsid w:val="001E3532"/>
    <w:rsid w:val="001E3A41"/>
    <w:rsid w:val="001E50C9"/>
    <w:rsid w:val="001E5D49"/>
    <w:rsid w:val="001E6288"/>
    <w:rsid w:val="001E74E1"/>
    <w:rsid w:val="001E777E"/>
    <w:rsid w:val="001F02D8"/>
    <w:rsid w:val="001F1117"/>
    <w:rsid w:val="001F2480"/>
    <w:rsid w:val="001F2A45"/>
    <w:rsid w:val="001F43BE"/>
    <w:rsid w:val="001F4CF2"/>
    <w:rsid w:val="001F501F"/>
    <w:rsid w:val="001F561C"/>
    <w:rsid w:val="001F57B9"/>
    <w:rsid w:val="001F58F2"/>
    <w:rsid w:val="001F5A81"/>
    <w:rsid w:val="001F637F"/>
    <w:rsid w:val="001F7A47"/>
    <w:rsid w:val="001F7AC5"/>
    <w:rsid w:val="00200499"/>
    <w:rsid w:val="002009FC"/>
    <w:rsid w:val="00200F3C"/>
    <w:rsid w:val="00203689"/>
    <w:rsid w:val="00204EF9"/>
    <w:rsid w:val="0020793C"/>
    <w:rsid w:val="00207C79"/>
    <w:rsid w:val="00210833"/>
    <w:rsid w:val="00210E03"/>
    <w:rsid w:val="002110CD"/>
    <w:rsid w:val="002118B5"/>
    <w:rsid w:val="00211F4A"/>
    <w:rsid w:val="00212268"/>
    <w:rsid w:val="00213574"/>
    <w:rsid w:val="002139B1"/>
    <w:rsid w:val="00213AF9"/>
    <w:rsid w:val="00213EF3"/>
    <w:rsid w:val="00214A70"/>
    <w:rsid w:val="00215C12"/>
    <w:rsid w:val="00216B17"/>
    <w:rsid w:val="00216D2D"/>
    <w:rsid w:val="00220713"/>
    <w:rsid w:val="002209BF"/>
    <w:rsid w:val="0022129C"/>
    <w:rsid w:val="00221746"/>
    <w:rsid w:val="00222506"/>
    <w:rsid w:val="0022286A"/>
    <w:rsid w:val="00222A87"/>
    <w:rsid w:val="00222F83"/>
    <w:rsid w:val="002230FE"/>
    <w:rsid w:val="0022325F"/>
    <w:rsid w:val="00223DC7"/>
    <w:rsid w:val="00224C8B"/>
    <w:rsid w:val="002255D3"/>
    <w:rsid w:val="0022583F"/>
    <w:rsid w:val="00226142"/>
    <w:rsid w:val="00226262"/>
    <w:rsid w:val="00226796"/>
    <w:rsid w:val="002267CC"/>
    <w:rsid w:val="00226D9E"/>
    <w:rsid w:val="002272FE"/>
    <w:rsid w:val="002275E8"/>
    <w:rsid w:val="00227C74"/>
    <w:rsid w:val="0023097A"/>
    <w:rsid w:val="00231ECD"/>
    <w:rsid w:val="002327A5"/>
    <w:rsid w:val="00232C16"/>
    <w:rsid w:val="002336ED"/>
    <w:rsid w:val="0023374B"/>
    <w:rsid w:val="002348BA"/>
    <w:rsid w:val="00234BAF"/>
    <w:rsid w:val="00236CD4"/>
    <w:rsid w:val="00237BF5"/>
    <w:rsid w:val="0024175D"/>
    <w:rsid w:val="00242A14"/>
    <w:rsid w:val="00243781"/>
    <w:rsid w:val="002439D8"/>
    <w:rsid w:val="00243C27"/>
    <w:rsid w:val="00243EE6"/>
    <w:rsid w:val="00243FE7"/>
    <w:rsid w:val="00244390"/>
    <w:rsid w:val="00244418"/>
    <w:rsid w:val="002465EB"/>
    <w:rsid w:val="002473B3"/>
    <w:rsid w:val="00250201"/>
    <w:rsid w:val="002502DF"/>
    <w:rsid w:val="00250C4D"/>
    <w:rsid w:val="00251073"/>
    <w:rsid w:val="0025199F"/>
    <w:rsid w:val="00251C52"/>
    <w:rsid w:val="0025250E"/>
    <w:rsid w:val="00252B31"/>
    <w:rsid w:val="002545FB"/>
    <w:rsid w:val="0025510C"/>
    <w:rsid w:val="0025598A"/>
    <w:rsid w:val="00255D8B"/>
    <w:rsid w:val="0025668E"/>
    <w:rsid w:val="002613C3"/>
    <w:rsid w:val="00261A0A"/>
    <w:rsid w:val="00262E49"/>
    <w:rsid w:val="00263F33"/>
    <w:rsid w:val="00264004"/>
    <w:rsid w:val="00264E0C"/>
    <w:rsid w:val="00265364"/>
    <w:rsid w:val="00265B1B"/>
    <w:rsid w:val="00266DE0"/>
    <w:rsid w:val="00270362"/>
    <w:rsid w:val="002703AD"/>
    <w:rsid w:val="002715DE"/>
    <w:rsid w:val="00271D48"/>
    <w:rsid w:val="0027218E"/>
    <w:rsid w:val="0027239A"/>
    <w:rsid w:val="0027406A"/>
    <w:rsid w:val="00274FE6"/>
    <w:rsid w:val="002754C0"/>
    <w:rsid w:val="002755F3"/>
    <w:rsid w:val="00275AD9"/>
    <w:rsid w:val="00275D52"/>
    <w:rsid w:val="00276DE9"/>
    <w:rsid w:val="00277EA8"/>
    <w:rsid w:val="00280333"/>
    <w:rsid w:val="0028170D"/>
    <w:rsid w:val="00281758"/>
    <w:rsid w:val="002839D0"/>
    <w:rsid w:val="00285463"/>
    <w:rsid w:val="002857FB"/>
    <w:rsid w:val="00285B6F"/>
    <w:rsid w:val="00286609"/>
    <w:rsid w:val="00286BE8"/>
    <w:rsid w:val="00286D87"/>
    <w:rsid w:val="00287991"/>
    <w:rsid w:val="00287D59"/>
    <w:rsid w:val="00291FDD"/>
    <w:rsid w:val="00292737"/>
    <w:rsid w:val="002938DE"/>
    <w:rsid w:val="00293ED8"/>
    <w:rsid w:val="00294BE4"/>
    <w:rsid w:val="00295357"/>
    <w:rsid w:val="00295CC1"/>
    <w:rsid w:val="002965A0"/>
    <w:rsid w:val="00296CAB"/>
    <w:rsid w:val="002A0297"/>
    <w:rsid w:val="002A057C"/>
    <w:rsid w:val="002A0D8A"/>
    <w:rsid w:val="002A11AF"/>
    <w:rsid w:val="002A166E"/>
    <w:rsid w:val="002A1775"/>
    <w:rsid w:val="002A1B50"/>
    <w:rsid w:val="002A35D4"/>
    <w:rsid w:val="002A4058"/>
    <w:rsid w:val="002A4406"/>
    <w:rsid w:val="002A472A"/>
    <w:rsid w:val="002A4AC4"/>
    <w:rsid w:val="002A5B7E"/>
    <w:rsid w:val="002A6C54"/>
    <w:rsid w:val="002A6DC8"/>
    <w:rsid w:val="002A7260"/>
    <w:rsid w:val="002A77B6"/>
    <w:rsid w:val="002A79C6"/>
    <w:rsid w:val="002B03AE"/>
    <w:rsid w:val="002B0FC8"/>
    <w:rsid w:val="002B1293"/>
    <w:rsid w:val="002B339A"/>
    <w:rsid w:val="002B394E"/>
    <w:rsid w:val="002B4DF5"/>
    <w:rsid w:val="002B5795"/>
    <w:rsid w:val="002B6AF9"/>
    <w:rsid w:val="002B6B5D"/>
    <w:rsid w:val="002B6B5F"/>
    <w:rsid w:val="002C00EC"/>
    <w:rsid w:val="002C113E"/>
    <w:rsid w:val="002C19D8"/>
    <w:rsid w:val="002C422F"/>
    <w:rsid w:val="002C46F8"/>
    <w:rsid w:val="002C582E"/>
    <w:rsid w:val="002C5C6B"/>
    <w:rsid w:val="002C6829"/>
    <w:rsid w:val="002C6D47"/>
    <w:rsid w:val="002C7BB9"/>
    <w:rsid w:val="002D0353"/>
    <w:rsid w:val="002D0D4F"/>
    <w:rsid w:val="002D1BCA"/>
    <w:rsid w:val="002D1CB0"/>
    <w:rsid w:val="002D1D50"/>
    <w:rsid w:val="002D2E4B"/>
    <w:rsid w:val="002D3A50"/>
    <w:rsid w:val="002D3F29"/>
    <w:rsid w:val="002D508C"/>
    <w:rsid w:val="002D528B"/>
    <w:rsid w:val="002D58BE"/>
    <w:rsid w:val="002D5CCB"/>
    <w:rsid w:val="002D5FBA"/>
    <w:rsid w:val="002D6389"/>
    <w:rsid w:val="002D6DBD"/>
    <w:rsid w:val="002D6F2C"/>
    <w:rsid w:val="002D7085"/>
    <w:rsid w:val="002D7E0F"/>
    <w:rsid w:val="002E09A1"/>
    <w:rsid w:val="002E191C"/>
    <w:rsid w:val="002E1C88"/>
    <w:rsid w:val="002E3ED5"/>
    <w:rsid w:val="002E3F64"/>
    <w:rsid w:val="002E4E73"/>
    <w:rsid w:val="002E666D"/>
    <w:rsid w:val="002F043E"/>
    <w:rsid w:val="002F054D"/>
    <w:rsid w:val="002F0D61"/>
    <w:rsid w:val="002F0DDB"/>
    <w:rsid w:val="002F1B4B"/>
    <w:rsid w:val="002F7C7D"/>
    <w:rsid w:val="00300F8B"/>
    <w:rsid w:val="003019B3"/>
    <w:rsid w:val="0030206F"/>
    <w:rsid w:val="00302298"/>
    <w:rsid w:val="00303059"/>
    <w:rsid w:val="003037F2"/>
    <w:rsid w:val="003048E6"/>
    <w:rsid w:val="003059D5"/>
    <w:rsid w:val="00305D59"/>
    <w:rsid w:val="00307257"/>
    <w:rsid w:val="00307328"/>
    <w:rsid w:val="003079EA"/>
    <w:rsid w:val="00310449"/>
    <w:rsid w:val="00310599"/>
    <w:rsid w:val="00310872"/>
    <w:rsid w:val="00312DD7"/>
    <w:rsid w:val="00313B9D"/>
    <w:rsid w:val="00314812"/>
    <w:rsid w:val="00316209"/>
    <w:rsid w:val="00317096"/>
    <w:rsid w:val="0032006D"/>
    <w:rsid w:val="00323217"/>
    <w:rsid w:val="00325A71"/>
    <w:rsid w:val="00325EE0"/>
    <w:rsid w:val="003272BF"/>
    <w:rsid w:val="00327541"/>
    <w:rsid w:val="003305CE"/>
    <w:rsid w:val="003315BA"/>
    <w:rsid w:val="0033189E"/>
    <w:rsid w:val="00332BA3"/>
    <w:rsid w:val="00332E4F"/>
    <w:rsid w:val="00334D93"/>
    <w:rsid w:val="00335AE8"/>
    <w:rsid w:val="00335CAA"/>
    <w:rsid w:val="0033701D"/>
    <w:rsid w:val="00340084"/>
    <w:rsid w:val="00340362"/>
    <w:rsid w:val="003405A1"/>
    <w:rsid w:val="00340F8B"/>
    <w:rsid w:val="003411C2"/>
    <w:rsid w:val="00342689"/>
    <w:rsid w:val="00344DDD"/>
    <w:rsid w:val="0034538C"/>
    <w:rsid w:val="003453E6"/>
    <w:rsid w:val="0034637C"/>
    <w:rsid w:val="003465C5"/>
    <w:rsid w:val="00346939"/>
    <w:rsid w:val="00346E19"/>
    <w:rsid w:val="00347D6C"/>
    <w:rsid w:val="0035115E"/>
    <w:rsid w:val="00351431"/>
    <w:rsid w:val="003518E1"/>
    <w:rsid w:val="00351C35"/>
    <w:rsid w:val="00352310"/>
    <w:rsid w:val="0035281C"/>
    <w:rsid w:val="00353BFB"/>
    <w:rsid w:val="00353EB8"/>
    <w:rsid w:val="00354140"/>
    <w:rsid w:val="00355A9E"/>
    <w:rsid w:val="0035615F"/>
    <w:rsid w:val="00357669"/>
    <w:rsid w:val="0035785F"/>
    <w:rsid w:val="00360D51"/>
    <w:rsid w:val="003612CA"/>
    <w:rsid w:val="00361788"/>
    <w:rsid w:val="00361985"/>
    <w:rsid w:val="00362B42"/>
    <w:rsid w:val="00362CD6"/>
    <w:rsid w:val="00363011"/>
    <w:rsid w:val="00363C5A"/>
    <w:rsid w:val="00363E2B"/>
    <w:rsid w:val="00363EA3"/>
    <w:rsid w:val="0036580A"/>
    <w:rsid w:val="003662AC"/>
    <w:rsid w:val="00366ABE"/>
    <w:rsid w:val="003676A0"/>
    <w:rsid w:val="00367EA8"/>
    <w:rsid w:val="00370986"/>
    <w:rsid w:val="00370BF0"/>
    <w:rsid w:val="00370EDA"/>
    <w:rsid w:val="00371A0F"/>
    <w:rsid w:val="00371EDD"/>
    <w:rsid w:val="00371FB0"/>
    <w:rsid w:val="00372D26"/>
    <w:rsid w:val="0037348F"/>
    <w:rsid w:val="003736FE"/>
    <w:rsid w:val="00373AF1"/>
    <w:rsid w:val="003740D8"/>
    <w:rsid w:val="003749B6"/>
    <w:rsid w:val="00374ABC"/>
    <w:rsid w:val="003757D1"/>
    <w:rsid w:val="00375B14"/>
    <w:rsid w:val="00375F5D"/>
    <w:rsid w:val="0037775A"/>
    <w:rsid w:val="00381BCD"/>
    <w:rsid w:val="00382480"/>
    <w:rsid w:val="003849CB"/>
    <w:rsid w:val="003865D6"/>
    <w:rsid w:val="003868FC"/>
    <w:rsid w:val="003875F2"/>
    <w:rsid w:val="00387791"/>
    <w:rsid w:val="003878E3"/>
    <w:rsid w:val="00387B5C"/>
    <w:rsid w:val="00391D6E"/>
    <w:rsid w:val="003923C7"/>
    <w:rsid w:val="00393191"/>
    <w:rsid w:val="003935BA"/>
    <w:rsid w:val="00395058"/>
    <w:rsid w:val="003957FF"/>
    <w:rsid w:val="00395A80"/>
    <w:rsid w:val="00395D1F"/>
    <w:rsid w:val="00396AF5"/>
    <w:rsid w:val="0039781D"/>
    <w:rsid w:val="00397D07"/>
    <w:rsid w:val="00397D61"/>
    <w:rsid w:val="003A14B5"/>
    <w:rsid w:val="003A35F6"/>
    <w:rsid w:val="003A3D4E"/>
    <w:rsid w:val="003A48C7"/>
    <w:rsid w:val="003A6B25"/>
    <w:rsid w:val="003A7344"/>
    <w:rsid w:val="003A73F6"/>
    <w:rsid w:val="003A749B"/>
    <w:rsid w:val="003B0C80"/>
    <w:rsid w:val="003B167E"/>
    <w:rsid w:val="003B188D"/>
    <w:rsid w:val="003B1C2A"/>
    <w:rsid w:val="003B1D2A"/>
    <w:rsid w:val="003B3188"/>
    <w:rsid w:val="003B34F5"/>
    <w:rsid w:val="003B45DF"/>
    <w:rsid w:val="003B55A6"/>
    <w:rsid w:val="003B61B3"/>
    <w:rsid w:val="003B6608"/>
    <w:rsid w:val="003B75EB"/>
    <w:rsid w:val="003B7ABD"/>
    <w:rsid w:val="003C069D"/>
    <w:rsid w:val="003C0F33"/>
    <w:rsid w:val="003C14F1"/>
    <w:rsid w:val="003C2BBC"/>
    <w:rsid w:val="003C2ED5"/>
    <w:rsid w:val="003C4B9E"/>
    <w:rsid w:val="003C4BDE"/>
    <w:rsid w:val="003C58E7"/>
    <w:rsid w:val="003C6A26"/>
    <w:rsid w:val="003C7E5E"/>
    <w:rsid w:val="003D06C5"/>
    <w:rsid w:val="003D09F2"/>
    <w:rsid w:val="003D3565"/>
    <w:rsid w:val="003D45AA"/>
    <w:rsid w:val="003D51BF"/>
    <w:rsid w:val="003D56C7"/>
    <w:rsid w:val="003D5751"/>
    <w:rsid w:val="003D643F"/>
    <w:rsid w:val="003D7955"/>
    <w:rsid w:val="003E1359"/>
    <w:rsid w:val="003E2C1D"/>
    <w:rsid w:val="003E3A66"/>
    <w:rsid w:val="003E3BC8"/>
    <w:rsid w:val="003E48F2"/>
    <w:rsid w:val="003E4A43"/>
    <w:rsid w:val="003E64B8"/>
    <w:rsid w:val="003E696D"/>
    <w:rsid w:val="003F0759"/>
    <w:rsid w:val="003F271A"/>
    <w:rsid w:val="003F2A2C"/>
    <w:rsid w:val="003F2E4C"/>
    <w:rsid w:val="003F3051"/>
    <w:rsid w:val="003F3B88"/>
    <w:rsid w:val="003F4608"/>
    <w:rsid w:val="003F4A24"/>
    <w:rsid w:val="003F5B33"/>
    <w:rsid w:val="003F7409"/>
    <w:rsid w:val="004003E4"/>
    <w:rsid w:val="00400FEE"/>
    <w:rsid w:val="004026DD"/>
    <w:rsid w:val="004027FD"/>
    <w:rsid w:val="00404649"/>
    <w:rsid w:val="00404C5B"/>
    <w:rsid w:val="00406204"/>
    <w:rsid w:val="00406728"/>
    <w:rsid w:val="00406B7D"/>
    <w:rsid w:val="00406EB2"/>
    <w:rsid w:val="00410112"/>
    <w:rsid w:val="00410921"/>
    <w:rsid w:val="00411CD3"/>
    <w:rsid w:val="004141B6"/>
    <w:rsid w:val="00414C4E"/>
    <w:rsid w:val="00417355"/>
    <w:rsid w:val="0042077D"/>
    <w:rsid w:val="00421465"/>
    <w:rsid w:val="00421FF7"/>
    <w:rsid w:val="004221A9"/>
    <w:rsid w:val="00422245"/>
    <w:rsid w:val="0042291D"/>
    <w:rsid w:val="00422C5B"/>
    <w:rsid w:val="00422D46"/>
    <w:rsid w:val="00423E22"/>
    <w:rsid w:val="00424FFC"/>
    <w:rsid w:val="00425005"/>
    <w:rsid w:val="004278CA"/>
    <w:rsid w:val="004300DB"/>
    <w:rsid w:val="004301C7"/>
    <w:rsid w:val="00431259"/>
    <w:rsid w:val="00432888"/>
    <w:rsid w:val="00432C70"/>
    <w:rsid w:val="00432DBF"/>
    <w:rsid w:val="004332DE"/>
    <w:rsid w:val="0043373B"/>
    <w:rsid w:val="004345C6"/>
    <w:rsid w:val="00435099"/>
    <w:rsid w:val="0043542C"/>
    <w:rsid w:val="0043570D"/>
    <w:rsid w:val="00435FC9"/>
    <w:rsid w:val="004365DD"/>
    <w:rsid w:val="00437169"/>
    <w:rsid w:val="00437455"/>
    <w:rsid w:val="0044094B"/>
    <w:rsid w:val="00440F18"/>
    <w:rsid w:val="00441234"/>
    <w:rsid w:val="00441DCC"/>
    <w:rsid w:val="00442143"/>
    <w:rsid w:val="00443164"/>
    <w:rsid w:val="00443254"/>
    <w:rsid w:val="00444CBE"/>
    <w:rsid w:val="004461CE"/>
    <w:rsid w:val="004466CB"/>
    <w:rsid w:val="004470E4"/>
    <w:rsid w:val="0044778D"/>
    <w:rsid w:val="0045117D"/>
    <w:rsid w:val="00451DAE"/>
    <w:rsid w:val="00451F68"/>
    <w:rsid w:val="0045217C"/>
    <w:rsid w:val="0045321F"/>
    <w:rsid w:val="004539F8"/>
    <w:rsid w:val="00453A6B"/>
    <w:rsid w:val="00454442"/>
    <w:rsid w:val="00455103"/>
    <w:rsid w:val="00455913"/>
    <w:rsid w:val="00455A67"/>
    <w:rsid w:val="00455AD0"/>
    <w:rsid w:val="00455E4E"/>
    <w:rsid w:val="004568EA"/>
    <w:rsid w:val="00456CDB"/>
    <w:rsid w:val="004612FD"/>
    <w:rsid w:val="00462FB2"/>
    <w:rsid w:val="00463B94"/>
    <w:rsid w:val="00463FD9"/>
    <w:rsid w:val="004640ED"/>
    <w:rsid w:val="00464C63"/>
    <w:rsid w:val="0046507B"/>
    <w:rsid w:val="00465399"/>
    <w:rsid w:val="00465766"/>
    <w:rsid w:val="00467023"/>
    <w:rsid w:val="0047023A"/>
    <w:rsid w:val="00471990"/>
    <w:rsid w:val="00472604"/>
    <w:rsid w:val="00473039"/>
    <w:rsid w:val="0047516B"/>
    <w:rsid w:val="00475DFF"/>
    <w:rsid w:val="0047605B"/>
    <w:rsid w:val="004770E8"/>
    <w:rsid w:val="0048043E"/>
    <w:rsid w:val="00480B42"/>
    <w:rsid w:val="00480E54"/>
    <w:rsid w:val="00480F72"/>
    <w:rsid w:val="00482527"/>
    <w:rsid w:val="00483083"/>
    <w:rsid w:val="00483D97"/>
    <w:rsid w:val="00484718"/>
    <w:rsid w:val="00485E85"/>
    <w:rsid w:val="0048635C"/>
    <w:rsid w:val="00486FAB"/>
    <w:rsid w:val="004875AB"/>
    <w:rsid w:val="004879CC"/>
    <w:rsid w:val="00487EED"/>
    <w:rsid w:val="00490104"/>
    <w:rsid w:val="00490173"/>
    <w:rsid w:val="00492698"/>
    <w:rsid w:val="00493E98"/>
    <w:rsid w:val="00495300"/>
    <w:rsid w:val="00495C08"/>
    <w:rsid w:val="004960BB"/>
    <w:rsid w:val="004A009C"/>
    <w:rsid w:val="004A108F"/>
    <w:rsid w:val="004A10AF"/>
    <w:rsid w:val="004A154F"/>
    <w:rsid w:val="004A2356"/>
    <w:rsid w:val="004A3D29"/>
    <w:rsid w:val="004A40D2"/>
    <w:rsid w:val="004A4999"/>
    <w:rsid w:val="004A5201"/>
    <w:rsid w:val="004A5299"/>
    <w:rsid w:val="004A65E6"/>
    <w:rsid w:val="004A7CB0"/>
    <w:rsid w:val="004A7E8C"/>
    <w:rsid w:val="004B06B2"/>
    <w:rsid w:val="004B1067"/>
    <w:rsid w:val="004B4009"/>
    <w:rsid w:val="004B409B"/>
    <w:rsid w:val="004B5593"/>
    <w:rsid w:val="004B5954"/>
    <w:rsid w:val="004B5C53"/>
    <w:rsid w:val="004B5F55"/>
    <w:rsid w:val="004B722A"/>
    <w:rsid w:val="004C0F1A"/>
    <w:rsid w:val="004C1516"/>
    <w:rsid w:val="004C1A60"/>
    <w:rsid w:val="004C1C05"/>
    <w:rsid w:val="004C4707"/>
    <w:rsid w:val="004C4789"/>
    <w:rsid w:val="004C4B02"/>
    <w:rsid w:val="004C5EC9"/>
    <w:rsid w:val="004C641E"/>
    <w:rsid w:val="004C6626"/>
    <w:rsid w:val="004C6A07"/>
    <w:rsid w:val="004C6F37"/>
    <w:rsid w:val="004C7454"/>
    <w:rsid w:val="004D1C9A"/>
    <w:rsid w:val="004D2367"/>
    <w:rsid w:val="004D35AF"/>
    <w:rsid w:val="004D39ED"/>
    <w:rsid w:val="004D4086"/>
    <w:rsid w:val="004D4534"/>
    <w:rsid w:val="004D509D"/>
    <w:rsid w:val="004D642A"/>
    <w:rsid w:val="004D7384"/>
    <w:rsid w:val="004D7C22"/>
    <w:rsid w:val="004E0142"/>
    <w:rsid w:val="004E06A2"/>
    <w:rsid w:val="004E1B03"/>
    <w:rsid w:val="004E210D"/>
    <w:rsid w:val="004E25C7"/>
    <w:rsid w:val="004E26F9"/>
    <w:rsid w:val="004E3FDA"/>
    <w:rsid w:val="004E5477"/>
    <w:rsid w:val="004E64CF"/>
    <w:rsid w:val="004F03BF"/>
    <w:rsid w:val="004F0ED3"/>
    <w:rsid w:val="004F1056"/>
    <w:rsid w:val="004F2651"/>
    <w:rsid w:val="004F2840"/>
    <w:rsid w:val="004F31A7"/>
    <w:rsid w:val="004F34A6"/>
    <w:rsid w:val="004F3EC4"/>
    <w:rsid w:val="004F45D9"/>
    <w:rsid w:val="004F47B6"/>
    <w:rsid w:val="004F4D8E"/>
    <w:rsid w:val="004F50C2"/>
    <w:rsid w:val="004F529A"/>
    <w:rsid w:val="004F5411"/>
    <w:rsid w:val="004F56F2"/>
    <w:rsid w:val="004F7473"/>
    <w:rsid w:val="004F74DB"/>
    <w:rsid w:val="004F76D0"/>
    <w:rsid w:val="00500E7E"/>
    <w:rsid w:val="00501CD3"/>
    <w:rsid w:val="0050279E"/>
    <w:rsid w:val="00502C86"/>
    <w:rsid w:val="005031F8"/>
    <w:rsid w:val="00505749"/>
    <w:rsid w:val="00510B36"/>
    <w:rsid w:val="00511E40"/>
    <w:rsid w:val="0051367D"/>
    <w:rsid w:val="00513C29"/>
    <w:rsid w:val="005147E7"/>
    <w:rsid w:val="0051571C"/>
    <w:rsid w:val="00515903"/>
    <w:rsid w:val="005160CF"/>
    <w:rsid w:val="00516115"/>
    <w:rsid w:val="00516B9B"/>
    <w:rsid w:val="00516D00"/>
    <w:rsid w:val="005178D1"/>
    <w:rsid w:val="00521C66"/>
    <w:rsid w:val="00522BF4"/>
    <w:rsid w:val="00522F02"/>
    <w:rsid w:val="00524630"/>
    <w:rsid w:val="0052552C"/>
    <w:rsid w:val="00525A94"/>
    <w:rsid w:val="00530C9D"/>
    <w:rsid w:val="00531F04"/>
    <w:rsid w:val="00532592"/>
    <w:rsid w:val="00532B95"/>
    <w:rsid w:val="00533377"/>
    <w:rsid w:val="00533DEA"/>
    <w:rsid w:val="00534348"/>
    <w:rsid w:val="005358E4"/>
    <w:rsid w:val="00535CCF"/>
    <w:rsid w:val="00536131"/>
    <w:rsid w:val="00537442"/>
    <w:rsid w:val="0053760C"/>
    <w:rsid w:val="005406AA"/>
    <w:rsid w:val="005406DC"/>
    <w:rsid w:val="0054081F"/>
    <w:rsid w:val="00540CAF"/>
    <w:rsid w:val="005415C1"/>
    <w:rsid w:val="00541691"/>
    <w:rsid w:val="005421B5"/>
    <w:rsid w:val="00542B0D"/>
    <w:rsid w:val="00543A99"/>
    <w:rsid w:val="00544227"/>
    <w:rsid w:val="00544789"/>
    <w:rsid w:val="00545204"/>
    <w:rsid w:val="00545924"/>
    <w:rsid w:val="00546042"/>
    <w:rsid w:val="00547C63"/>
    <w:rsid w:val="0055070D"/>
    <w:rsid w:val="00551394"/>
    <w:rsid w:val="00554974"/>
    <w:rsid w:val="005553C3"/>
    <w:rsid w:val="0055592B"/>
    <w:rsid w:val="00555A91"/>
    <w:rsid w:val="00556114"/>
    <w:rsid w:val="0055630B"/>
    <w:rsid w:val="005578AD"/>
    <w:rsid w:val="0056074C"/>
    <w:rsid w:val="005609F1"/>
    <w:rsid w:val="00560F01"/>
    <w:rsid w:val="00561C0E"/>
    <w:rsid w:val="00562F13"/>
    <w:rsid w:val="00564051"/>
    <w:rsid w:val="005656D9"/>
    <w:rsid w:val="00565E17"/>
    <w:rsid w:val="005674A3"/>
    <w:rsid w:val="005677F1"/>
    <w:rsid w:val="0057069E"/>
    <w:rsid w:val="005709A6"/>
    <w:rsid w:val="00570CD3"/>
    <w:rsid w:val="00570DB0"/>
    <w:rsid w:val="005714AB"/>
    <w:rsid w:val="00573875"/>
    <w:rsid w:val="0057399D"/>
    <w:rsid w:val="00573CC9"/>
    <w:rsid w:val="0057479D"/>
    <w:rsid w:val="00576332"/>
    <w:rsid w:val="00576B7B"/>
    <w:rsid w:val="005773F4"/>
    <w:rsid w:val="0057766B"/>
    <w:rsid w:val="00577864"/>
    <w:rsid w:val="005801B9"/>
    <w:rsid w:val="00580835"/>
    <w:rsid w:val="00581180"/>
    <w:rsid w:val="005811E7"/>
    <w:rsid w:val="00582302"/>
    <w:rsid w:val="00583971"/>
    <w:rsid w:val="00585EB1"/>
    <w:rsid w:val="00586B10"/>
    <w:rsid w:val="00586B19"/>
    <w:rsid w:val="00586D5C"/>
    <w:rsid w:val="005870D4"/>
    <w:rsid w:val="00587382"/>
    <w:rsid w:val="005874EB"/>
    <w:rsid w:val="00590348"/>
    <w:rsid w:val="00590742"/>
    <w:rsid w:val="00590A9D"/>
    <w:rsid w:val="00590CB2"/>
    <w:rsid w:val="00591881"/>
    <w:rsid w:val="00591B5D"/>
    <w:rsid w:val="005925D4"/>
    <w:rsid w:val="00592DE7"/>
    <w:rsid w:val="00592EE8"/>
    <w:rsid w:val="00592FB6"/>
    <w:rsid w:val="005931FC"/>
    <w:rsid w:val="0059462E"/>
    <w:rsid w:val="00595492"/>
    <w:rsid w:val="005958A2"/>
    <w:rsid w:val="00596858"/>
    <w:rsid w:val="0059774C"/>
    <w:rsid w:val="005A03D1"/>
    <w:rsid w:val="005A1389"/>
    <w:rsid w:val="005A1493"/>
    <w:rsid w:val="005A1AB9"/>
    <w:rsid w:val="005A33D7"/>
    <w:rsid w:val="005A4488"/>
    <w:rsid w:val="005A4AC5"/>
    <w:rsid w:val="005A5693"/>
    <w:rsid w:val="005A621F"/>
    <w:rsid w:val="005A6F56"/>
    <w:rsid w:val="005B11F5"/>
    <w:rsid w:val="005B12F7"/>
    <w:rsid w:val="005B148A"/>
    <w:rsid w:val="005B2450"/>
    <w:rsid w:val="005B3072"/>
    <w:rsid w:val="005B4F47"/>
    <w:rsid w:val="005B4FAE"/>
    <w:rsid w:val="005B51F4"/>
    <w:rsid w:val="005B528C"/>
    <w:rsid w:val="005B52CF"/>
    <w:rsid w:val="005B68ED"/>
    <w:rsid w:val="005B6F07"/>
    <w:rsid w:val="005B7357"/>
    <w:rsid w:val="005B7F43"/>
    <w:rsid w:val="005C13B7"/>
    <w:rsid w:val="005C234C"/>
    <w:rsid w:val="005C3131"/>
    <w:rsid w:val="005C36CF"/>
    <w:rsid w:val="005C4F2D"/>
    <w:rsid w:val="005C5065"/>
    <w:rsid w:val="005C5245"/>
    <w:rsid w:val="005C533B"/>
    <w:rsid w:val="005C5CC6"/>
    <w:rsid w:val="005C66D2"/>
    <w:rsid w:val="005C683F"/>
    <w:rsid w:val="005C797B"/>
    <w:rsid w:val="005D033A"/>
    <w:rsid w:val="005D0BAA"/>
    <w:rsid w:val="005D27C4"/>
    <w:rsid w:val="005D5114"/>
    <w:rsid w:val="005D6549"/>
    <w:rsid w:val="005D7A90"/>
    <w:rsid w:val="005D7BBA"/>
    <w:rsid w:val="005E015B"/>
    <w:rsid w:val="005E1A9C"/>
    <w:rsid w:val="005E2A44"/>
    <w:rsid w:val="005E55CD"/>
    <w:rsid w:val="005E5DC2"/>
    <w:rsid w:val="005E7420"/>
    <w:rsid w:val="005E78D1"/>
    <w:rsid w:val="005E7920"/>
    <w:rsid w:val="005F0E47"/>
    <w:rsid w:val="005F12C9"/>
    <w:rsid w:val="005F18ED"/>
    <w:rsid w:val="005F1CAD"/>
    <w:rsid w:val="005F2099"/>
    <w:rsid w:val="005F26E1"/>
    <w:rsid w:val="005F30D2"/>
    <w:rsid w:val="005F33EA"/>
    <w:rsid w:val="005F39C8"/>
    <w:rsid w:val="005F4C74"/>
    <w:rsid w:val="005F6920"/>
    <w:rsid w:val="005F6995"/>
    <w:rsid w:val="005F72EB"/>
    <w:rsid w:val="005F794D"/>
    <w:rsid w:val="0060156C"/>
    <w:rsid w:val="00601DCF"/>
    <w:rsid w:val="00601F10"/>
    <w:rsid w:val="006025D0"/>
    <w:rsid w:val="00602794"/>
    <w:rsid w:val="00603CF9"/>
    <w:rsid w:val="006045B4"/>
    <w:rsid w:val="0060525C"/>
    <w:rsid w:val="00606080"/>
    <w:rsid w:val="00607108"/>
    <w:rsid w:val="006074A1"/>
    <w:rsid w:val="00610A5D"/>
    <w:rsid w:val="006115D2"/>
    <w:rsid w:val="0061179F"/>
    <w:rsid w:val="00611A39"/>
    <w:rsid w:val="00613CA4"/>
    <w:rsid w:val="00613F55"/>
    <w:rsid w:val="006147DD"/>
    <w:rsid w:val="00614C2B"/>
    <w:rsid w:val="00615970"/>
    <w:rsid w:val="00615F71"/>
    <w:rsid w:val="0061602C"/>
    <w:rsid w:val="00616A42"/>
    <w:rsid w:val="0061783F"/>
    <w:rsid w:val="006207CA"/>
    <w:rsid w:val="00620AAD"/>
    <w:rsid w:val="00620B30"/>
    <w:rsid w:val="006211C3"/>
    <w:rsid w:val="00621C39"/>
    <w:rsid w:val="00622439"/>
    <w:rsid w:val="00622C43"/>
    <w:rsid w:val="006238E4"/>
    <w:rsid w:val="00623AF6"/>
    <w:rsid w:val="00623CE3"/>
    <w:rsid w:val="00624778"/>
    <w:rsid w:val="006247CB"/>
    <w:rsid w:val="00624966"/>
    <w:rsid w:val="00624EA1"/>
    <w:rsid w:val="00626B0F"/>
    <w:rsid w:val="00626DEA"/>
    <w:rsid w:val="00627BB6"/>
    <w:rsid w:val="00631690"/>
    <w:rsid w:val="006317ED"/>
    <w:rsid w:val="00632940"/>
    <w:rsid w:val="00632BDB"/>
    <w:rsid w:val="00633B8B"/>
    <w:rsid w:val="006354D7"/>
    <w:rsid w:val="006372B3"/>
    <w:rsid w:val="00640077"/>
    <w:rsid w:val="00640E0D"/>
    <w:rsid w:val="00642D5B"/>
    <w:rsid w:val="00642E1E"/>
    <w:rsid w:val="00644BBC"/>
    <w:rsid w:val="00645768"/>
    <w:rsid w:val="00645B4D"/>
    <w:rsid w:val="00645D22"/>
    <w:rsid w:val="00646BC4"/>
    <w:rsid w:val="00647857"/>
    <w:rsid w:val="006500A3"/>
    <w:rsid w:val="0065076B"/>
    <w:rsid w:val="006513F6"/>
    <w:rsid w:val="006518FC"/>
    <w:rsid w:val="00653BCF"/>
    <w:rsid w:val="00653BD0"/>
    <w:rsid w:val="00654E72"/>
    <w:rsid w:val="00654F68"/>
    <w:rsid w:val="006550AD"/>
    <w:rsid w:val="006551D6"/>
    <w:rsid w:val="006558E4"/>
    <w:rsid w:val="00655AB3"/>
    <w:rsid w:val="006565BA"/>
    <w:rsid w:val="006578F0"/>
    <w:rsid w:val="00657A9D"/>
    <w:rsid w:val="00660305"/>
    <w:rsid w:val="00660F33"/>
    <w:rsid w:val="006611BB"/>
    <w:rsid w:val="006613CD"/>
    <w:rsid w:val="00661C96"/>
    <w:rsid w:val="00662778"/>
    <w:rsid w:val="006648A3"/>
    <w:rsid w:val="00665150"/>
    <w:rsid w:val="006654C5"/>
    <w:rsid w:val="006663B1"/>
    <w:rsid w:val="00666F47"/>
    <w:rsid w:val="0066732C"/>
    <w:rsid w:val="00667640"/>
    <w:rsid w:val="00667F89"/>
    <w:rsid w:val="0067007C"/>
    <w:rsid w:val="0067123C"/>
    <w:rsid w:val="006716E7"/>
    <w:rsid w:val="00671C41"/>
    <w:rsid w:val="00672AE8"/>
    <w:rsid w:val="006739B2"/>
    <w:rsid w:val="00674F31"/>
    <w:rsid w:val="0067504D"/>
    <w:rsid w:val="006755DB"/>
    <w:rsid w:val="00676F37"/>
    <w:rsid w:val="006777A9"/>
    <w:rsid w:val="006778FF"/>
    <w:rsid w:val="00680AD0"/>
    <w:rsid w:val="0068132B"/>
    <w:rsid w:val="006821BC"/>
    <w:rsid w:val="00682EDB"/>
    <w:rsid w:val="00683C59"/>
    <w:rsid w:val="00684190"/>
    <w:rsid w:val="00684AB8"/>
    <w:rsid w:val="00684CF3"/>
    <w:rsid w:val="00685979"/>
    <w:rsid w:val="0068678F"/>
    <w:rsid w:val="00687253"/>
    <w:rsid w:val="0068759A"/>
    <w:rsid w:val="00687A7B"/>
    <w:rsid w:val="00687D57"/>
    <w:rsid w:val="00687F08"/>
    <w:rsid w:val="00690C5C"/>
    <w:rsid w:val="0069168B"/>
    <w:rsid w:val="00691A65"/>
    <w:rsid w:val="00691AD7"/>
    <w:rsid w:val="00692471"/>
    <w:rsid w:val="00692A06"/>
    <w:rsid w:val="00692A1A"/>
    <w:rsid w:val="006945F8"/>
    <w:rsid w:val="00695030"/>
    <w:rsid w:val="00695BB3"/>
    <w:rsid w:val="00695C14"/>
    <w:rsid w:val="00695DE4"/>
    <w:rsid w:val="006963AB"/>
    <w:rsid w:val="00696D63"/>
    <w:rsid w:val="006A0057"/>
    <w:rsid w:val="006A00A9"/>
    <w:rsid w:val="006A05C0"/>
    <w:rsid w:val="006A0EA0"/>
    <w:rsid w:val="006A2D99"/>
    <w:rsid w:val="006A33E7"/>
    <w:rsid w:val="006A4ACB"/>
    <w:rsid w:val="006A5760"/>
    <w:rsid w:val="006A57E0"/>
    <w:rsid w:val="006A71CB"/>
    <w:rsid w:val="006A7477"/>
    <w:rsid w:val="006B084E"/>
    <w:rsid w:val="006B0CED"/>
    <w:rsid w:val="006B1E4D"/>
    <w:rsid w:val="006B1EEB"/>
    <w:rsid w:val="006B1F52"/>
    <w:rsid w:val="006B2B5B"/>
    <w:rsid w:val="006B33A3"/>
    <w:rsid w:val="006B4A18"/>
    <w:rsid w:val="006B4F52"/>
    <w:rsid w:val="006B5A5D"/>
    <w:rsid w:val="006B71D6"/>
    <w:rsid w:val="006B72BB"/>
    <w:rsid w:val="006B74D7"/>
    <w:rsid w:val="006B7940"/>
    <w:rsid w:val="006C04DF"/>
    <w:rsid w:val="006C063F"/>
    <w:rsid w:val="006C1746"/>
    <w:rsid w:val="006C27E1"/>
    <w:rsid w:val="006C2E3C"/>
    <w:rsid w:val="006C34C0"/>
    <w:rsid w:val="006C3619"/>
    <w:rsid w:val="006C36C9"/>
    <w:rsid w:val="006C38DC"/>
    <w:rsid w:val="006C4040"/>
    <w:rsid w:val="006C4DBF"/>
    <w:rsid w:val="006C4DC2"/>
    <w:rsid w:val="006C5260"/>
    <w:rsid w:val="006C60C8"/>
    <w:rsid w:val="006C6856"/>
    <w:rsid w:val="006C6EF8"/>
    <w:rsid w:val="006D1133"/>
    <w:rsid w:val="006D2CF1"/>
    <w:rsid w:val="006D4152"/>
    <w:rsid w:val="006D4533"/>
    <w:rsid w:val="006D68F3"/>
    <w:rsid w:val="006D6974"/>
    <w:rsid w:val="006D69E3"/>
    <w:rsid w:val="006D707B"/>
    <w:rsid w:val="006D7087"/>
    <w:rsid w:val="006D7BE5"/>
    <w:rsid w:val="006E0A38"/>
    <w:rsid w:val="006E0F45"/>
    <w:rsid w:val="006E1EC3"/>
    <w:rsid w:val="006E3EAC"/>
    <w:rsid w:val="006E476D"/>
    <w:rsid w:val="006E4C75"/>
    <w:rsid w:val="006E4DD1"/>
    <w:rsid w:val="006E5969"/>
    <w:rsid w:val="006E5B4A"/>
    <w:rsid w:val="006E6877"/>
    <w:rsid w:val="006E6A70"/>
    <w:rsid w:val="006E6C35"/>
    <w:rsid w:val="006E743D"/>
    <w:rsid w:val="006F0867"/>
    <w:rsid w:val="006F1261"/>
    <w:rsid w:val="006F171E"/>
    <w:rsid w:val="006F19E2"/>
    <w:rsid w:val="006F1F26"/>
    <w:rsid w:val="006F2206"/>
    <w:rsid w:val="006F35D9"/>
    <w:rsid w:val="006F3AB2"/>
    <w:rsid w:val="006F5E86"/>
    <w:rsid w:val="00700BBB"/>
    <w:rsid w:val="00702517"/>
    <w:rsid w:val="00702F10"/>
    <w:rsid w:val="00703A5E"/>
    <w:rsid w:val="0070479E"/>
    <w:rsid w:val="00704CA3"/>
    <w:rsid w:val="007056F8"/>
    <w:rsid w:val="00705AF9"/>
    <w:rsid w:val="007067AC"/>
    <w:rsid w:val="007108C0"/>
    <w:rsid w:val="00711F7F"/>
    <w:rsid w:val="007122D6"/>
    <w:rsid w:val="0071265E"/>
    <w:rsid w:val="00712FC5"/>
    <w:rsid w:val="00713202"/>
    <w:rsid w:val="00715CFA"/>
    <w:rsid w:val="007167B4"/>
    <w:rsid w:val="0071762E"/>
    <w:rsid w:val="00717B1C"/>
    <w:rsid w:val="00721A35"/>
    <w:rsid w:val="007223C3"/>
    <w:rsid w:val="0072241F"/>
    <w:rsid w:val="00723D62"/>
    <w:rsid w:val="007254D6"/>
    <w:rsid w:val="007259A2"/>
    <w:rsid w:val="00725A32"/>
    <w:rsid w:val="00725BAF"/>
    <w:rsid w:val="00726756"/>
    <w:rsid w:val="00726B61"/>
    <w:rsid w:val="00726E42"/>
    <w:rsid w:val="007274D6"/>
    <w:rsid w:val="00730CCA"/>
    <w:rsid w:val="00730E41"/>
    <w:rsid w:val="007316EA"/>
    <w:rsid w:val="00731E41"/>
    <w:rsid w:val="00734668"/>
    <w:rsid w:val="00734BCC"/>
    <w:rsid w:val="00734BD1"/>
    <w:rsid w:val="007362AD"/>
    <w:rsid w:val="0073658D"/>
    <w:rsid w:val="0073663B"/>
    <w:rsid w:val="00736AF3"/>
    <w:rsid w:val="00737629"/>
    <w:rsid w:val="007376B1"/>
    <w:rsid w:val="0073789E"/>
    <w:rsid w:val="00741AF4"/>
    <w:rsid w:val="00741E73"/>
    <w:rsid w:val="00742365"/>
    <w:rsid w:val="00743570"/>
    <w:rsid w:val="00744457"/>
    <w:rsid w:val="00744752"/>
    <w:rsid w:val="00744CE0"/>
    <w:rsid w:val="007458B0"/>
    <w:rsid w:val="00745CDA"/>
    <w:rsid w:val="00746F87"/>
    <w:rsid w:val="007470A5"/>
    <w:rsid w:val="00750716"/>
    <w:rsid w:val="00750960"/>
    <w:rsid w:val="0075119E"/>
    <w:rsid w:val="007515FA"/>
    <w:rsid w:val="00751BD9"/>
    <w:rsid w:val="00751FF9"/>
    <w:rsid w:val="00753593"/>
    <w:rsid w:val="0075424B"/>
    <w:rsid w:val="0075476B"/>
    <w:rsid w:val="00755E99"/>
    <w:rsid w:val="007562C5"/>
    <w:rsid w:val="00756598"/>
    <w:rsid w:val="00756651"/>
    <w:rsid w:val="0075708D"/>
    <w:rsid w:val="0076390A"/>
    <w:rsid w:val="00763D27"/>
    <w:rsid w:val="00764226"/>
    <w:rsid w:val="00764982"/>
    <w:rsid w:val="00765001"/>
    <w:rsid w:val="007650B2"/>
    <w:rsid w:val="0076557B"/>
    <w:rsid w:val="00765C1A"/>
    <w:rsid w:val="00766F13"/>
    <w:rsid w:val="00766FB9"/>
    <w:rsid w:val="00767C12"/>
    <w:rsid w:val="007726A7"/>
    <w:rsid w:val="0077292B"/>
    <w:rsid w:val="007731DC"/>
    <w:rsid w:val="007739C8"/>
    <w:rsid w:val="00774347"/>
    <w:rsid w:val="00774412"/>
    <w:rsid w:val="00775570"/>
    <w:rsid w:val="0077560B"/>
    <w:rsid w:val="00776256"/>
    <w:rsid w:val="00776762"/>
    <w:rsid w:val="00776D17"/>
    <w:rsid w:val="0077743C"/>
    <w:rsid w:val="00777643"/>
    <w:rsid w:val="007777DA"/>
    <w:rsid w:val="0078028F"/>
    <w:rsid w:val="00781E8F"/>
    <w:rsid w:val="007825F4"/>
    <w:rsid w:val="00782EEE"/>
    <w:rsid w:val="00783156"/>
    <w:rsid w:val="00783866"/>
    <w:rsid w:val="00784311"/>
    <w:rsid w:val="00784B1F"/>
    <w:rsid w:val="00784BBB"/>
    <w:rsid w:val="00787172"/>
    <w:rsid w:val="00787B20"/>
    <w:rsid w:val="00790773"/>
    <w:rsid w:val="0079143F"/>
    <w:rsid w:val="00791C3D"/>
    <w:rsid w:val="00794CAE"/>
    <w:rsid w:val="00794F1D"/>
    <w:rsid w:val="0079528C"/>
    <w:rsid w:val="00795732"/>
    <w:rsid w:val="00796057"/>
    <w:rsid w:val="0079688F"/>
    <w:rsid w:val="007A133F"/>
    <w:rsid w:val="007A2301"/>
    <w:rsid w:val="007A2B44"/>
    <w:rsid w:val="007A2E6B"/>
    <w:rsid w:val="007A2E6C"/>
    <w:rsid w:val="007A3362"/>
    <w:rsid w:val="007A3C99"/>
    <w:rsid w:val="007A3E9D"/>
    <w:rsid w:val="007A48ED"/>
    <w:rsid w:val="007A53FC"/>
    <w:rsid w:val="007A6ED4"/>
    <w:rsid w:val="007A6F37"/>
    <w:rsid w:val="007A709E"/>
    <w:rsid w:val="007B0266"/>
    <w:rsid w:val="007B0EB6"/>
    <w:rsid w:val="007B1DF9"/>
    <w:rsid w:val="007B1EC4"/>
    <w:rsid w:val="007B2370"/>
    <w:rsid w:val="007B2548"/>
    <w:rsid w:val="007B2765"/>
    <w:rsid w:val="007B3675"/>
    <w:rsid w:val="007B3B83"/>
    <w:rsid w:val="007B3E86"/>
    <w:rsid w:val="007B5CBD"/>
    <w:rsid w:val="007B7F15"/>
    <w:rsid w:val="007C02C9"/>
    <w:rsid w:val="007C6A40"/>
    <w:rsid w:val="007C71BE"/>
    <w:rsid w:val="007C76E6"/>
    <w:rsid w:val="007C7922"/>
    <w:rsid w:val="007D0011"/>
    <w:rsid w:val="007D00C4"/>
    <w:rsid w:val="007D1863"/>
    <w:rsid w:val="007D4063"/>
    <w:rsid w:val="007D4544"/>
    <w:rsid w:val="007D473B"/>
    <w:rsid w:val="007D4B12"/>
    <w:rsid w:val="007D5231"/>
    <w:rsid w:val="007D5611"/>
    <w:rsid w:val="007D7D9D"/>
    <w:rsid w:val="007E00D8"/>
    <w:rsid w:val="007E10BA"/>
    <w:rsid w:val="007E2268"/>
    <w:rsid w:val="007E2DA1"/>
    <w:rsid w:val="007E2F92"/>
    <w:rsid w:val="007E35C8"/>
    <w:rsid w:val="007E3602"/>
    <w:rsid w:val="007E40F1"/>
    <w:rsid w:val="007E590E"/>
    <w:rsid w:val="007E5CC4"/>
    <w:rsid w:val="007E6369"/>
    <w:rsid w:val="007E6632"/>
    <w:rsid w:val="007E6B3C"/>
    <w:rsid w:val="007E7821"/>
    <w:rsid w:val="007F01C3"/>
    <w:rsid w:val="007F0315"/>
    <w:rsid w:val="007F0DE6"/>
    <w:rsid w:val="007F156C"/>
    <w:rsid w:val="007F2523"/>
    <w:rsid w:val="007F2706"/>
    <w:rsid w:val="007F2CA5"/>
    <w:rsid w:val="007F3527"/>
    <w:rsid w:val="007F457F"/>
    <w:rsid w:val="007F49D4"/>
    <w:rsid w:val="007F579F"/>
    <w:rsid w:val="007F71C9"/>
    <w:rsid w:val="007F7861"/>
    <w:rsid w:val="007F7920"/>
    <w:rsid w:val="008007EF"/>
    <w:rsid w:val="008029C1"/>
    <w:rsid w:val="0080331A"/>
    <w:rsid w:val="00803901"/>
    <w:rsid w:val="00803E1B"/>
    <w:rsid w:val="0080622C"/>
    <w:rsid w:val="008062A6"/>
    <w:rsid w:val="0080648F"/>
    <w:rsid w:val="00811AC4"/>
    <w:rsid w:val="00811AED"/>
    <w:rsid w:val="0081231D"/>
    <w:rsid w:val="0081398F"/>
    <w:rsid w:val="00813CCC"/>
    <w:rsid w:val="0081584E"/>
    <w:rsid w:val="0081658B"/>
    <w:rsid w:val="0081693F"/>
    <w:rsid w:val="008169C2"/>
    <w:rsid w:val="00817708"/>
    <w:rsid w:val="0081785C"/>
    <w:rsid w:val="0082040F"/>
    <w:rsid w:val="00820839"/>
    <w:rsid w:val="0082097C"/>
    <w:rsid w:val="00820ABD"/>
    <w:rsid w:val="00820B7A"/>
    <w:rsid w:val="0082141E"/>
    <w:rsid w:val="00821C2D"/>
    <w:rsid w:val="008228CE"/>
    <w:rsid w:val="00823861"/>
    <w:rsid w:val="00823A87"/>
    <w:rsid w:val="008247B3"/>
    <w:rsid w:val="0082639B"/>
    <w:rsid w:val="00826E70"/>
    <w:rsid w:val="00826F3D"/>
    <w:rsid w:val="00827F04"/>
    <w:rsid w:val="008314C1"/>
    <w:rsid w:val="0083174D"/>
    <w:rsid w:val="00831B58"/>
    <w:rsid w:val="00831DA3"/>
    <w:rsid w:val="0083331F"/>
    <w:rsid w:val="00833D7D"/>
    <w:rsid w:val="00834DA5"/>
    <w:rsid w:val="008354D2"/>
    <w:rsid w:val="00835A81"/>
    <w:rsid w:val="008368C1"/>
    <w:rsid w:val="00836C2A"/>
    <w:rsid w:val="008370AD"/>
    <w:rsid w:val="00837129"/>
    <w:rsid w:val="00837DFF"/>
    <w:rsid w:val="00841024"/>
    <w:rsid w:val="00841E77"/>
    <w:rsid w:val="00842665"/>
    <w:rsid w:val="00842E46"/>
    <w:rsid w:val="00843C05"/>
    <w:rsid w:val="00845DC5"/>
    <w:rsid w:val="00845FD8"/>
    <w:rsid w:val="00851273"/>
    <w:rsid w:val="00851A93"/>
    <w:rsid w:val="00851FAB"/>
    <w:rsid w:val="00853A7C"/>
    <w:rsid w:val="00853DAD"/>
    <w:rsid w:val="00853DD9"/>
    <w:rsid w:val="0085480F"/>
    <w:rsid w:val="0085581E"/>
    <w:rsid w:val="00855C3A"/>
    <w:rsid w:val="00855E15"/>
    <w:rsid w:val="0085742F"/>
    <w:rsid w:val="0086023A"/>
    <w:rsid w:val="00860937"/>
    <w:rsid w:val="00860C15"/>
    <w:rsid w:val="008617A4"/>
    <w:rsid w:val="008623F8"/>
    <w:rsid w:val="0086579A"/>
    <w:rsid w:val="008665CA"/>
    <w:rsid w:val="00866E1F"/>
    <w:rsid w:val="0087005E"/>
    <w:rsid w:val="008717E4"/>
    <w:rsid w:val="008717E5"/>
    <w:rsid w:val="00873681"/>
    <w:rsid w:val="00873F19"/>
    <w:rsid w:val="0087515C"/>
    <w:rsid w:val="008752E6"/>
    <w:rsid w:val="00875FFB"/>
    <w:rsid w:val="008764A2"/>
    <w:rsid w:val="00876AB0"/>
    <w:rsid w:val="0087740B"/>
    <w:rsid w:val="00880A06"/>
    <w:rsid w:val="00880A12"/>
    <w:rsid w:val="00880CCD"/>
    <w:rsid w:val="008819AB"/>
    <w:rsid w:val="00883CA7"/>
    <w:rsid w:val="00884274"/>
    <w:rsid w:val="008843AB"/>
    <w:rsid w:val="00885D1C"/>
    <w:rsid w:val="00885F23"/>
    <w:rsid w:val="00887FE2"/>
    <w:rsid w:val="0089127B"/>
    <w:rsid w:val="00892284"/>
    <w:rsid w:val="00892CD7"/>
    <w:rsid w:val="00892FF1"/>
    <w:rsid w:val="00894308"/>
    <w:rsid w:val="00894643"/>
    <w:rsid w:val="00894CC0"/>
    <w:rsid w:val="0089503F"/>
    <w:rsid w:val="00895396"/>
    <w:rsid w:val="008953C5"/>
    <w:rsid w:val="00895B09"/>
    <w:rsid w:val="00896D60"/>
    <w:rsid w:val="008A04BB"/>
    <w:rsid w:val="008A04D9"/>
    <w:rsid w:val="008A06E9"/>
    <w:rsid w:val="008A11EA"/>
    <w:rsid w:val="008A1E1C"/>
    <w:rsid w:val="008A4FAA"/>
    <w:rsid w:val="008A553D"/>
    <w:rsid w:val="008A66E1"/>
    <w:rsid w:val="008A69A0"/>
    <w:rsid w:val="008A6C38"/>
    <w:rsid w:val="008A70DE"/>
    <w:rsid w:val="008A74E9"/>
    <w:rsid w:val="008A78BA"/>
    <w:rsid w:val="008A78DA"/>
    <w:rsid w:val="008A7CED"/>
    <w:rsid w:val="008B2156"/>
    <w:rsid w:val="008B2781"/>
    <w:rsid w:val="008B2F2F"/>
    <w:rsid w:val="008B32E4"/>
    <w:rsid w:val="008B47B5"/>
    <w:rsid w:val="008B4894"/>
    <w:rsid w:val="008B4984"/>
    <w:rsid w:val="008B4B02"/>
    <w:rsid w:val="008B4E7D"/>
    <w:rsid w:val="008B5B8C"/>
    <w:rsid w:val="008B5E35"/>
    <w:rsid w:val="008B6ECF"/>
    <w:rsid w:val="008B7C0E"/>
    <w:rsid w:val="008C0CC4"/>
    <w:rsid w:val="008C1F6A"/>
    <w:rsid w:val="008C29D7"/>
    <w:rsid w:val="008C2BDF"/>
    <w:rsid w:val="008C2E0F"/>
    <w:rsid w:val="008C3596"/>
    <w:rsid w:val="008C37B2"/>
    <w:rsid w:val="008C3CD6"/>
    <w:rsid w:val="008C3F88"/>
    <w:rsid w:val="008C48F9"/>
    <w:rsid w:val="008C4FE4"/>
    <w:rsid w:val="008C509A"/>
    <w:rsid w:val="008C50AC"/>
    <w:rsid w:val="008C5B22"/>
    <w:rsid w:val="008C68A6"/>
    <w:rsid w:val="008D19FE"/>
    <w:rsid w:val="008D28F8"/>
    <w:rsid w:val="008D2EE5"/>
    <w:rsid w:val="008D3DF8"/>
    <w:rsid w:val="008D410A"/>
    <w:rsid w:val="008D4DB2"/>
    <w:rsid w:val="008D6090"/>
    <w:rsid w:val="008D7AEE"/>
    <w:rsid w:val="008D7D39"/>
    <w:rsid w:val="008E010A"/>
    <w:rsid w:val="008E016D"/>
    <w:rsid w:val="008E0CB2"/>
    <w:rsid w:val="008E1D7E"/>
    <w:rsid w:val="008E1FC4"/>
    <w:rsid w:val="008E2724"/>
    <w:rsid w:val="008E358E"/>
    <w:rsid w:val="008E3BAA"/>
    <w:rsid w:val="008E3F28"/>
    <w:rsid w:val="008E493F"/>
    <w:rsid w:val="008E6E31"/>
    <w:rsid w:val="008E7B8E"/>
    <w:rsid w:val="008E7DBD"/>
    <w:rsid w:val="008F19C7"/>
    <w:rsid w:val="008F1AD8"/>
    <w:rsid w:val="008F2CBC"/>
    <w:rsid w:val="008F351D"/>
    <w:rsid w:val="008F4352"/>
    <w:rsid w:val="008F4830"/>
    <w:rsid w:val="008F5F68"/>
    <w:rsid w:val="008F64D4"/>
    <w:rsid w:val="008F77C3"/>
    <w:rsid w:val="0090093F"/>
    <w:rsid w:val="00902CB2"/>
    <w:rsid w:val="00903603"/>
    <w:rsid w:val="00903E6A"/>
    <w:rsid w:val="009048BE"/>
    <w:rsid w:val="0090552F"/>
    <w:rsid w:val="00905A0E"/>
    <w:rsid w:val="00905C04"/>
    <w:rsid w:val="0090612E"/>
    <w:rsid w:val="009069B0"/>
    <w:rsid w:val="009106B7"/>
    <w:rsid w:val="00910E59"/>
    <w:rsid w:val="00910F45"/>
    <w:rsid w:val="00910F8F"/>
    <w:rsid w:val="009116D3"/>
    <w:rsid w:val="00911E6F"/>
    <w:rsid w:val="00911EE5"/>
    <w:rsid w:val="00913570"/>
    <w:rsid w:val="00913CB5"/>
    <w:rsid w:val="00914503"/>
    <w:rsid w:val="00914A8B"/>
    <w:rsid w:val="00915133"/>
    <w:rsid w:val="00915400"/>
    <w:rsid w:val="0091545C"/>
    <w:rsid w:val="009157AF"/>
    <w:rsid w:val="00915E56"/>
    <w:rsid w:val="00915F1B"/>
    <w:rsid w:val="00915FA1"/>
    <w:rsid w:val="00916512"/>
    <w:rsid w:val="0091697E"/>
    <w:rsid w:val="00917902"/>
    <w:rsid w:val="009203D9"/>
    <w:rsid w:val="009209E9"/>
    <w:rsid w:val="0092105A"/>
    <w:rsid w:val="00921C09"/>
    <w:rsid w:val="00921D25"/>
    <w:rsid w:val="00921DD5"/>
    <w:rsid w:val="0092216E"/>
    <w:rsid w:val="0092280B"/>
    <w:rsid w:val="00922E95"/>
    <w:rsid w:val="009233CF"/>
    <w:rsid w:val="00923F1F"/>
    <w:rsid w:val="00924772"/>
    <w:rsid w:val="00925FC0"/>
    <w:rsid w:val="00926ADD"/>
    <w:rsid w:val="00927855"/>
    <w:rsid w:val="00930B85"/>
    <w:rsid w:val="00931C3A"/>
    <w:rsid w:val="00931F3E"/>
    <w:rsid w:val="009326F3"/>
    <w:rsid w:val="00932DAF"/>
    <w:rsid w:val="0093314C"/>
    <w:rsid w:val="009338AB"/>
    <w:rsid w:val="00933D9E"/>
    <w:rsid w:val="00933DD3"/>
    <w:rsid w:val="009345E8"/>
    <w:rsid w:val="00934732"/>
    <w:rsid w:val="00936A2D"/>
    <w:rsid w:val="0093745B"/>
    <w:rsid w:val="00940231"/>
    <w:rsid w:val="00940467"/>
    <w:rsid w:val="0094184B"/>
    <w:rsid w:val="00943165"/>
    <w:rsid w:val="009436D4"/>
    <w:rsid w:val="00943842"/>
    <w:rsid w:val="00944773"/>
    <w:rsid w:val="00945D33"/>
    <w:rsid w:val="00946ED8"/>
    <w:rsid w:val="00947738"/>
    <w:rsid w:val="00947ECD"/>
    <w:rsid w:val="00950E6A"/>
    <w:rsid w:val="00951401"/>
    <w:rsid w:val="0095152A"/>
    <w:rsid w:val="00951927"/>
    <w:rsid w:val="00951994"/>
    <w:rsid w:val="00953486"/>
    <w:rsid w:val="009536AC"/>
    <w:rsid w:val="00953D98"/>
    <w:rsid w:val="009540F2"/>
    <w:rsid w:val="00954512"/>
    <w:rsid w:val="00954F50"/>
    <w:rsid w:val="00955858"/>
    <w:rsid w:val="009568D8"/>
    <w:rsid w:val="00956C5C"/>
    <w:rsid w:val="009579AF"/>
    <w:rsid w:val="009612B6"/>
    <w:rsid w:val="00963505"/>
    <w:rsid w:val="009635FE"/>
    <w:rsid w:val="00964E96"/>
    <w:rsid w:val="009669C6"/>
    <w:rsid w:val="00966F97"/>
    <w:rsid w:val="00967202"/>
    <w:rsid w:val="0096727C"/>
    <w:rsid w:val="00967ACF"/>
    <w:rsid w:val="009700A7"/>
    <w:rsid w:val="00971C2D"/>
    <w:rsid w:val="00971CD3"/>
    <w:rsid w:val="009722D0"/>
    <w:rsid w:val="009729D5"/>
    <w:rsid w:val="00972C72"/>
    <w:rsid w:val="00975684"/>
    <w:rsid w:val="00975881"/>
    <w:rsid w:val="00977016"/>
    <w:rsid w:val="00977962"/>
    <w:rsid w:val="00977A4C"/>
    <w:rsid w:val="0098048B"/>
    <w:rsid w:val="00982121"/>
    <w:rsid w:val="00982C7D"/>
    <w:rsid w:val="00982CC3"/>
    <w:rsid w:val="009843DF"/>
    <w:rsid w:val="0098473F"/>
    <w:rsid w:val="009848DC"/>
    <w:rsid w:val="00985DAE"/>
    <w:rsid w:val="009867E7"/>
    <w:rsid w:val="00990B42"/>
    <w:rsid w:val="00992013"/>
    <w:rsid w:val="00992A6C"/>
    <w:rsid w:val="0099373B"/>
    <w:rsid w:val="00993CFA"/>
    <w:rsid w:val="00994364"/>
    <w:rsid w:val="0099603D"/>
    <w:rsid w:val="009A074C"/>
    <w:rsid w:val="009A0F3D"/>
    <w:rsid w:val="009A154D"/>
    <w:rsid w:val="009A297B"/>
    <w:rsid w:val="009A2A32"/>
    <w:rsid w:val="009A2BE8"/>
    <w:rsid w:val="009A5827"/>
    <w:rsid w:val="009A5A5E"/>
    <w:rsid w:val="009A5F43"/>
    <w:rsid w:val="009A673C"/>
    <w:rsid w:val="009A735E"/>
    <w:rsid w:val="009B0A77"/>
    <w:rsid w:val="009B17C1"/>
    <w:rsid w:val="009B1BD1"/>
    <w:rsid w:val="009B2324"/>
    <w:rsid w:val="009B2353"/>
    <w:rsid w:val="009B268D"/>
    <w:rsid w:val="009B2E75"/>
    <w:rsid w:val="009B3824"/>
    <w:rsid w:val="009B429A"/>
    <w:rsid w:val="009B4F87"/>
    <w:rsid w:val="009B5F57"/>
    <w:rsid w:val="009B5FFF"/>
    <w:rsid w:val="009B6E74"/>
    <w:rsid w:val="009C1208"/>
    <w:rsid w:val="009C1BA6"/>
    <w:rsid w:val="009C1C8F"/>
    <w:rsid w:val="009C217A"/>
    <w:rsid w:val="009C27ED"/>
    <w:rsid w:val="009C2D77"/>
    <w:rsid w:val="009C3049"/>
    <w:rsid w:val="009C396E"/>
    <w:rsid w:val="009C3D45"/>
    <w:rsid w:val="009C4A50"/>
    <w:rsid w:val="009C4A80"/>
    <w:rsid w:val="009C4E2C"/>
    <w:rsid w:val="009C7385"/>
    <w:rsid w:val="009C7784"/>
    <w:rsid w:val="009D0CFD"/>
    <w:rsid w:val="009D1038"/>
    <w:rsid w:val="009D17BA"/>
    <w:rsid w:val="009D3602"/>
    <w:rsid w:val="009D3BD3"/>
    <w:rsid w:val="009D48DD"/>
    <w:rsid w:val="009D4EF6"/>
    <w:rsid w:val="009D55E1"/>
    <w:rsid w:val="009D5751"/>
    <w:rsid w:val="009D57DC"/>
    <w:rsid w:val="009D5CF9"/>
    <w:rsid w:val="009D6878"/>
    <w:rsid w:val="009D70D6"/>
    <w:rsid w:val="009D76FB"/>
    <w:rsid w:val="009D7F2B"/>
    <w:rsid w:val="009E05FC"/>
    <w:rsid w:val="009E0E02"/>
    <w:rsid w:val="009E1048"/>
    <w:rsid w:val="009E1844"/>
    <w:rsid w:val="009E21A9"/>
    <w:rsid w:val="009E2C55"/>
    <w:rsid w:val="009E3038"/>
    <w:rsid w:val="009E3299"/>
    <w:rsid w:val="009E3304"/>
    <w:rsid w:val="009E41F2"/>
    <w:rsid w:val="009E4972"/>
    <w:rsid w:val="009E5CAC"/>
    <w:rsid w:val="009E60C7"/>
    <w:rsid w:val="009E6AE1"/>
    <w:rsid w:val="009E6F5D"/>
    <w:rsid w:val="009E74BD"/>
    <w:rsid w:val="009F1231"/>
    <w:rsid w:val="009F1E5F"/>
    <w:rsid w:val="009F2321"/>
    <w:rsid w:val="009F24F4"/>
    <w:rsid w:val="009F279E"/>
    <w:rsid w:val="009F288C"/>
    <w:rsid w:val="009F2EAC"/>
    <w:rsid w:val="009F2F39"/>
    <w:rsid w:val="009F33D4"/>
    <w:rsid w:val="009F3FA8"/>
    <w:rsid w:val="009F43E6"/>
    <w:rsid w:val="009F457B"/>
    <w:rsid w:val="009F65EF"/>
    <w:rsid w:val="009F6D71"/>
    <w:rsid w:val="009F6EF6"/>
    <w:rsid w:val="009F71A6"/>
    <w:rsid w:val="009F794E"/>
    <w:rsid w:val="009F7A06"/>
    <w:rsid w:val="009F7D34"/>
    <w:rsid w:val="009F7FCA"/>
    <w:rsid w:val="00A0013F"/>
    <w:rsid w:val="00A00928"/>
    <w:rsid w:val="00A00BD7"/>
    <w:rsid w:val="00A01152"/>
    <w:rsid w:val="00A01C21"/>
    <w:rsid w:val="00A01FF4"/>
    <w:rsid w:val="00A02255"/>
    <w:rsid w:val="00A023FF"/>
    <w:rsid w:val="00A03477"/>
    <w:rsid w:val="00A03ABA"/>
    <w:rsid w:val="00A03C5D"/>
    <w:rsid w:val="00A043EA"/>
    <w:rsid w:val="00A045BC"/>
    <w:rsid w:val="00A048D8"/>
    <w:rsid w:val="00A051B5"/>
    <w:rsid w:val="00A05248"/>
    <w:rsid w:val="00A0562F"/>
    <w:rsid w:val="00A05C8B"/>
    <w:rsid w:val="00A0606A"/>
    <w:rsid w:val="00A06C6F"/>
    <w:rsid w:val="00A06D15"/>
    <w:rsid w:val="00A06D8E"/>
    <w:rsid w:val="00A07605"/>
    <w:rsid w:val="00A114D6"/>
    <w:rsid w:val="00A11671"/>
    <w:rsid w:val="00A119B2"/>
    <w:rsid w:val="00A146C9"/>
    <w:rsid w:val="00A16D32"/>
    <w:rsid w:val="00A1797C"/>
    <w:rsid w:val="00A209AD"/>
    <w:rsid w:val="00A20B59"/>
    <w:rsid w:val="00A20B63"/>
    <w:rsid w:val="00A210E4"/>
    <w:rsid w:val="00A21E9F"/>
    <w:rsid w:val="00A22C2F"/>
    <w:rsid w:val="00A23A6B"/>
    <w:rsid w:val="00A23ECB"/>
    <w:rsid w:val="00A2559B"/>
    <w:rsid w:val="00A25CFD"/>
    <w:rsid w:val="00A2619A"/>
    <w:rsid w:val="00A263A7"/>
    <w:rsid w:val="00A2692A"/>
    <w:rsid w:val="00A26C1E"/>
    <w:rsid w:val="00A26C3C"/>
    <w:rsid w:val="00A27F44"/>
    <w:rsid w:val="00A30DBF"/>
    <w:rsid w:val="00A31472"/>
    <w:rsid w:val="00A32411"/>
    <w:rsid w:val="00A32EA1"/>
    <w:rsid w:val="00A34FEF"/>
    <w:rsid w:val="00A35377"/>
    <w:rsid w:val="00A36247"/>
    <w:rsid w:val="00A364AF"/>
    <w:rsid w:val="00A36745"/>
    <w:rsid w:val="00A36E08"/>
    <w:rsid w:val="00A37A72"/>
    <w:rsid w:val="00A40501"/>
    <w:rsid w:val="00A40864"/>
    <w:rsid w:val="00A41BAC"/>
    <w:rsid w:val="00A42476"/>
    <w:rsid w:val="00A43757"/>
    <w:rsid w:val="00A440AF"/>
    <w:rsid w:val="00A454B3"/>
    <w:rsid w:val="00A45774"/>
    <w:rsid w:val="00A45DBF"/>
    <w:rsid w:val="00A463D7"/>
    <w:rsid w:val="00A470F3"/>
    <w:rsid w:val="00A47B66"/>
    <w:rsid w:val="00A47C75"/>
    <w:rsid w:val="00A5112A"/>
    <w:rsid w:val="00A52D5A"/>
    <w:rsid w:val="00A52EB9"/>
    <w:rsid w:val="00A53A43"/>
    <w:rsid w:val="00A53A85"/>
    <w:rsid w:val="00A542D7"/>
    <w:rsid w:val="00A54303"/>
    <w:rsid w:val="00A55E06"/>
    <w:rsid w:val="00A575E7"/>
    <w:rsid w:val="00A610D6"/>
    <w:rsid w:val="00A621FB"/>
    <w:rsid w:val="00A630E3"/>
    <w:rsid w:val="00A641D7"/>
    <w:rsid w:val="00A648F8"/>
    <w:rsid w:val="00A659C7"/>
    <w:rsid w:val="00A661B6"/>
    <w:rsid w:val="00A66909"/>
    <w:rsid w:val="00A67294"/>
    <w:rsid w:val="00A67E00"/>
    <w:rsid w:val="00A701DD"/>
    <w:rsid w:val="00A70253"/>
    <w:rsid w:val="00A71830"/>
    <w:rsid w:val="00A7311E"/>
    <w:rsid w:val="00A73610"/>
    <w:rsid w:val="00A73BE4"/>
    <w:rsid w:val="00A74306"/>
    <w:rsid w:val="00A7468F"/>
    <w:rsid w:val="00A74FDF"/>
    <w:rsid w:val="00A75BA0"/>
    <w:rsid w:val="00A76090"/>
    <w:rsid w:val="00A760FD"/>
    <w:rsid w:val="00A76349"/>
    <w:rsid w:val="00A7744C"/>
    <w:rsid w:val="00A774BD"/>
    <w:rsid w:val="00A77CA0"/>
    <w:rsid w:val="00A77F0C"/>
    <w:rsid w:val="00A802D5"/>
    <w:rsid w:val="00A81851"/>
    <w:rsid w:val="00A824E5"/>
    <w:rsid w:val="00A836BC"/>
    <w:rsid w:val="00A839A1"/>
    <w:rsid w:val="00A85FE3"/>
    <w:rsid w:val="00A8718D"/>
    <w:rsid w:val="00A878AF"/>
    <w:rsid w:val="00A9026C"/>
    <w:rsid w:val="00A91209"/>
    <w:rsid w:val="00A917FB"/>
    <w:rsid w:val="00A93A67"/>
    <w:rsid w:val="00A94860"/>
    <w:rsid w:val="00A948C7"/>
    <w:rsid w:val="00A95C18"/>
    <w:rsid w:val="00A96376"/>
    <w:rsid w:val="00A968C1"/>
    <w:rsid w:val="00A97846"/>
    <w:rsid w:val="00A97E45"/>
    <w:rsid w:val="00AA0177"/>
    <w:rsid w:val="00AA214E"/>
    <w:rsid w:val="00AA2665"/>
    <w:rsid w:val="00AA2ABD"/>
    <w:rsid w:val="00AA37A6"/>
    <w:rsid w:val="00AA3EC1"/>
    <w:rsid w:val="00AA5916"/>
    <w:rsid w:val="00AA6D63"/>
    <w:rsid w:val="00AA71E8"/>
    <w:rsid w:val="00AA7382"/>
    <w:rsid w:val="00AB009A"/>
    <w:rsid w:val="00AB0EC7"/>
    <w:rsid w:val="00AB111C"/>
    <w:rsid w:val="00AB132E"/>
    <w:rsid w:val="00AB3202"/>
    <w:rsid w:val="00AB4823"/>
    <w:rsid w:val="00AB485C"/>
    <w:rsid w:val="00AB5221"/>
    <w:rsid w:val="00AB6729"/>
    <w:rsid w:val="00AB7309"/>
    <w:rsid w:val="00AB76E8"/>
    <w:rsid w:val="00AC06B8"/>
    <w:rsid w:val="00AC0A70"/>
    <w:rsid w:val="00AC100C"/>
    <w:rsid w:val="00AC1F19"/>
    <w:rsid w:val="00AC30CC"/>
    <w:rsid w:val="00AC3355"/>
    <w:rsid w:val="00AC3BA1"/>
    <w:rsid w:val="00AC42F9"/>
    <w:rsid w:val="00AC49A5"/>
    <w:rsid w:val="00AC4A96"/>
    <w:rsid w:val="00AC5611"/>
    <w:rsid w:val="00AC6376"/>
    <w:rsid w:val="00AD001A"/>
    <w:rsid w:val="00AD057F"/>
    <w:rsid w:val="00AD074F"/>
    <w:rsid w:val="00AD092A"/>
    <w:rsid w:val="00AD0E68"/>
    <w:rsid w:val="00AD1873"/>
    <w:rsid w:val="00AD244B"/>
    <w:rsid w:val="00AD2ACE"/>
    <w:rsid w:val="00AD2BC1"/>
    <w:rsid w:val="00AD2C6A"/>
    <w:rsid w:val="00AD3489"/>
    <w:rsid w:val="00AD371F"/>
    <w:rsid w:val="00AD3F6B"/>
    <w:rsid w:val="00AD40A1"/>
    <w:rsid w:val="00AD60E5"/>
    <w:rsid w:val="00AD63EC"/>
    <w:rsid w:val="00AD76A5"/>
    <w:rsid w:val="00AD7A2C"/>
    <w:rsid w:val="00AE279E"/>
    <w:rsid w:val="00AE2B80"/>
    <w:rsid w:val="00AE3032"/>
    <w:rsid w:val="00AE3272"/>
    <w:rsid w:val="00AE3A63"/>
    <w:rsid w:val="00AE4CD7"/>
    <w:rsid w:val="00AE5B87"/>
    <w:rsid w:val="00AE664A"/>
    <w:rsid w:val="00AE686A"/>
    <w:rsid w:val="00AE6F17"/>
    <w:rsid w:val="00AE7C1E"/>
    <w:rsid w:val="00AF096D"/>
    <w:rsid w:val="00AF2201"/>
    <w:rsid w:val="00AF2256"/>
    <w:rsid w:val="00AF26EE"/>
    <w:rsid w:val="00AF2796"/>
    <w:rsid w:val="00AF2C75"/>
    <w:rsid w:val="00AF354E"/>
    <w:rsid w:val="00AF4F77"/>
    <w:rsid w:val="00AF50A1"/>
    <w:rsid w:val="00AF548D"/>
    <w:rsid w:val="00AF6809"/>
    <w:rsid w:val="00AF7447"/>
    <w:rsid w:val="00AF78F4"/>
    <w:rsid w:val="00AF798B"/>
    <w:rsid w:val="00B00550"/>
    <w:rsid w:val="00B007BD"/>
    <w:rsid w:val="00B00DEB"/>
    <w:rsid w:val="00B010A5"/>
    <w:rsid w:val="00B014F3"/>
    <w:rsid w:val="00B01B54"/>
    <w:rsid w:val="00B02024"/>
    <w:rsid w:val="00B04648"/>
    <w:rsid w:val="00B04A2F"/>
    <w:rsid w:val="00B04ED6"/>
    <w:rsid w:val="00B0515C"/>
    <w:rsid w:val="00B06DF9"/>
    <w:rsid w:val="00B07B68"/>
    <w:rsid w:val="00B07C4B"/>
    <w:rsid w:val="00B07D6F"/>
    <w:rsid w:val="00B1009C"/>
    <w:rsid w:val="00B10A1E"/>
    <w:rsid w:val="00B120A4"/>
    <w:rsid w:val="00B12218"/>
    <w:rsid w:val="00B13221"/>
    <w:rsid w:val="00B14401"/>
    <w:rsid w:val="00B15D62"/>
    <w:rsid w:val="00B15E87"/>
    <w:rsid w:val="00B164FD"/>
    <w:rsid w:val="00B17B7F"/>
    <w:rsid w:val="00B20255"/>
    <w:rsid w:val="00B20428"/>
    <w:rsid w:val="00B2050F"/>
    <w:rsid w:val="00B20FCC"/>
    <w:rsid w:val="00B214D8"/>
    <w:rsid w:val="00B225E9"/>
    <w:rsid w:val="00B231C2"/>
    <w:rsid w:val="00B237B7"/>
    <w:rsid w:val="00B23ADF"/>
    <w:rsid w:val="00B241C3"/>
    <w:rsid w:val="00B2603E"/>
    <w:rsid w:val="00B2692D"/>
    <w:rsid w:val="00B26A6C"/>
    <w:rsid w:val="00B27D2C"/>
    <w:rsid w:val="00B302AD"/>
    <w:rsid w:val="00B31317"/>
    <w:rsid w:val="00B31361"/>
    <w:rsid w:val="00B3173E"/>
    <w:rsid w:val="00B31A2F"/>
    <w:rsid w:val="00B31DA2"/>
    <w:rsid w:val="00B323D2"/>
    <w:rsid w:val="00B3248A"/>
    <w:rsid w:val="00B329E1"/>
    <w:rsid w:val="00B32A4E"/>
    <w:rsid w:val="00B32E97"/>
    <w:rsid w:val="00B344FE"/>
    <w:rsid w:val="00B36E50"/>
    <w:rsid w:val="00B403B3"/>
    <w:rsid w:val="00B40945"/>
    <w:rsid w:val="00B40D03"/>
    <w:rsid w:val="00B41FA5"/>
    <w:rsid w:val="00B4273A"/>
    <w:rsid w:val="00B437AB"/>
    <w:rsid w:val="00B438CB"/>
    <w:rsid w:val="00B43D46"/>
    <w:rsid w:val="00B445DE"/>
    <w:rsid w:val="00B44D46"/>
    <w:rsid w:val="00B45B9A"/>
    <w:rsid w:val="00B45BEC"/>
    <w:rsid w:val="00B47050"/>
    <w:rsid w:val="00B4721B"/>
    <w:rsid w:val="00B502C4"/>
    <w:rsid w:val="00B503C5"/>
    <w:rsid w:val="00B50DEB"/>
    <w:rsid w:val="00B51AA6"/>
    <w:rsid w:val="00B520BD"/>
    <w:rsid w:val="00B529BB"/>
    <w:rsid w:val="00B54324"/>
    <w:rsid w:val="00B557F7"/>
    <w:rsid w:val="00B57500"/>
    <w:rsid w:val="00B57769"/>
    <w:rsid w:val="00B601DB"/>
    <w:rsid w:val="00B60814"/>
    <w:rsid w:val="00B611FB"/>
    <w:rsid w:val="00B61DD9"/>
    <w:rsid w:val="00B6372A"/>
    <w:rsid w:val="00B640D0"/>
    <w:rsid w:val="00B64AF6"/>
    <w:rsid w:val="00B667A3"/>
    <w:rsid w:val="00B66865"/>
    <w:rsid w:val="00B66E88"/>
    <w:rsid w:val="00B7078B"/>
    <w:rsid w:val="00B71D04"/>
    <w:rsid w:val="00B71E0F"/>
    <w:rsid w:val="00B72108"/>
    <w:rsid w:val="00B72C7E"/>
    <w:rsid w:val="00B73531"/>
    <w:rsid w:val="00B74073"/>
    <w:rsid w:val="00B77203"/>
    <w:rsid w:val="00B77DB1"/>
    <w:rsid w:val="00B810BB"/>
    <w:rsid w:val="00B812ED"/>
    <w:rsid w:val="00B813CD"/>
    <w:rsid w:val="00B814F4"/>
    <w:rsid w:val="00B81CDF"/>
    <w:rsid w:val="00B82846"/>
    <w:rsid w:val="00B83881"/>
    <w:rsid w:val="00B83B0C"/>
    <w:rsid w:val="00B84642"/>
    <w:rsid w:val="00B85BC4"/>
    <w:rsid w:val="00B865F6"/>
    <w:rsid w:val="00B872E0"/>
    <w:rsid w:val="00B87C26"/>
    <w:rsid w:val="00B91605"/>
    <w:rsid w:val="00B91C29"/>
    <w:rsid w:val="00B9214B"/>
    <w:rsid w:val="00B92CE5"/>
    <w:rsid w:val="00B92DBB"/>
    <w:rsid w:val="00B93A24"/>
    <w:rsid w:val="00B941ED"/>
    <w:rsid w:val="00B94373"/>
    <w:rsid w:val="00B95CDA"/>
    <w:rsid w:val="00B95D7D"/>
    <w:rsid w:val="00B9669A"/>
    <w:rsid w:val="00BA2384"/>
    <w:rsid w:val="00BA2949"/>
    <w:rsid w:val="00BA3F9F"/>
    <w:rsid w:val="00BA5537"/>
    <w:rsid w:val="00BA57D8"/>
    <w:rsid w:val="00BA5AC4"/>
    <w:rsid w:val="00BA6D89"/>
    <w:rsid w:val="00BB1244"/>
    <w:rsid w:val="00BB2E0A"/>
    <w:rsid w:val="00BB3118"/>
    <w:rsid w:val="00BB370D"/>
    <w:rsid w:val="00BB39A7"/>
    <w:rsid w:val="00BB5248"/>
    <w:rsid w:val="00BB5CDC"/>
    <w:rsid w:val="00BB635E"/>
    <w:rsid w:val="00BB6527"/>
    <w:rsid w:val="00BB65D7"/>
    <w:rsid w:val="00BB68D3"/>
    <w:rsid w:val="00BC0BDE"/>
    <w:rsid w:val="00BC0BFB"/>
    <w:rsid w:val="00BC10EB"/>
    <w:rsid w:val="00BC156B"/>
    <w:rsid w:val="00BC18B1"/>
    <w:rsid w:val="00BC3160"/>
    <w:rsid w:val="00BC3C68"/>
    <w:rsid w:val="00BC49E0"/>
    <w:rsid w:val="00BC4BC3"/>
    <w:rsid w:val="00BC57EB"/>
    <w:rsid w:val="00BC5830"/>
    <w:rsid w:val="00BC6307"/>
    <w:rsid w:val="00BC64B6"/>
    <w:rsid w:val="00BC652B"/>
    <w:rsid w:val="00BC6610"/>
    <w:rsid w:val="00BC77D9"/>
    <w:rsid w:val="00BD152F"/>
    <w:rsid w:val="00BD197B"/>
    <w:rsid w:val="00BD1A4E"/>
    <w:rsid w:val="00BD2294"/>
    <w:rsid w:val="00BD296E"/>
    <w:rsid w:val="00BD4DF1"/>
    <w:rsid w:val="00BD6112"/>
    <w:rsid w:val="00BD6302"/>
    <w:rsid w:val="00BD64A3"/>
    <w:rsid w:val="00BD7257"/>
    <w:rsid w:val="00BD7A93"/>
    <w:rsid w:val="00BD7BCE"/>
    <w:rsid w:val="00BE309B"/>
    <w:rsid w:val="00BE3571"/>
    <w:rsid w:val="00BE3BE0"/>
    <w:rsid w:val="00BE40BE"/>
    <w:rsid w:val="00BE4A04"/>
    <w:rsid w:val="00BE5432"/>
    <w:rsid w:val="00BE64E5"/>
    <w:rsid w:val="00BE768D"/>
    <w:rsid w:val="00BE76E0"/>
    <w:rsid w:val="00BF026B"/>
    <w:rsid w:val="00BF03AB"/>
    <w:rsid w:val="00BF0930"/>
    <w:rsid w:val="00BF0E1F"/>
    <w:rsid w:val="00BF1619"/>
    <w:rsid w:val="00BF1D9A"/>
    <w:rsid w:val="00BF460C"/>
    <w:rsid w:val="00BF474B"/>
    <w:rsid w:val="00BF4D89"/>
    <w:rsid w:val="00BF51E4"/>
    <w:rsid w:val="00BF5380"/>
    <w:rsid w:val="00BF5EF5"/>
    <w:rsid w:val="00BF65C3"/>
    <w:rsid w:val="00BF693D"/>
    <w:rsid w:val="00BF7452"/>
    <w:rsid w:val="00C00B9D"/>
    <w:rsid w:val="00C01600"/>
    <w:rsid w:val="00C02609"/>
    <w:rsid w:val="00C033BF"/>
    <w:rsid w:val="00C0453D"/>
    <w:rsid w:val="00C05E96"/>
    <w:rsid w:val="00C06370"/>
    <w:rsid w:val="00C06616"/>
    <w:rsid w:val="00C079D1"/>
    <w:rsid w:val="00C079E2"/>
    <w:rsid w:val="00C07B67"/>
    <w:rsid w:val="00C10304"/>
    <w:rsid w:val="00C110D4"/>
    <w:rsid w:val="00C1162A"/>
    <w:rsid w:val="00C11965"/>
    <w:rsid w:val="00C124E9"/>
    <w:rsid w:val="00C12F46"/>
    <w:rsid w:val="00C13F0E"/>
    <w:rsid w:val="00C14749"/>
    <w:rsid w:val="00C15F9B"/>
    <w:rsid w:val="00C16594"/>
    <w:rsid w:val="00C166DC"/>
    <w:rsid w:val="00C167D5"/>
    <w:rsid w:val="00C16C25"/>
    <w:rsid w:val="00C16E6A"/>
    <w:rsid w:val="00C172A9"/>
    <w:rsid w:val="00C2034B"/>
    <w:rsid w:val="00C20780"/>
    <w:rsid w:val="00C219F3"/>
    <w:rsid w:val="00C221C5"/>
    <w:rsid w:val="00C2254F"/>
    <w:rsid w:val="00C23F4B"/>
    <w:rsid w:val="00C24649"/>
    <w:rsid w:val="00C24DF3"/>
    <w:rsid w:val="00C26502"/>
    <w:rsid w:val="00C268F4"/>
    <w:rsid w:val="00C27D0D"/>
    <w:rsid w:val="00C31ADC"/>
    <w:rsid w:val="00C34A80"/>
    <w:rsid w:val="00C35512"/>
    <w:rsid w:val="00C36B19"/>
    <w:rsid w:val="00C36E00"/>
    <w:rsid w:val="00C370DD"/>
    <w:rsid w:val="00C37720"/>
    <w:rsid w:val="00C4040D"/>
    <w:rsid w:val="00C41094"/>
    <w:rsid w:val="00C417F6"/>
    <w:rsid w:val="00C418A3"/>
    <w:rsid w:val="00C4279D"/>
    <w:rsid w:val="00C43083"/>
    <w:rsid w:val="00C43870"/>
    <w:rsid w:val="00C4712E"/>
    <w:rsid w:val="00C473A8"/>
    <w:rsid w:val="00C47D7A"/>
    <w:rsid w:val="00C501FA"/>
    <w:rsid w:val="00C507E3"/>
    <w:rsid w:val="00C50CDF"/>
    <w:rsid w:val="00C5282B"/>
    <w:rsid w:val="00C5305D"/>
    <w:rsid w:val="00C53B23"/>
    <w:rsid w:val="00C54827"/>
    <w:rsid w:val="00C5499A"/>
    <w:rsid w:val="00C54A75"/>
    <w:rsid w:val="00C54A78"/>
    <w:rsid w:val="00C557FC"/>
    <w:rsid w:val="00C5718E"/>
    <w:rsid w:val="00C57C1A"/>
    <w:rsid w:val="00C60376"/>
    <w:rsid w:val="00C60409"/>
    <w:rsid w:val="00C604DD"/>
    <w:rsid w:val="00C6073A"/>
    <w:rsid w:val="00C6090F"/>
    <w:rsid w:val="00C60932"/>
    <w:rsid w:val="00C60BAB"/>
    <w:rsid w:val="00C610B2"/>
    <w:rsid w:val="00C626F8"/>
    <w:rsid w:val="00C629E8"/>
    <w:rsid w:val="00C6328C"/>
    <w:rsid w:val="00C64F6B"/>
    <w:rsid w:val="00C65EA5"/>
    <w:rsid w:val="00C67482"/>
    <w:rsid w:val="00C701A5"/>
    <w:rsid w:val="00C703C4"/>
    <w:rsid w:val="00C70D4B"/>
    <w:rsid w:val="00C73013"/>
    <w:rsid w:val="00C73C31"/>
    <w:rsid w:val="00C740C5"/>
    <w:rsid w:val="00C74804"/>
    <w:rsid w:val="00C748B3"/>
    <w:rsid w:val="00C74C55"/>
    <w:rsid w:val="00C74E76"/>
    <w:rsid w:val="00C759C9"/>
    <w:rsid w:val="00C75EAA"/>
    <w:rsid w:val="00C76EEF"/>
    <w:rsid w:val="00C7706D"/>
    <w:rsid w:val="00C77302"/>
    <w:rsid w:val="00C77354"/>
    <w:rsid w:val="00C80B6A"/>
    <w:rsid w:val="00C815B5"/>
    <w:rsid w:val="00C827F1"/>
    <w:rsid w:val="00C8284F"/>
    <w:rsid w:val="00C83CDC"/>
    <w:rsid w:val="00C84634"/>
    <w:rsid w:val="00C853D4"/>
    <w:rsid w:val="00C85834"/>
    <w:rsid w:val="00C8599F"/>
    <w:rsid w:val="00C86091"/>
    <w:rsid w:val="00C86098"/>
    <w:rsid w:val="00C86D5B"/>
    <w:rsid w:val="00C86D98"/>
    <w:rsid w:val="00C87CB3"/>
    <w:rsid w:val="00C87F44"/>
    <w:rsid w:val="00C905D9"/>
    <w:rsid w:val="00C906C5"/>
    <w:rsid w:val="00C90A6D"/>
    <w:rsid w:val="00C90E8C"/>
    <w:rsid w:val="00C91AFB"/>
    <w:rsid w:val="00C91E48"/>
    <w:rsid w:val="00C91FF0"/>
    <w:rsid w:val="00C93BA1"/>
    <w:rsid w:val="00C95082"/>
    <w:rsid w:val="00C95FD2"/>
    <w:rsid w:val="00C96830"/>
    <w:rsid w:val="00C97080"/>
    <w:rsid w:val="00CA031D"/>
    <w:rsid w:val="00CA0F23"/>
    <w:rsid w:val="00CA0F3A"/>
    <w:rsid w:val="00CA16A3"/>
    <w:rsid w:val="00CA1900"/>
    <w:rsid w:val="00CA1D7A"/>
    <w:rsid w:val="00CA2129"/>
    <w:rsid w:val="00CA2EFF"/>
    <w:rsid w:val="00CA3245"/>
    <w:rsid w:val="00CA46F4"/>
    <w:rsid w:val="00CA4D8B"/>
    <w:rsid w:val="00CB01E2"/>
    <w:rsid w:val="00CB0D58"/>
    <w:rsid w:val="00CB0EDE"/>
    <w:rsid w:val="00CB27A8"/>
    <w:rsid w:val="00CB3623"/>
    <w:rsid w:val="00CB54E1"/>
    <w:rsid w:val="00CB6571"/>
    <w:rsid w:val="00CB7EE1"/>
    <w:rsid w:val="00CC131B"/>
    <w:rsid w:val="00CC1E78"/>
    <w:rsid w:val="00CC4397"/>
    <w:rsid w:val="00CC4B30"/>
    <w:rsid w:val="00CC51A6"/>
    <w:rsid w:val="00CC5F78"/>
    <w:rsid w:val="00CC67A9"/>
    <w:rsid w:val="00CC72DB"/>
    <w:rsid w:val="00CC7320"/>
    <w:rsid w:val="00CC7FF3"/>
    <w:rsid w:val="00CD1573"/>
    <w:rsid w:val="00CD1E36"/>
    <w:rsid w:val="00CD2302"/>
    <w:rsid w:val="00CD23DD"/>
    <w:rsid w:val="00CD2B84"/>
    <w:rsid w:val="00CD3108"/>
    <w:rsid w:val="00CD33F3"/>
    <w:rsid w:val="00CD3454"/>
    <w:rsid w:val="00CD39D4"/>
    <w:rsid w:val="00CD3CD5"/>
    <w:rsid w:val="00CD3FE2"/>
    <w:rsid w:val="00CD4544"/>
    <w:rsid w:val="00CD5088"/>
    <w:rsid w:val="00CD5996"/>
    <w:rsid w:val="00CD6094"/>
    <w:rsid w:val="00CD6F54"/>
    <w:rsid w:val="00CE0910"/>
    <w:rsid w:val="00CE1F85"/>
    <w:rsid w:val="00CE2494"/>
    <w:rsid w:val="00CE26E3"/>
    <w:rsid w:val="00CE2A8A"/>
    <w:rsid w:val="00CE33CF"/>
    <w:rsid w:val="00CE36EE"/>
    <w:rsid w:val="00CE3854"/>
    <w:rsid w:val="00CE41F2"/>
    <w:rsid w:val="00CE4AAD"/>
    <w:rsid w:val="00CE4CE2"/>
    <w:rsid w:val="00CE4E34"/>
    <w:rsid w:val="00CE5000"/>
    <w:rsid w:val="00CE532B"/>
    <w:rsid w:val="00CE5A23"/>
    <w:rsid w:val="00CE5D01"/>
    <w:rsid w:val="00CE64C2"/>
    <w:rsid w:val="00CE691A"/>
    <w:rsid w:val="00CE6CDD"/>
    <w:rsid w:val="00CE7E07"/>
    <w:rsid w:val="00CF0E02"/>
    <w:rsid w:val="00CF0FBF"/>
    <w:rsid w:val="00CF16A3"/>
    <w:rsid w:val="00CF27D6"/>
    <w:rsid w:val="00CF29BC"/>
    <w:rsid w:val="00CF2CFB"/>
    <w:rsid w:val="00CF4500"/>
    <w:rsid w:val="00CF4680"/>
    <w:rsid w:val="00CF5563"/>
    <w:rsid w:val="00CF64BC"/>
    <w:rsid w:val="00CF6F92"/>
    <w:rsid w:val="00CF7340"/>
    <w:rsid w:val="00CF77D7"/>
    <w:rsid w:val="00D0053F"/>
    <w:rsid w:val="00D00890"/>
    <w:rsid w:val="00D0111D"/>
    <w:rsid w:val="00D01405"/>
    <w:rsid w:val="00D019F4"/>
    <w:rsid w:val="00D0217A"/>
    <w:rsid w:val="00D021C7"/>
    <w:rsid w:val="00D0262B"/>
    <w:rsid w:val="00D02A74"/>
    <w:rsid w:val="00D02C59"/>
    <w:rsid w:val="00D040BB"/>
    <w:rsid w:val="00D047C7"/>
    <w:rsid w:val="00D05E60"/>
    <w:rsid w:val="00D06543"/>
    <w:rsid w:val="00D067EC"/>
    <w:rsid w:val="00D06D21"/>
    <w:rsid w:val="00D1080B"/>
    <w:rsid w:val="00D10A15"/>
    <w:rsid w:val="00D11A8D"/>
    <w:rsid w:val="00D13193"/>
    <w:rsid w:val="00D133B4"/>
    <w:rsid w:val="00D14607"/>
    <w:rsid w:val="00D153A0"/>
    <w:rsid w:val="00D170F5"/>
    <w:rsid w:val="00D1721F"/>
    <w:rsid w:val="00D176F5"/>
    <w:rsid w:val="00D17B14"/>
    <w:rsid w:val="00D201F3"/>
    <w:rsid w:val="00D202C0"/>
    <w:rsid w:val="00D20917"/>
    <w:rsid w:val="00D2136B"/>
    <w:rsid w:val="00D219AC"/>
    <w:rsid w:val="00D22036"/>
    <w:rsid w:val="00D223C8"/>
    <w:rsid w:val="00D228F4"/>
    <w:rsid w:val="00D25F04"/>
    <w:rsid w:val="00D26C27"/>
    <w:rsid w:val="00D26F10"/>
    <w:rsid w:val="00D27647"/>
    <w:rsid w:val="00D27688"/>
    <w:rsid w:val="00D2780D"/>
    <w:rsid w:val="00D279B7"/>
    <w:rsid w:val="00D27FFE"/>
    <w:rsid w:val="00D3035A"/>
    <w:rsid w:val="00D3393C"/>
    <w:rsid w:val="00D33965"/>
    <w:rsid w:val="00D358C4"/>
    <w:rsid w:val="00D35973"/>
    <w:rsid w:val="00D35F71"/>
    <w:rsid w:val="00D36FC0"/>
    <w:rsid w:val="00D37B2A"/>
    <w:rsid w:val="00D41FAA"/>
    <w:rsid w:val="00D42CA6"/>
    <w:rsid w:val="00D43798"/>
    <w:rsid w:val="00D44218"/>
    <w:rsid w:val="00D44818"/>
    <w:rsid w:val="00D46067"/>
    <w:rsid w:val="00D46859"/>
    <w:rsid w:val="00D4696D"/>
    <w:rsid w:val="00D46DA7"/>
    <w:rsid w:val="00D47248"/>
    <w:rsid w:val="00D47945"/>
    <w:rsid w:val="00D47EBB"/>
    <w:rsid w:val="00D50169"/>
    <w:rsid w:val="00D52313"/>
    <w:rsid w:val="00D5360F"/>
    <w:rsid w:val="00D536BE"/>
    <w:rsid w:val="00D5388D"/>
    <w:rsid w:val="00D539C3"/>
    <w:rsid w:val="00D55DAE"/>
    <w:rsid w:val="00D565B8"/>
    <w:rsid w:val="00D569D6"/>
    <w:rsid w:val="00D57D4C"/>
    <w:rsid w:val="00D60486"/>
    <w:rsid w:val="00D61660"/>
    <w:rsid w:val="00D6191D"/>
    <w:rsid w:val="00D61B77"/>
    <w:rsid w:val="00D61FDD"/>
    <w:rsid w:val="00D62079"/>
    <w:rsid w:val="00D624BE"/>
    <w:rsid w:val="00D6280B"/>
    <w:rsid w:val="00D62E04"/>
    <w:rsid w:val="00D64148"/>
    <w:rsid w:val="00D64D77"/>
    <w:rsid w:val="00D65065"/>
    <w:rsid w:val="00D66C48"/>
    <w:rsid w:val="00D6731F"/>
    <w:rsid w:val="00D703FD"/>
    <w:rsid w:val="00D70511"/>
    <w:rsid w:val="00D7159E"/>
    <w:rsid w:val="00D72225"/>
    <w:rsid w:val="00D7255C"/>
    <w:rsid w:val="00D74A6D"/>
    <w:rsid w:val="00D74E74"/>
    <w:rsid w:val="00D755EA"/>
    <w:rsid w:val="00D75A18"/>
    <w:rsid w:val="00D75DA7"/>
    <w:rsid w:val="00D805C9"/>
    <w:rsid w:val="00D83C98"/>
    <w:rsid w:val="00D84530"/>
    <w:rsid w:val="00D85052"/>
    <w:rsid w:val="00D8638E"/>
    <w:rsid w:val="00D8677A"/>
    <w:rsid w:val="00D86FB5"/>
    <w:rsid w:val="00D90DF2"/>
    <w:rsid w:val="00D90F2A"/>
    <w:rsid w:val="00D91446"/>
    <w:rsid w:val="00D9184C"/>
    <w:rsid w:val="00D9219D"/>
    <w:rsid w:val="00D92A80"/>
    <w:rsid w:val="00D92B0B"/>
    <w:rsid w:val="00D9343C"/>
    <w:rsid w:val="00D93630"/>
    <w:rsid w:val="00D94F79"/>
    <w:rsid w:val="00D95029"/>
    <w:rsid w:val="00D9525E"/>
    <w:rsid w:val="00D96C7F"/>
    <w:rsid w:val="00D979AC"/>
    <w:rsid w:val="00D97DE0"/>
    <w:rsid w:val="00DA00AC"/>
    <w:rsid w:val="00DA2469"/>
    <w:rsid w:val="00DA3914"/>
    <w:rsid w:val="00DA4086"/>
    <w:rsid w:val="00DA5E9F"/>
    <w:rsid w:val="00DA640D"/>
    <w:rsid w:val="00DA6D58"/>
    <w:rsid w:val="00DA6EBD"/>
    <w:rsid w:val="00DB16D3"/>
    <w:rsid w:val="00DB3833"/>
    <w:rsid w:val="00DB39B7"/>
    <w:rsid w:val="00DB5821"/>
    <w:rsid w:val="00DB69ED"/>
    <w:rsid w:val="00DB6AB7"/>
    <w:rsid w:val="00DB6C63"/>
    <w:rsid w:val="00DB773A"/>
    <w:rsid w:val="00DB7C7B"/>
    <w:rsid w:val="00DC05E7"/>
    <w:rsid w:val="00DC1790"/>
    <w:rsid w:val="00DC1F4A"/>
    <w:rsid w:val="00DC2558"/>
    <w:rsid w:val="00DC3A5A"/>
    <w:rsid w:val="00DC49A6"/>
    <w:rsid w:val="00DC6BD4"/>
    <w:rsid w:val="00DC75F2"/>
    <w:rsid w:val="00DC76A7"/>
    <w:rsid w:val="00DC7EBF"/>
    <w:rsid w:val="00DD2064"/>
    <w:rsid w:val="00DD2928"/>
    <w:rsid w:val="00DD3626"/>
    <w:rsid w:val="00DD57E5"/>
    <w:rsid w:val="00DD5B2B"/>
    <w:rsid w:val="00DD7637"/>
    <w:rsid w:val="00DE0125"/>
    <w:rsid w:val="00DE0794"/>
    <w:rsid w:val="00DE0C32"/>
    <w:rsid w:val="00DE193E"/>
    <w:rsid w:val="00DE268B"/>
    <w:rsid w:val="00DE2EE1"/>
    <w:rsid w:val="00DE3EA1"/>
    <w:rsid w:val="00DE5532"/>
    <w:rsid w:val="00DE7268"/>
    <w:rsid w:val="00DE79CC"/>
    <w:rsid w:val="00DF0685"/>
    <w:rsid w:val="00DF0E63"/>
    <w:rsid w:val="00DF163F"/>
    <w:rsid w:val="00DF2B0B"/>
    <w:rsid w:val="00DF4871"/>
    <w:rsid w:val="00DF49DC"/>
    <w:rsid w:val="00DF4DE9"/>
    <w:rsid w:val="00DF4E6A"/>
    <w:rsid w:val="00DF52A7"/>
    <w:rsid w:val="00DF5746"/>
    <w:rsid w:val="00DF659A"/>
    <w:rsid w:val="00DF6D4B"/>
    <w:rsid w:val="00DF762B"/>
    <w:rsid w:val="00DF7847"/>
    <w:rsid w:val="00E01603"/>
    <w:rsid w:val="00E01C67"/>
    <w:rsid w:val="00E01FCF"/>
    <w:rsid w:val="00E025CB"/>
    <w:rsid w:val="00E03040"/>
    <w:rsid w:val="00E03345"/>
    <w:rsid w:val="00E03486"/>
    <w:rsid w:val="00E03A7F"/>
    <w:rsid w:val="00E03E67"/>
    <w:rsid w:val="00E045A2"/>
    <w:rsid w:val="00E05AAF"/>
    <w:rsid w:val="00E05B4F"/>
    <w:rsid w:val="00E06789"/>
    <w:rsid w:val="00E06A5B"/>
    <w:rsid w:val="00E0707B"/>
    <w:rsid w:val="00E0726E"/>
    <w:rsid w:val="00E077C9"/>
    <w:rsid w:val="00E1070D"/>
    <w:rsid w:val="00E10BA0"/>
    <w:rsid w:val="00E10F62"/>
    <w:rsid w:val="00E1151B"/>
    <w:rsid w:val="00E11FBF"/>
    <w:rsid w:val="00E1215D"/>
    <w:rsid w:val="00E129CB"/>
    <w:rsid w:val="00E13EA5"/>
    <w:rsid w:val="00E14576"/>
    <w:rsid w:val="00E14A2B"/>
    <w:rsid w:val="00E14EB6"/>
    <w:rsid w:val="00E159E2"/>
    <w:rsid w:val="00E16870"/>
    <w:rsid w:val="00E16FD1"/>
    <w:rsid w:val="00E203AD"/>
    <w:rsid w:val="00E21012"/>
    <w:rsid w:val="00E211AB"/>
    <w:rsid w:val="00E2168A"/>
    <w:rsid w:val="00E21E94"/>
    <w:rsid w:val="00E22C0F"/>
    <w:rsid w:val="00E22F6C"/>
    <w:rsid w:val="00E23140"/>
    <w:rsid w:val="00E2344E"/>
    <w:rsid w:val="00E234C3"/>
    <w:rsid w:val="00E23A49"/>
    <w:rsid w:val="00E23AD8"/>
    <w:rsid w:val="00E23F56"/>
    <w:rsid w:val="00E24371"/>
    <w:rsid w:val="00E24C4B"/>
    <w:rsid w:val="00E25ACA"/>
    <w:rsid w:val="00E26310"/>
    <w:rsid w:val="00E2642E"/>
    <w:rsid w:val="00E26E54"/>
    <w:rsid w:val="00E270EA"/>
    <w:rsid w:val="00E272E4"/>
    <w:rsid w:val="00E2790B"/>
    <w:rsid w:val="00E27BC6"/>
    <w:rsid w:val="00E30598"/>
    <w:rsid w:val="00E31A88"/>
    <w:rsid w:val="00E31AFE"/>
    <w:rsid w:val="00E32418"/>
    <w:rsid w:val="00E3254E"/>
    <w:rsid w:val="00E3275E"/>
    <w:rsid w:val="00E32C7E"/>
    <w:rsid w:val="00E32FE0"/>
    <w:rsid w:val="00E34952"/>
    <w:rsid w:val="00E36152"/>
    <w:rsid w:val="00E36340"/>
    <w:rsid w:val="00E3670C"/>
    <w:rsid w:val="00E3697F"/>
    <w:rsid w:val="00E37938"/>
    <w:rsid w:val="00E4222E"/>
    <w:rsid w:val="00E42F5D"/>
    <w:rsid w:val="00E430D1"/>
    <w:rsid w:val="00E439E0"/>
    <w:rsid w:val="00E43DB6"/>
    <w:rsid w:val="00E44FEE"/>
    <w:rsid w:val="00E469A5"/>
    <w:rsid w:val="00E46A3F"/>
    <w:rsid w:val="00E47833"/>
    <w:rsid w:val="00E47E5F"/>
    <w:rsid w:val="00E50877"/>
    <w:rsid w:val="00E5089E"/>
    <w:rsid w:val="00E5091C"/>
    <w:rsid w:val="00E51834"/>
    <w:rsid w:val="00E51852"/>
    <w:rsid w:val="00E533F8"/>
    <w:rsid w:val="00E534BD"/>
    <w:rsid w:val="00E544DB"/>
    <w:rsid w:val="00E54799"/>
    <w:rsid w:val="00E54D32"/>
    <w:rsid w:val="00E55165"/>
    <w:rsid w:val="00E552E3"/>
    <w:rsid w:val="00E5756A"/>
    <w:rsid w:val="00E57D73"/>
    <w:rsid w:val="00E61903"/>
    <w:rsid w:val="00E62378"/>
    <w:rsid w:val="00E62ADC"/>
    <w:rsid w:val="00E636CA"/>
    <w:rsid w:val="00E63CF0"/>
    <w:rsid w:val="00E63E9F"/>
    <w:rsid w:val="00E6474F"/>
    <w:rsid w:val="00E64B55"/>
    <w:rsid w:val="00E65263"/>
    <w:rsid w:val="00E65486"/>
    <w:rsid w:val="00E65CF1"/>
    <w:rsid w:val="00E65F65"/>
    <w:rsid w:val="00E700B4"/>
    <w:rsid w:val="00E705B6"/>
    <w:rsid w:val="00E70F80"/>
    <w:rsid w:val="00E71185"/>
    <w:rsid w:val="00E730D5"/>
    <w:rsid w:val="00E738C8"/>
    <w:rsid w:val="00E74CEB"/>
    <w:rsid w:val="00E7531B"/>
    <w:rsid w:val="00E754F9"/>
    <w:rsid w:val="00E756F1"/>
    <w:rsid w:val="00E75C25"/>
    <w:rsid w:val="00E7611C"/>
    <w:rsid w:val="00E769B2"/>
    <w:rsid w:val="00E77480"/>
    <w:rsid w:val="00E77574"/>
    <w:rsid w:val="00E777C2"/>
    <w:rsid w:val="00E806AE"/>
    <w:rsid w:val="00E807BC"/>
    <w:rsid w:val="00E817B3"/>
    <w:rsid w:val="00E823AD"/>
    <w:rsid w:val="00E849EC"/>
    <w:rsid w:val="00E84F56"/>
    <w:rsid w:val="00E87DCD"/>
    <w:rsid w:val="00E909D8"/>
    <w:rsid w:val="00E91C15"/>
    <w:rsid w:val="00E92844"/>
    <w:rsid w:val="00E93FE6"/>
    <w:rsid w:val="00E9454B"/>
    <w:rsid w:val="00E94DED"/>
    <w:rsid w:val="00E94FF7"/>
    <w:rsid w:val="00E95923"/>
    <w:rsid w:val="00E95DAF"/>
    <w:rsid w:val="00E97546"/>
    <w:rsid w:val="00EA04AA"/>
    <w:rsid w:val="00EA0EBE"/>
    <w:rsid w:val="00EA1391"/>
    <w:rsid w:val="00EA3D4E"/>
    <w:rsid w:val="00EA3EA9"/>
    <w:rsid w:val="00EA4513"/>
    <w:rsid w:val="00EA546D"/>
    <w:rsid w:val="00EA6BB0"/>
    <w:rsid w:val="00EA7D2E"/>
    <w:rsid w:val="00EA7E3C"/>
    <w:rsid w:val="00EB1186"/>
    <w:rsid w:val="00EB1C50"/>
    <w:rsid w:val="00EB25D8"/>
    <w:rsid w:val="00EB5C38"/>
    <w:rsid w:val="00EB65B5"/>
    <w:rsid w:val="00EB65FA"/>
    <w:rsid w:val="00EB748A"/>
    <w:rsid w:val="00EB75D8"/>
    <w:rsid w:val="00EC122C"/>
    <w:rsid w:val="00EC1800"/>
    <w:rsid w:val="00EC4DD5"/>
    <w:rsid w:val="00EC50BB"/>
    <w:rsid w:val="00EC5B8E"/>
    <w:rsid w:val="00EC6E8F"/>
    <w:rsid w:val="00ED20B6"/>
    <w:rsid w:val="00ED2724"/>
    <w:rsid w:val="00ED330A"/>
    <w:rsid w:val="00ED5270"/>
    <w:rsid w:val="00ED55C7"/>
    <w:rsid w:val="00ED648B"/>
    <w:rsid w:val="00ED6FDD"/>
    <w:rsid w:val="00ED7E9E"/>
    <w:rsid w:val="00EE08A8"/>
    <w:rsid w:val="00EE0EFE"/>
    <w:rsid w:val="00EE13B9"/>
    <w:rsid w:val="00EE1928"/>
    <w:rsid w:val="00EE1A2A"/>
    <w:rsid w:val="00EE2294"/>
    <w:rsid w:val="00EE274B"/>
    <w:rsid w:val="00EE2A8B"/>
    <w:rsid w:val="00EE36C0"/>
    <w:rsid w:val="00EE38B5"/>
    <w:rsid w:val="00EE3BE1"/>
    <w:rsid w:val="00EE4216"/>
    <w:rsid w:val="00EE58BB"/>
    <w:rsid w:val="00EE7FAC"/>
    <w:rsid w:val="00EF0CE1"/>
    <w:rsid w:val="00EF1DF1"/>
    <w:rsid w:val="00EF2CD2"/>
    <w:rsid w:val="00EF2D9B"/>
    <w:rsid w:val="00EF34EF"/>
    <w:rsid w:val="00EF366E"/>
    <w:rsid w:val="00EF407D"/>
    <w:rsid w:val="00EF4A9C"/>
    <w:rsid w:val="00EF4EDC"/>
    <w:rsid w:val="00EF5AF0"/>
    <w:rsid w:val="00EF6642"/>
    <w:rsid w:val="00EF73C8"/>
    <w:rsid w:val="00EF776D"/>
    <w:rsid w:val="00F004FE"/>
    <w:rsid w:val="00F00BA5"/>
    <w:rsid w:val="00F012A5"/>
    <w:rsid w:val="00F0146E"/>
    <w:rsid w:val="00F016B3"/>
    <w:rsid w:val="00F01E76"/>
    <w:rsid w:val="00F0229A"/>
    <w:rsid w:val="00F0263F"/>
    <w:rsid w:val="00F02DEB"/>
    <w:rsid w:val="00F031E9"/>
    <w:rsid w:val="00F03569"/>
    <w:rsid w:val="00F04940"/>
    <w:rsid w:val="00F04972"/>
    <w:rsid w:val="00F05440"/>
    <w:rsid w:val="00F05FDF"/>
    <w:rsid w:val="00F06BC4"/>
    <w:rsid w:val="00F0740A"/>
    <w:rsid w:val="00F10191"/>
    <w:rsid w:val="00F102D6"/>
    <w:rsid w:val="00F10640"/>
    <w:rsid w:val="00F1223E"/>
    <w:rsid w:val="00F12313"/>
    <w:rsid w:val="00F12779"/>
    <w:rsid w:val="00F12A5A"/>
    <w:rsid w:val="00F12C54"/>
    <w:rsid w:val="00F1330E"/>
    <w:rsid w:val="00F145D0"/>
    <w:rsid w:val="00F14885"/>
    <w:rsid w:val="00F162FA"/>
    <w:rsid w:val="00F16E4C"/>
    <w:rsid w:val="00F21344"/>
    <w:rsid w:val="00F21823"/>
    <w:rsid w:val="00F22FE2"/>
    <w:rsid w:val="00F23561"/>
    <w:rsid w:val="00F243D9"/>
    <w:rsid w:val="00F251FB"/>
    <w:rsid w:val="00F252DA"/>
    <w:rsid w:val="00F269A9"/>
    <w:rsid w:val="00F275CD"/>
    <w:rsid w:val="00F27B57"/>
    <w:rsid w:val="00F311C2"/>
    <w:rsid w:val="00F31A6A"/>
    <w:rsid w:val="00F32FAD"/>
    <w:rsid w:val="00F33A2D"/>
    <w:rsid w:val="00F34A39"/>
    <w:rsid w:val="00F3544F"/>
    <w:rsid w:val="00F35714"/>
    <w:rsid w:val="00F36E94"/>
    <w:rsid w:val="00F37E9B"/>
    <w:rsid w:val="00F4011B"/>
    <w:rsid w:val="00F40BE4"/>
    <w:rsid w:val="00F40D2C"/>
    <w:rsid w:val="00F40E43"/>
    <w:rsid w:val="00F4281A"/>
    <w:rsid w:val="00F431F5"/>
    <w:rsid w:val="00F43946"/>
    <w:rsid w:val="00F43A63"/>
    <w:rsid w:val="00F4641A"/>
    <w:rsid w:val="00F4667B"/>
    <w:rsid w:val="00F47726"/>
    <w:rsid w:val="00F51CE4"/>
    <w:rsid w:val="00F51D8B"/>
    <w:rsid w:val="00F52583"/>
    <w:rsid w:val="00F52B5F"/>
    <w:rsid w:val="00F52F9C"/>
    <w:rsid w:val="00F533A6"/>
    <w:rsid w:val="00F537C0"/>
    <w:rsid w:val="00F5411A"/>
    <w:rsid w:val="00F55682"/>
    <w:rsid w:val="00F562E5"/>
    <w:rsid w:val="00F571A8"/>
    <w:rsid w:val="00F578A2"/>
    <w:rsid w:val="00F609B8"/>
    <w:rsid w:val="00F60A0C"/>
    <w:rsid w:val="00F60B3E"/>
    <w:rsid w:val="00F60F3D"/>
    <w:rsid w:val="00F6112A"/>
    <w:rsid w:val="00F61B79"/>
    <w:rsid w:val="00F629D2"/>
    <w:rsid w:val="00F64003"/>
    <w:rsid w:val="00F6413C"/>
    <w:rsid w:val="00F645E1"/>
    <w:rsid w:val="00F64BA0"/>
    <w:rsid w:val="00F656A9"/>
    <w:rsid w:val="00F66809"/>
    <w:rsid w:val="00F67377"/>
    <w:rsid w:val="00F70C3C"/>
    <w:rsid w:val="00F70D13"/>
    <w:rsid w:val="00F712DD"/>
    <w:rsid w:val="00F71706"/>
    <w:rsid w:val="00F7266C"/>
    <w:rsid w:val="00F73C4E"/>
    <w:rsid w:val="00F749DC"/>
    <w:rsid w:val="00F74DF9"/>
    <w:rsid w:val="00F74F72"/>
    <w:rsid w:val="00F76A5E"/>
    <w:rsid w:val="00F818E5"/>
    <w:rsid w:val="00F82FF3"/>
    <w:rsid w:val="00F8323A"/>
    <w:rsid w:val="00F83324"/>
    <w:rsid w:val="00F846F6"/>
    <w:rsid w:val="00F85C46"/>
    <w:rsid w:val="00F86435"/>
    <w:rsid w:val="00F869DA"/>
    <w:rsid w:val="00F86D2A"/>
    <w:rsid w:val="00F91784"/>
    <w:rsid w:val="00F92317"/>
    <w:rsid w:val="00F928D4"/>
    <w:rsid w:val="00F92E0A"/>
    <w:rsid w:val="00F93639"/>
    <w:rsid w:val="00F960F2"/>
    <w:rsid w:val="00FA018C"/>
    <w:rsid w:val="00FA1C2A"/>
    <w:rsid w:val="00FA28A1"/>
    <w:rsid w:val="00FA2DEB"/>
    <w:rsid w:val="00FA342C"/>
    <w:rsid w:val="00FA34C3"/>
    <w:rsid w:val="00FA3B5C"/>
    <w:rsid w:val="00FA4BB8"/>
    <w:rsid w:val="00FA5204"/>
    <w:rsid w:val="00FA526E"/>
    <w:rsid w:val="00FA57AF"/>
    <w:rsid w:val="00FA58FC"/>
    <w:rsid w:val="00FA621C"/>
    <w:rsid w:val="00FA727D"/>
    <w:rsid w:val="00FA77EB"/>
    <w:rsid w:val="00FA7E6F"/>
    <w:rsid w:val="00FB053D"/>
    <w:rsid w:val="00FB0753"/>
    <w:rsid w:val="00FB0F9A"/>
    <w:rsid w:val="00FB1A26"/>
    <w:rsid w:val="00FB1CE2"/>
    <w:rsid w:val="00FB2AFB"/>
    <w:rsid w:val="00FB2F06"/>
    <w:rsid w:val="00FB60F7"/>
    <w:rsid w:val="00FB627A"/>
    <w:rsid w:val="00FB6D13"/>
    <w:rsid w:val="00FB748F"/>
    <w:rsid w:val="00FC0439"/>
    <w:rsid w:val="00FC0612"/>
    <w:rsid w:val="00FC12E1"/>
    <w:rsid w:val="00FC22E9"/>
    <w:rsid w:val="00FC282E"/>
    <w:rsid w:val="00FC43FB"/>
    <w:rsid w:val="00FC5BBA"/>
    <w:rsid w:val="00FC63A3"/>
    <w:rsid w:val="00FC77A2"/>
    <w:rsid w:val="00FD2531"/>
    <w:rsid w:val="00FD3272"/>
    <w:rsid w:val="00FD3FE0"/>
    <w:rsid w:val="00FD45AA"/>
    <w:rsid w:val="00FD4CD0"/>
    <w:rsid w:val="00FD5300"/>
    <w:rsid w:val="00FD67BB"/>
    <w:rsid w:val="00FD6807"/>
    <w:rsid w:val="00FD6FFB"/>
    <w:rsid w:val="00FE007C"/>
    <w:rsid w:val="00FE0BC8"/>
    <w:rsid w:val="00FE13D2"/>
    <w:rsid w:val="00FE21C8"/>
    <w:rsid w:val="00FE3A24"/>
    <w:rsid w:val="00FE3D85"/>
    <w:rsid w:val="00FE3F67"/>
    <w:rsid w:val="00FE41BB"/>
    <w:rsid w:val="00FE592E"/>
    <w:rsid w:val="00FE6302"/>
    <w:rsid w:val="00FE68F2"/>
    <w:rsid w:val="00FE74B3"/>
    <w:rsid w:val="00FF0EB5"/>
    <w:rsid w:val="00FF1BA2"/>
    <w:rsid w:val="00FF23F7"/>
    <w:rsid w:val="00FF38A0"/>
    <w:rsid w:val="00FF4315"/>
    <w:rsid w:val="00FF49E3"/>
    <w:rsid w:val="00FF4C09"/>
    <w:rsid w:val="00FF53AA"/>
    <w:rsid w:val="00FF5617"/>
    <w:rsid w:val="00FF57B1"/>
    <w:rsid w:val="00FF5E42"/>
    <w:rsid w:val="00FF5EF2"/>
    <w:rsid w:val="00FF6BF2"/>
    <w:rsid w:val="00FF6D2F"/>
    <w:rsid w:val="00FF78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2ABDECA"/>
  <w15:chartTrackingRefBased/>
  <w15:docId w15:val="{4FA2016F-20FE-49CE-BC03-3F9374EE5B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12E1"/>
    <w:pPr>
      <w:spacing w:line="480" w:lineRule="auto"/>
      <w:contextualSpacing/>
    </w:pPr>
    <w:rPr>
      <w:rFonts w:ascii="Times New Roman" w:hAnsi="Times New Roman"/>
      <w:sz w:val="24"/>
    </w:rPr>
  </w:style>
  <w:style w:type="paragraph" w:styleId="Heading1">
    <w:name w:val="heading 1"/>
    <w:basedOn w:val="Normal"/>
    <w:next w:val="Normal"/>
    <w:link w:val="Heading1Char"/>
    <w:uiPriority w:val="9"/>
    <w:qFormat/>
    <w:rsid w:val="00950E6A"/>
    <w:pPr>
      <w:keepNext/>
      <w:keepLines/>
      <w:spacing w:after="0"/>
      <w:outlineLvl w:val="0"/>
    </w:pPr>
    <w:rPr>
      <w:rFonts w:eastAsiaTheme="majorEastAsia" w:cstheme="majorBidi"/>
      <w:b/>
      <w:sz w:val="48"/>
      <w:szCs w:val="32"/>
    </w:rPr>
  </w:style>
  <w:style w:type="paragraph" w:styleId="Heading2">
    <w:name w:val="heading 2"/>
    <w:basedOn w:val="Normal"/>
    <w:next w:val="Normal"/>
    <w:link w:val="Heading2Char"/>
    <w:uiPriority w:val="9"/>
    <w:unhideWhenUsed/>
    <w:qFormat/>
    <w:rsid w:val="00E26310"/>
    <w:pPr>
      <w:keepNext/>
      <w:keepLines/>
      <w:spacing w:before="40" w:after="0"/>
      <w:outlineLvl w:val="1"/>
    </w:pPr>
    <w:rPr>
      <w:rFonts w:eastAsiaTheme="majorEastAsia" w:cstheme="majorBidi"/>
      <w:sz w:val="40"/>
      <w:szCs w:val="26"/>
      <w:u w:val="single"/>
    </w:rPr>
  </w:style>
  <w:style w:type="paragraph" w:styleId="Heading3">
    <w:name w:val="heading 3"/>
    <w:basedOn w:val="Normal"/>
    <w:link w:val="Heading3Char"/>
    <w:uiPriority w:val="9"/>
    <w:qFormat/>
    <w:rsid w:val="00950E6A"/>
    <w:pPr>
      <w:spacing w:before="100" w:beforeAutospacing="1" w:after="100" w:afterAutospacing="1"/>
      <w:outlineLvl w:val="2"/>
    </w:pPr>
    <w:rPr>
      <w:rFonts w:eastAsia="Times New Roman" w:cs="Times New Roman"/>
      <w:bCs/>
      <w:sz w:val="32"/>
      <w:szCs w:val="27"/>
      <w:u w:val="single"/>
    </w:rPr>
  </w:style>
  <w:style w:type="paragraph" w:styleId="Heading4">
    <w:name w:val="heading 4"/>
    <w:basedOn w:val="Normal"/>
    <w:next w:val="Normal"/>
    <w:link w:val="Heading4Char"/>
    <w:uiPriority w:val="9"/>
    <w:unhideWhenUsed/>
    <w:qFormat/>
    <w:rsid w:val="0087740B"/>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C1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autoRedefine/>
    <w:uiPriority w:val="35"/>
    <w:unhideWhenUsed/>
    <w:qFormat/>
    <w:rsid w:val="00D52313"/>
    <w:pPr>
      <w:spacing w:after="200" w:line="240" w:lineRule="auto"/>
    </w:pPr>
    <w:rPr>
      <w:i/>
      <w:iCs/>
      <w:sz w:val="18"/>
      <w:szCs w:val="24"/>
    </w:rPr>
  </w:style>
  <w:style w:type="paragraph" w:styleId="ListParagraph">
    <w:name w:val="List Paragraph"/>
    <w:basedOn w:val="Normal"/>
    <w:uiPriority w:val="34"/>
    <w:qFormat/>
    <w:rsid w:val="000E00EF"/>
    <w:pPr>
      <w:ind w:left="720"/>
    </w:pPr>
  </w:style>
  <w:style w:type="paragraph" w:styleId="NormalWeb">
    <w:name w:val="Normal (Web)"/>
    <w:basedOn w:val="Normal"/>
    <w:uiPriority w:val="99"/>
    <w:unhideWhenUsed/>
    <w:rsid w:val="00AB485C"/>
    <w:pPr>
      <w:spacing w:before="100" w:beforeAutospacing="1" w:after="100" w:afterAutospacing="1" w:line="240" w:lineRule="auto"/>
    </w:pPr>
    <w:rPr>
      <w:rFonts w:eastAsia="Times New Roman" w:cs="Times New Roman"/>
      <w:szCs w:val="24"/>
    </w:rPr>
  </w:style>
  <w:style w:type="character" w:styleId="PlaceholderText">
    <w:name w:val="Placeholder Text"/>
    <w:basedOn w:val="DefaultParagraphFont"/>
    <w:uiPriority w:val="99"/>
    <w:semiHidden/>
    <w:rsid w:val="00A05C8B"/>
    <w:rPr>
      <w:color w:val="666666"/>
    </w:rPr>
  </w:style>
  <w:style w:type="character" w:styleId="Hyperlink">
    <w:name w:val="Hyperlink"/>
    <w:basedOn w:val="DefaultParagraphFont"/>
    <w:uiPriority w:val="99"/>
    <w:unhideWhenUsed/>
    <w:rsid w:val="000A4A12"/>
    <w:rPr>
      <w:color w:val="0000FF"/>
      <w:u w:val="single"/>
    </w:rPr>
  </w:style>
  <w:style w:type="paragraph" w:styleId="Bibliography">
    <w:name w:val="Bibliography"/>
    <w:basedOn w:val="Normal"/>
    <w:next w:val="Normal"/>
    <w:uiPriority w:val="37"/>
    <w:unhideWhenUsed/>
    <w:rsid w:val="00F31A6A"/>
    <w:pPr>
      <w:spacing w:after="0"/>
      <w:ind w:left="720" w:hanging="720"/>
    </w:pPr>
  </w:style>
  <w:style w:type="character" w:styleId="CommentReference">
    <w:name w:val="annotation reference"/>
    <w:basedOn w:val="DefaultParagraphFont"/>
    <w:uiPriority w:val="99"/>
    <w:semiHidden/>
    <w:unhideWhenUsed/>
    <w:rsid w:val="005F794D"/>
    <w:rPr>
      <w:sz w:val="16"/>
      <w:szCs w:val="16"/>
    </w:rPr>
  </w:style>
  <w:style w:type="paragraph" w:styleId="CommentText">
    <w:name w:val="annotation text"/>
    <w:basedOn w:val="Normal"/>
    <w:link w:val="CommentTextChar"/>
    <w:uiPriority w:val="99"/>
    <w:unhideWhenUsed/>
    <w:rsid w:val="005F794D"/>
    <w:pPr>
      <w:spacing w:line="240" w:lineRule="auto"/>
    </w:pPr>
    <w:rPr>
      <w:sz w:val="20"/>
      <w:szCs w:val="20"/>
    </w:rPr>
  </w:style>
  <w:style w:type="character" w:customStyle="1" w:styleId="CommentTextChar">
    <w:name w:val="Comment Text Char"/>
    <w:basedOn w:val="DefaultParagraphFont"/>
    <w:link w:val="CommentText"/>
    <w:uiPriority w:val="99"/>
    <w:rsid w:val="005F794D"/>
    <w:rPr>
      <w:sz w:val="20"/>
      <w:szCs w:val="20"/>
    </w:rPr>
  </w:style>
  <w:style w:type="paragraph" w:styleId="CommentSubject">
    <w:name w:val="annotation subject"/>
    <w:basedOn w:val="CommentText"/>
    <w:next w:val="CommentText"/>
    <w:link w:val="CommentSubjectChar"/>
    <w:uiPriority w:val="99"/>
    <w:semiHidden/>
    <w:unhideWhenUsed/>
    <w:rsid w:val="005F794D"/>
    <w:rPr>
      <w:b/>
      <w:bCs/>
    </w:rPr>
  </w:style>
  <w:style w:type="character" w:customStyle="1" w:styleId="CommentSubjectChar">
    <w:name w:val="Comment Subject Char"/>
    <w:basedOn w:val="CommentTextChar"/>
    <w:link w:val="CommentSubject"/>
    <w:uiPriority w:val="99"/>
    <w:semiHidden/>
    <w:rsid w:val="005F794D"/>
    <w:rPr>
      <w:b/>
      <w:bCs/>
      <w:sz w:val="20"/>
      <w:szCs w:val="20"/>
    </w:rPr>
  </w:style>
  <w:style w:type="character" w:styleId="Strong">
    <w:name w:val="Strong"/>
    <w:basedOn w:val="DefaultParagraphFont"/>
    <w:uiPriority w:val="22"/>
    <w:qFormat/>
    <w:rsid w:val="00223DC7"/>
    <w:rPr>
      <w:b/>
      <w:bCs/>
    </w:rPr>
  </w:style>
  <w:style w:type="character" w:customStyle="1" w:styleId="Heading3Char">
    <w:name w:val="Heading 3 Char"/>
    <w:basedOn w:val="DefaultParagraphFont"/>
    <w:link w:val="Heading3"/>
    <w:uiPriority w:val="9"/>
    <w:rsid w:val="00950E6A"/>
    <w:rPr>
      <w:rFonts w:ascii="Times New Roman" w:eastAsia="Times New Roman" w:hAnsi="Times New Roman" w:cs="Times New Roman"/>
      <w:bCs/>
      <w:sz w:val="32"/>
      <w:szCs w:val="27"/>
      <w:u w:val="single"/>
    </w:rPr>
  </w:style>
  <w:style w:type="character" w:customStyle="1" w:styleId="apple-tab-span">
    <w:name w:val="apple-tab-span"/>
    <w:basedOn w:val="DefaultParagraphFont"/>
    <w:rsid w:val="00CD6094"/>
  </w:style>
  <w:style w:type="paragraph" w:styleId="Revision">
    <w:name w:val="Revision"/>
    <w:hidden/>
    <w:uiPriority w:val="99"/>
    <w:semiHidden/>
    <w:rsid w:val="00406EB2"/>
    <w:pPr>
      <w:spacing w:after="0" w:line="240" w:lineRule="auto"/>
    </w:pPr>
  </w:style>
  <w:style w:type="paragraph" w:styleId="Header">
    <w:name w:val="header"/>
    <w:basedOn w:val="Normal"/>
    <w:link w:val="HeaderChar"/>
    <w:uiPriority w:val="99"/>
    <w:unhideWhenUsed/>
    <w:rsid w:val="00406EB2"/>
    <w:pPr>
      <w:tabs>
        <w:tab w:val="center" w:pos="4680"/>
        <w:tab w:val="right" w:pos="9360"/>
      </w:tabs>
      <w:spacing w:after="0" w:line="240" w:lineRule="auto"/>
    </w:pPr>
  </w:style>
  <w:style w:type="character" w:customStyle="1" w:styleId="HeaderChar">
    <w:name w:val="Header Char"/>
    <w:basedOn w:val="DefaultParagraphFont"/>
    <w:link w:val="Header"/>
    <w:uiPriority w:val="99"/>
    <w:rsid w:val="00406EB2"/>
  </w:style>
  <w:style w:type="paragraph" w:styleId="Footer">
    <w:name w:val="footer"/>
    <w:basedOn w:val="Normal"/>
    <w:link w:val="FooterChar"/>
    <w:uiPriority w:val="99"/>
    <w:unhideWhenUsed/>
    <w:rsid w:val="00406EB2"/>
    <w:pPr>
      <w:tabs>
        <w:tab w:val="center" w:pos="4680"/>
        <w:tab w:val="right" w:pos="9360"/>
      </w:tabs>
      <w:spacing w:after="0" w:line="240" w:lineRule="auto"/>
    </w:pPr>
  </w:style>
  <w:style w:type="character" w:customStyle="1" w:styleId="FooterChar">
    <w:name w:val="Footer Char"/>
    <w:basedOn w:val="DefaultParagraphFont"/>
    <w:link w:val="Footer"/>
    <w:uiPriority w:val="99"/>
    <w:rsid w:val="00406EB2"/>
  </w:style>
  <w:style w:type="character" w:styleId="UnresolvedMention">
    <w:name w:val="Unresolved Mention"/>
    <w:basedOn w:val="DefaultParagraphFont"/>
    <w:uiPriority w:val="99"/>
    <w:semiHidden/>
    <w:unhideWhenUsed/>
    <w:rsid w:val="00622439"/>
    <w:rPr>
      <w:color w:val="605E5C"/>
      <w:shd w:val="clear" w:color="auto" w:fill="E1DFDD"/>
    </w:rPr>
  </w:style>
  <w:style w:type="character" w:customStyle="1" w:styleId="Heading1Char">
    <w:name w:val="Heading 1 Char"/>
    <w:basedOn w:val="DefaultParagraphFont"/>
    <w:link w:val="Heading1"/>
    <w:uiPriority w:val="9"/>
    <w:rsid w:val="00950E6A"/>
    <w:rPr>
      <w:rFonts w:ascii="Times New Roman" w:eastAsiaTheme="majorEastAsia" w:hAnsi="Times New Roman" w:cstheme="majorBidi"/>
      <w:b/>
      <w:sz w:val="48"/>
      <w:szCs w:val="32"/>
    </w:rPr>
  </w:style>
  <w:style w:type="character" w:customStyle="1" w:styleId="Heading2Char">
    <w:name w:val="Heading 2 Char"/>
    <w:basedOn w:val="DefaultParagraphFont"/>
    <w:link w:val="Heading2"/>
    <w:uiPriority w:val="9"/>
    <w:rsid w:val="00E26310"/>
    <w:rPr>
      <w:rFonts w:ascii="Times New Roman" w:eastAsiaTheme="majorEastAsia" w:hAnsi="Times New Roman" w:cstheme="majorBidi"/>
      <w:sz w:val="40"/>
      <w:szCs w:val="26"/>
      <w:u w:val="single"/>
    </w:rPr>
  </w:style>
  <w:style w:type="character" w:customStyle="1" w:styleId="Heading4Char">
    <w:name w:val="Heading 4 Char"/>
    <w:basedOn w:val="DefaultParagraphFont"/>
    <w:link w:val="Heading4"/>
    <w:uiPriority w:val="9"/>
    <w:rsid w:val="0087740B"/>
    <w:rPr>
      <w:rFonts w:asciiTheme="majorHAnsi" w:eastAsiaTheme="majorEastAsia" w:hAnsiTheme="majorHAnsi" w:cstheme="majorBidi"/>
      <w:i/>
      <w:iCs/>
      <w:color w:val="2F5496" w:themeColor="accent1" w:themeShade="BF"/>
    </w:rPr>
  </w:style>
  <w:style w:type="paragraph" w:styleId="TOCHeading">
    <w:name w:val="TOC Heading"/>
    <w:basedOn w:val="Heading1"/>
    <w:next w:val="Normal"/>
    <w:uiPriority w:val="39"/>
    <w:unhideWhenUsed/>
    <w:qFormat/>
    <w:rsid w:val="00FB0F9A"/>
    <w:pPr>
      <w:spacing w:before="240" w:line="259" w:lineRule="auto"/>
      <w:contextualSpacing w:val="0"/>
      <w:outlineLvl w:val="9"/>
    </w:pPr>
    <w:rPr>
      <w:rFonts w:asciiTheme="majorHAnsi" w:hAnsiTheme="majorHAnsi"/>
      <w:b w:val="0"/>
      <w:color w:val="2F5496" w:themeColor="accent1" w:themeShade="BF"/>
      <w:sz w:val="32"/>
    </w:rPr>
  </w:style>
  <w:style w:type="paragraph" w:styleId="TOC1">
    <w:name w:val="toc 1"/>
    <w:basedOn w:val="Normal"/>
    <w:next w:val="Normal"/>
    <w:autoRedefine/>
    <w:uiPriority w:val="39"/>
    <w:unhideWhenUsed/>
    <w:rsid w:val="00776762"/>
    <w:pPr>
      <w:tabs>
        <w:tab w:val="right" w:leader="dot" w:pos="9350"/>
      </w:tabs>
      <w:spacing w:after="100"/>
    </w:pPr>
  </w:style>
  <w:style w:type="paragraph" w:styleId="TOC2">
    <w:name w:val="toc 2"/>
    <w:basedOn w:val="Normal"/>
    <w:next w:val="Normal"/>
    <w:autoRedefine/>
    <w:uiPriority w:val="39"/>
    <w:unhideWhenUsed/>
    <w:rsid w:val="00FB0F9A"/>
    <w:pPr>
      <w:spacing w:after="100"/>
      <w:ind w:left="220"/>
    </w:pPr>
  </w:style>
  <w:style w:type="paragraph" w:styleId="TOC3">
    <w:name w:val="toc 3"/>
    <w:basedOn w:val="Normal"/>
    <w:next w:val="Normal"/>
    <w:autoRedefine/>
    <w:uiPriority w:val="39"/>
    <w:unhideWhenUsed/>
    <w:rsid w:val="00FB0F9A"/>
    <w:pPr>
      <w:spacing w:after="100"/>
      <w:ind w:left="440"/>
    </w:pPr>
  </w:style>
  <w:style w:type="paragraph" w:styleId="NoSpacing">
    <w:name w:val="No Spacing"/>
    <w:uiPriority w:val="1"/>
    <w:qFormat/>
    <w:rsid w:val="00E51852"/>
    <w:pPr>
      <w:spacing w:after="0" w:line="240" w:lineRule="auto"/>
    </w:pPr>
  </w:style>
  <w:style w:type="paragraph" w:styleId="TableofFigures">
    <w:name w:val="table of figures"/>
    <w:basedOn w:val="Normal"/>
    <w:next w:val="Normal"/>
    <w:uiPriority w:val="99"/>
    <w:unhideWhenUsed/>
    <w:rsid w:val="00A97E45"/>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859285">
      <w:bodyDiv w:val="1"/>
      <w:marLeft w:val="0"/>
      <w:marRight w:val="0"/>
      <w:marTop w:val="0"/>
      <w:marBottom w:val="0"/>
      <w:divBdr>
        <w:top w:val="none" w:sz="0" w:space="0" w:color="auto"/>
        <w:left w:val="none" w:sz="0" w:space="0" w:color="auto"/>
        <w:bottom w:val="none" w:sz="0" w:space="0" w:color="auto"/>
        <w:right w:val="none" w:sz="0" w:space="0" w:color="auto"/>
      </w:divBdr>
    </w:div>
    <w:div w:id="43529914">
      <w:bodyDiv w:val="1"/>
      <w:marLeft w:val="0"/>
      <w:marRight w:val="0"/>
      <w:marTop w:val="0"/>
      <w:marBottom w:val="0"/>
      <w:divBdr>
        <w:top w:val="none" w:sz="0" w:space="0" w:color="auto"/>
        <w:left w:val="none" w:sz="0" w:space="0" w:color="auto"/>
        <w:bottom w:val="none" w:sz="0" w:space="0" w:color="auto"/>
        <w:right w:val="none" w:sz="0" w:space="0" w:color="auto"/>
      </w:divBdr>
    </w:div>
    <w:div w:id="105120462">
      <w:bodyDiv w:val="1"/>
      <w:marLeft w:val="0"/>
      <w:marRight w:val="0"/>
      <w:marTop w:val="0"/>
      <w:marBottom w:val="0"/>
      <w:divBdr>
        <w:top w:val="none" w:sz="0" w:space="0" w:color="auto"/>
        <w:left w:val="none" w:sz="0" w:space="0" w:color="auto"/>
        <w:bottom w:val="none" w:sz="0" w:space="0" w:color="auto"/>
        <w:right w:val="none" w:sz="0" w:space="0" w:color="auto"/>
      </w:divBdr>
    </w:div>
    <w:div w:id="110782220">
      <w:bodyDiv w:val="1"/>
      <w:marLeft w:val="0"/>
      <w:marRight w:val="0"/>
      <w:marTop w:val="0"/>
      <w:marBottom w:val="0"/>
      <w:divBdr>
        <w:top w:val="none" w:sz="0" w:space="0" w:color="auto"/>
        <w:left w:val="none" w:sz="0" w:space="0" w:color="auto"/>
        <w:bottom w:val="none" w:sz="0" w:space="0" w:color="auto"/>
        <w:right w:val="none" w:sz="0" w:space="0" w:color="auto"/>
      </w:divBdr>
    </w:div>
    <w:div w:id="165637420">
      <w:bodyDiv w:val="1"/>
      <w:marLeft w:val="0"/>
      <w:marRight w:val="0"/>
      <w:marTop w:val="0"/>
      <w:marBottom w:val="0"/>
      <w:divBdr>
        <w:top w:val="none" w:sz="0" w:space="0" w:color="auto"/>
        <w:left w:val="none" w:sz="0" w:space="0" w:color="auto"/>
        <w:bottom w:val="none" w:sz="0" w:space="0" w:color="auto"/>
        <w:right w:val="none" w:sz="0" w:space="0" w:color="auto"/>
      </w:divBdr>
    </w:div>
    <w:div w:id="167332483">
      <w:bodyDiv w:val="1"/>
      <w:marLeft w:val="0"/>
      <w:marRight w:val="0"/>
      <w:marTop w:val="0"/>
      <w:marBottom w:val="0"/>
      <w:divBdr>
        <w:top w:val="none" w:sz="0" w:space="0" w:color="auto"/>
        <w:left w:val="none" w:sz="0" w:space="0" w:color="auto"/>
        <w:bottom w:val="none" w:sz="0" w:space="0" w:color="auto"/>
        <w:right w:val="none" w:sz="0" w:space="0" w:color="auto"/>
      </w:divBdr>
    </w:div>
    <w:div w:id="212036758">
      <w:bodyDiv w:val="1"/>
      <w:marLeft w:val="0"/>
      <w:marRight w:val="0"/>
      <w:marTop w:val="0"/>
      <w:marBottom w:val="0"/>
      <w:divBdr>
        <w:top w:val="none" w:sz="0" w:space="0" w:color="auto"/>
        <w:left w:val="none" w:sz="0" w:space="0" w:color="auto"/>
        <w:bottom w:val="none" w:sz="0" w:space="0" w:color="auto"/>
        <w:right w:val="none" w:sz="0" w:space="0" w:color="auto"/>
      </w:divBdr>
    </w:div>
    <w:div w:id="217589875">
      <w:bodyDiv w:val="1"/>
      <w:marLeft w:val="0"/>
      <w:marRight w:val="0"/>
      <w:marTop w:val="0"/>
      <w:marBottom w:val="0"/>
      <w:divBdr>
        <w:top w:val="none" w:sz="0" w:space="0" w:color="auto"/>
        <w:left w:val="none" w:sz="0" w:space="0" w:color="auto"/>
        <w:bottom w:val="none" w:sz="0" w:space="0" w:color="auto"/>
        <w:right w:val="none" w:sz="0" w:space="0" w:color="auto"/>
      </w:divBdr>
    </w:div>
    <w:div w:id="324363877">
      <w:bodyDiv w:val="1"/>
      <w:marLeft w:val="0"/>
      <w:marRight w:val="0"/>
      <w:marTop w:val="0"/>
      <w:marBottom w:val="0"/>
      <w:divBdr>
        <w:top w:val="none" w:sz="0" w:space="0" w:color="auto"/>
        <w:left w:val="none" w:sz="0" w:space="0" w:color="auto"/>
        <w:bottom w:val="none" w:sz="0" w:space="0" w:color="auto"/>
        <w:right w:val="none" w:sz="0" w:space="0" w:color="auto"/>
      </w:divBdr>
    </w:div>
    <w:div w:id="368995397">
      <w:bodyDiv w:val="1"/>
      <w:marLeft w:val="0"/>
      <w:marRight w:val="0"/>
      <w:marTop w:val="0"/>
      <w:marBottom w:val="0"/>
      <w:divBdr>
        <w:top w:val="none" w:sz="0" w:space="0" w:color="auto"/>
        <w:left w:val="none" w:sz="0" w:space="0" w:color="auto"/>
        <w:bottom w:val="none" w:sz="0" w:space="0" w:color="auto"/>
        <w:right w:val="none" w:sz="0" w:space="0" w:color="auto"/>
      </w:divBdr>
    </w:div>
    <w:div w:id="495925010">
      <w:bodyDiv w:val="1"/>
      <w:marLeft w:val="0"/>
      <w:marRight w:val="0"/>
      <w:marTop w:val="0"/>
      <w:marBottom w:val="0"/>
      <w:divBdr>
        <w:top w:val="none" w:sz="0" w:space="0" w:color="auto"/>
        <w:left w:val="none" w:sz="0" w:space="0" w:color="auto"/>
        <w:bottom w:val="none" w:sz="0" w:space="0" w:color="auto"/>
        <w:right w:val="none" w:sz="0" w:space="0" w:color="auto"/>
      </w:divBdr>
    </w:div>
    <w:div w:id="562106088">
      <w:bodyDiv w:val="1"/>
      <w:marLeft w:val="0"/>
      <w:marRight w:val="0"/>
      <w:marTop w:val="0"/>
      <w:marBottom w:val="0"/>
      <w:divBdr>
        <w:top w:val="none" w:sz="0" w:space="0" w:color="auto"/>
        <w:left w:val="none" w:sz="0" w:space="0" w:color="auto"/>
        <w:bottom w:val="none" w:sz="0" w:space="0" w:color="auto"/>
        <w:right w:val="none" w:sz="0" w:space="0" w:color="auto"/>
      </w:divBdr>
    </w:div>
    <w:div w:id="562330595">
      <w:bodyDiv w:val="1"/>
      <w:marLeft w:val="0"/>
      <w:marRight w:val="0"/>
      <w:marTop w:val="0"/>
      <w:marBottom w:val="0"/>
      <w:divBdr>
        <w:top w:val="none" w:sz="0" w:space="0" w:color="auto"/>
        <w:left w:val="none" w:sz="0" w:space="0" w:color="auto"/>
        <w:bottom w:val="none" w:sz="0" w:space="0" w:color="auto"/>
        <w:right w:val="none" w:sz="0" w:space="0" w:color="auto"/>
      </w:divBdr>
      <w:divsChild>
        <w:div w:id="936445029">
          <w:marLeft w:val="0"/>
          <w:marRight w:val="0"/>
          <w:marTop w:val="0"/>
          <w:marBottom w:val="0"/>
          <w:divBdr>
            <w:top w:val="none" w:sz="0" w:space="0" w:color="auto"/>
            <w:left w:val="none" w:sz="0" w:space="0" w:color="auto"/>
            <w:bottom w:val="none" w:sz="0" w:space="0" w:color="auto"/>
            <w:right w:val="none" w:sz="0" w:space="0" w:color="auto"/>
          </w:divBdr>
        </w:div>
      </w:divsChild>
    </w:div>
    <w:div w:id="608659233">
      <w:bodyDiv w:val="1"/>
      <w:marLeft w:val="0"/>
      <w:marRight w:val="0"/>
      <w:marTop w:val="0"/>
      <w:marBottom w:val="0"/>
      <w:divBdr>
        <w:top w:val="none" w:sz="0" w:space="0" w:color="auto"/>
        <w:left w:val="none" w:sz="0" w:space="0" w:color="auto"/>
        <w:bottom w:val="none" w:sz="0" w:space="0" w:color="auto"/>
        <w:right w:val="none" w:sz="0" w:space="0" w:color="auto"/>
      </w:divBdr>
    </w:div>
    <w:div w:id="617029942">
      <w:bodyDiv w:val="1"/>
      <w:marLeft w:val="0"/>
      <w:marRight w:val="0"/>
      <w:marTop w:val="0"/>
      <w:marBottom w:val="0"/>
      <w:divBdr>
        <w:top w:val="none" w:sz="0" w:space="0" w:color="auto"/>
        <w:left w:val="none" w:sz="0" w:space="0" w:color="auto"/>
        <w:bottom w:val="none" w:sz="0" w:space="0" w:color="auto"/>
        <w:right w:val="none" w:sz="0" w:space="0" w:color="auto"/>
      </w:divBdr>
    </w:div>
    <w:div w:id="740061198">
      <w:bodyDiv w:val="1"/>
      <w:marLeft w:val="0"/>
      <w:marRight w:val="0"/>
      <w:marTop w:val="0"/>
      <w:marBottom w:val="0"/>
      <w:divBdr>
        <w:top w:val="none" w:sz="0" w:space="0" w:color="auto"/>
        <w:left w:val="none" w:sz="0" w:space="0" w:color="auto"/>
        <w:bottom w:val="none" w:sz="0" w:space="0" w:color="auto"/>
        <w:right w:val="none" w:sz="0" w:space="0" w:color="auto"/>
      </w:divBdr>
    </w:div>
    <w:div w:id="753356312">
      <w:bodyDiv w:val="1"/>
      <w:marLeft w:val="0"/>
      <w:marRight w:val="0"/>
      <w:marTop w:val="0"/>
      <w:marBottom w:val="0"/>
      <w:divBdr>
        <w:top w:val="none" w:sz="0" w:space="0" w:color="auto"/>
        <w:left w:val="none" w:sz="0" w:space="0" w:color="auto"/>
        <w:bottom w:val="none" w:sz="0" w:space="0" w:color="auto"/>
        <w:right w:val="none" w:sz="0" w:space="0" w:color="auto"/>
      </w:divBdr>
    </w:div>
    <w:div w:id="851265856">
      <w:bodyDiv w:val="1"/>
      <w:marLeft w:val="0"/>
      <w:marRight w:val="0"/>
      <w:marTop w:val="0"/>
      <w:marBottom w:val="0"/>
      <w:divBdr>
        <w:top w:val="none" w:sz="0" w:space="0" w:color="auto"/>
        <w:left w:val="none" w:sz="0" w:space="0" w:color="auto"/>
        <w:bottom w:val="none" w:sz="0" w:space="0" w:color="auto"/>
        <w:right w:val="none" w:sz="0" w:space="0" w:color="auto"/>
      </w:divBdr>
    </w:div>
    <w:div w:id="852450039">
      <w:bodyDiv w:val="1"/>
      <w:marLeft w:val="0"/>
      <w:marRight w:val="0"/>
      <w:marTop w:val="0"/>
      <w:marBottom w:val="0"/>
      <w:divBdr>
        <w:top w:val="none" w:sz="0" w:space="0" w:color="auto"/>
        <w:left w:val="none" w:sz="0" w:space="0" w:color="auto"/>
        <w:bottom w:val="none" w:sz="0" w:space="0" w:color="auto"/>
        <w:right w:val="none" w:sz="0" w:space="0" w:color="auto"/>
      </w:divBdr>
    </w:div>
    <w:div w:id="867332823">
      <w:bodyDiv w:val="1"/>
      <w:marLeft w:val="0"/>
      <w:marRight w:val="0"/>
      <w:marTop w:val="0"/>
      <w:marBottom w:val="0"/>
      <w:divBdr>
        <w:top w:val="none" w:sz="0" w:space="0" w:color="auto"/>
        <w:left w:val="none" w:sz="0" w:space="0" w:color="auto"/>
        <w:bottom w:val="none" w:sz="0" w:space="0" w:color="auto"/>
        <w:right w:val="none" w:sz="0" w:space="0" w:color="auto"/>
      </w:divBdr>
    </w:div>
    <w:div w:id="910844913">
      <w:bodyDiv w:val="1"/>
      <w:marLeft w:val="0"/>
      <w:marRight w:val="0"/>
      <w:marTop w:val="0"/>
      <w:marBottom w:val="0"/>
      <w:divBdr>
        <w:top w:val="none" w:sz="0" w:space="0" w:color="auto"/>
        <w:left w:val="none" w:sz="0" w:space="0" w:color="auto"/>
        <w:bottom w:val="none" w:sz="0" w:space="0" w:color="auto"/>
        <w:right w:val="none" w:sz="0" w:space="0" w:color="auto"/>
      </w:divBdr>
    </w:div>
    <w:div w:id="966544865">
      <w:bodyDiv w:val="1"/>
      <w:marLeft w:val="0"/>
      <w:marRight w:val="0"/>
      <w:marTop w:val="0"/>
      <w:marBottom w:val="0"/>
      <w:divBdr>
        <w:top w:val="none" w:sz="0" w:space="0" w:color="auto"/>
        <w:left w:val="none" w:sz="0" w:space="0" w:color="auto"/>
        <w:bottom w:val="none" w:sz="0" w:space="0" w:color="auto"/>
        <w:right w:val="none" w:sz="0" w:space="0" w:color="auto"/>
      </w:divBdr>
    </w:div>
    <w:div w:id="1053695385">
      <w:bodyDiv w:val="1"/>
      <w:marLeft w:val="0"/>
      <w:marRight w:val="0"/>
      <w:marTop w:val="0"/>
      <w:marBottom w:val="0"/>
      <w:divBdr>
        <w:top w:val="none" w:sz="0" w:space="0" w:color="auto"/>
        <w:left w:val="none" w:sz="0" w:space="0" w:color="auto"/>
        <w:bottom w:val="none" w:sz="0" w:space="0" w:color="auto"/>
        <w:right w:val="none" w:sz="0" w:space="0" w:color="auto"/>
      </w:divBdr>
    </w:div>
    <w:div w:id="1069422607">
      <w:bodyDiv w:val="1"/>
      <w:marLeft w:val="0"/>
      <w:marRight w:val="0"/>
      <w:marTop w:val="0"/>
      <w:marBottom w:val="0"/>
      <w:divBdr>
        <w:top w:val="none" w:sz="0" w:space="0" w:color="auto"/>
        <w:left w:val="none" w:sz="0" w:space="0" w:color="auto"/>
        <w:bottom w:val="none" w:sz="0" w:space="0" w:color="auto"/>
        <w:right w:val="none" w:sz="0" w:space="0" w:color="auto"/>
      </w:divBdr>
    </w:div>
    <w:div w:id="1090392218">
      <w:bodyDiv w:val="1"/>
      <w:marLeft w:val="0"/>
      <w:marRight w:val="0"/>
      <w:marTop w:val="0"/>
      <w:marBottom w:val="0"/>
      <w:divBdr>
        <w:top w:val="none" w:sz="0" w:space="0" w:color="auto"/>
        <w:left w:val="none" w:sz="0" w:space="0" w:color="auto"/>
        <w:bottom w:val="none" w:sz="0" w:space="0" w:color="auto"/>
        <w:right w:val="none" w:sz="0" w:space="0" w:color="auto"/>
      </w:divBdr>
    </w:div>
    <w:div w:id="1346059669">
      <w:bodyDiv w:val="1"/>
      <w:marLeft w:val="0"/>
      <w:marRight w:val="0"/>
      <w:marTop w:val="0"/>
      <w:marBottom w:val="0"/>
      <w:divBdr>
        <w:top w:val="none" w:sz="0" w:space="0" w:color="auto"/>
        <w:left w:val="none" w:sz="0" w:space="0" w:color="auto"/>
        <w:bottom w:val="none" w:sz="0" w:space="0" w:color="auto"/>
        <w:right w:val="none" w:sz="0" w:space="0" w:color="auto"/>
      </w:divBdr>
    </w:div>
    <w:div w:id="1685747696">
      <w:bodyDiv w:val="1"/>
      <w:marLeft w:val="0"/>
      <w:marRight w:val="0"/>
      <w:marTop w:val="0"/>
      <w:marBottom w:val="0"/>
      <w:divBdr>
        <w:top w:val="none" w:sz="0" w:space="0" w:color="auto"/>
        <w:left w:val="none" w:sz="0" w:space="0" w:color="auto"/>
        <w:bottom w:val="none" w:sz="0" w:space="0" w:color="auto"/>
        <w:right w:val="none" w:sz="0" w:space="0" w:color="auto"/>
      </w:divBdr>
    </w:div>
    <w:div w:id="2082410673">
      <w:bodyDiv w:val="1"/>
      <w:marLeft w:val="0"/>
      <w:marRight w:val="0"/>
      <w:marTop w:val="0"/>
      <w:marBottom w:val="0"/>
      <w:divBdr>
        <w:top w:val="none" w:sz="0" w:space="0" w:color="auto"/>
        <w:left w:val="none" w:sz="0" w:space="0" w:color="auto"/>
        <w:bottom w:val="none" w:sz="0" w:space="0" w:color="auto"/>
        <w:right w:val="none" w:sz="0" w:space="0" w:color="auto"/>
      </w:divBdr>
    </w:div>
    <w:div w:id="2091610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fontTable" Target="fontTable.xml"/><Relationship Id="rId21" Type="http://schemas.openxmlformats.org/officeDocument/2006/relationships/image" Target="media/image13.png"/><Relationship Id="rId34" Type="http://schemas.openxmlformats.org/officeDocument/2006/relationships/image" Target="media/image26.png"/><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jpeg"/><Relationship Id="rId10" Type="http://schemas.openxmlformats.org/officeDocument/2006/relationships/image" Target="media/image2.jpeg"/><Relationship Id="rId19" Type="http://schemas.openxmlformats.org/officeDocument/2006/relationships/image" Target="media/image11.png"/><Relationship Id="rId31" Type="http://schemas.openxmlformats.org/officeDocument/2006/relationships/image" Target="media/image23.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8" Type="http://schemas.openxmlformats.org/officeDocument/2006/relationships/footer" Target="footer1.xm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0959EC-342A-4B12-9C02-D3FE2A34CA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TotalTime>
  <Pages>109</Pages>
  <Words>95733</Words>
  <Characters>545680</Characters>
  <Application>Microsoft Office Word</Application>
  <DocSecurity>0</DocSecurity>
  <Lines>4547</Lines>
  <Paragraphs>1280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640133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Lee, Jeffrey S.</dc:creator>
  <cp:keywords/>
  <dc:description/>
  <cp:lastModifiedBy>Lee, Jeffrey S.</cp:lastModifiedBy>
  <cp:revision>18</cp:revision>
  <cp:lastPrinted>2024-04-03T01:46:00Z</cp:lastPrinted>
  <dcterms:created xsi:type="dcterms:W3CDTF">2024-03-15T20:18:00Z</dcterms:created>
  <dcterms:modified xsi:type="dcterms:W3CDTF">2024-04-03T01:46:00Z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zotero-version="6.0.30"&gt;&lt;session id="ZzehC4Vl"/&gt;&lt;style id="http://www.zotero.org/styles/american-geophysical-union" hasBibliography="1" bibliographyStyleHasBeenSet="1"/&gt;&lt;prefs&gt;&lt;pref name="fieldType" value="Field"/&gt;&lt;pref name="automa</vt:lpwstr>
  </property>
  <property fmtid="{D5CDD505-2E9C-101B-9397-08002B2CF9AE}" pid="3" name="ZOTERO_PREF_2">
    <vt:lpwstr>ticJournalAbbreviations" value="true"/&gt;&lt;/prefs&gt;&lt;/data&gt;</vt:lpwstr>
  </property>
  <property fmtid="{D5CDD505-2E9C-101B-9397-08002B2CF9AE}" pid="4" name="GrammarlyDocumentId">
    <vt:lpwstr>1de5e97813558f794a9a6954abee1943ce62f57a5c080e4de2fd7d157486af70</vt:lpwstr>
  </property>
</Properties>
</file>